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7D0E6">
      <w:pPr>
        <w:snapToGrid w:val="0"/>
        <w:spacing w:after="120"/>
        <w:jc w:val="center"/>
        <w:rPr>
          <w:rFonts w:ascii="Times New Roman" w:hAnsi="Times New Roman"/>
          <w:b/>
          <w:sz w:val="72"/>
          <w:szCs w:val="72"/>
        </w:rPr>
      </w:pPr>
    </w:p>
    <w:p w14:paraId="26FD2353">
      <w:pPr>
        <w:jc w:val="center"/>
        <w:rPr>
          <w:rFonts w:ascii="宋体" w:hAnsi="宋体"/>
          <w:color w:val="000000"/>
          <w:sz w:val="72"/>
        </w:rPr>
      </w:pPr>
      <w:r>
        <w:rPr>
          <w:rFonts w:hint="eastAsia" w:ascii="宋体" w:hAnsi="宋体"/>
          <w:color w:val="000000"/>
          <w:sz w:val="72"/>
        </w:rPr>
        <w:t>建设项目环境影响</w:t>
      </w:r>
    </w:p>
    <w:p w14:paraId="529CFCD8">
      <w:pPr>
        <w:jc w:val="center"/>
        <w:rPr>
          <w:rFonts w:ascii="宋体" w:hAnsi="宋体"/>
          <w:color w:val="000000"/>
          <w:sz w:val="36"/>
        </w:rPr>
      </w:pPr>
      <w:r>
        <w:rPr>
          <w:rFonts w:hint="eastAsia" w:ascii="宋体" w:hAnsi="宋体"/>
          <w:color w:val="000000"/>
          <w:sz w:val="72"/>
        </w:rPr>
        <w:t>报告表</w:t>
      </w:r>
    </w:p>
    <w:p w14:paraId="21F7935F">
      <w:pPr>
        <w:adjustRightInd w:val="0"/>
        <w:snapToGrid w:val="0"/>
        <w:jc w:val="center"/>
        <w:rPr>
          <w:b/>
          <w:color w:val="000000"/>
          <w:sz w:val="28"/>
          <w:szCs w:val="28"/>
        </w:rPr>
      </w:pPr>
      <w:r>
        <w:rPr>
          <w:rFonts w:hint="eastAsia"/>
          <w:b/>
          <w:color w:val="000000"/>
          <w:sz w:val="30"/>
          <w:szCs w:val="30"/>
        </w:rPr>
        <w:t>（</w:t>
      </w:r>
      <w:r>
        <w:rPr>
          <w:rFonts w:hint="eastAsia"/>
          <w:b/>
          <w:color w:val="000000"/>
          <w:sz w:val="30"/>
          <w:szCs w:val="30"/>
          <w:lang w:eastAsia="zh-CN"/>
        </w:rPr>
        <w:t>报批稿</w:t>
      </w:r>
      <w:r>
        <w:rPr>
          <w:rFonts w:hint="eastAsia"/>
          <w:b/>
          <w:color w:val="000000"/>
          <w:sz w:val="30"/>
          <w:szCs w:val="30"/>
        </w:rPr>
        <w:t>）</w:t>
      </w:r>
    </w:p>
    <w:p w14:paraId="2201645C">
      <w:pPr>
        <w:adjustRightInd w:val="0"/>
        <w:snapToGrid w:val="0"/>
        <w:jc w:val="center"/>
        <w:rPr>
          <w:b/>
          <w:color w:val="000000"/>
          <w:sz w:val="44"/>
          <w:szCs w:val="44"/>
        </w:rPr>
      </w:pPr>
    </w:p>
    <w:p w14:paraId="7B209ED0">
      <w:pPr>
        <w:adjustRightInd w:val="0"/>
        <w:snapToGrid w:val="0"/>
        <w:jc w:val="center"/>
        <w:rPr>
          <w:rFonts w:hint="eastAsia" w:eastAsia="仿宋_GB2312"/>
          <w:color w:val="000000"/>
          <w:sz w:val="32"/>
          <w:lang w:eastAsia="zh-CN"/>
        </w:rPr>
      </w:pPr>
    </w:p>
    <w:p w14:paraId="2BD00863">
      <w:pPr>
        <w:adjustRightInd w:val="0"/>
        <w:snapToGrid w:val="0"/>
        <w:jc w:val="center"/>
        <w:rPr>
          <w:rFonts w:eastAsia="仿宋_GB2312"/>
          <w:color w:val="000000"/>
          <w:sz w:val="32"/>
        </w:rPr>
      </w:pPr>
    </w:p>
    <w:p w14:paraId="42EF6CA7">
      <w:pPr>
        <w:adjustRightInd w:val="0"/>
        <w:snapToGrid w:val="0"/>
        <w:jc w:val="center"/>
        <w:rPr>
          <w:rFonts w:eastAsia="仿宋_GB2312"/>
          <w:color w:val="000000"/>
          <w:sz w:val="32"/>
        </w:rPr>
      </w:pPr>
    </w:p>
    <w:p w14:paraId="32854B70">
      <w:pPr>
        <w:adjustRightInd w:val="0"/>
        <w:snapToGrid w:val="0"/>
        <w:jc w:val="center"/>
        <w:rPr>
          <w:rFonts w:eastAsia="仿宋_GB2312"/>
          <w:color w:val="000000"/>
          <w:sz w:val="32"/>
        </w:rPr>
      </w:pPr>
    </w:p>
    <w:p w14:paraId="6FCE3480">
      <w:pPr>
        <w:adjustRightInd w:val="0"/>
        <w:snapToGrid w:val="0"/>
        <w:jc w:val="center"/>
        <w:rPr>
          <w:rFonts w:eastAsia="仿宋_GB2312"/>
          <w:color w:val="000000"/>
          <w:sz w:val="32"/>
        </w:rPr>
      </w:pPr>
    </w:p>
    <w:p w14:paraId="3F9094A1">
      <w:pPr>
        <w:adjustRightInd w:val="0"/>
        <w:snapToGrid w:val="0"/>
        <w:rPr>
          <w:rFonts w:eastAsia="仿宋_GB2312"/>
          <w:color w:val="000000"/>
          <w:sz w:val="32"/>
        </w:rPr>
      </w:pPr>
    </w:p>
    <w:p w14:paraId="42485F4A">
      <w:pPr>
        <w:adjustRightInd w:val="0"/>
        <w:snapToGrid w:val="0"/>
        <w:jc w:val="center"/>
        <w:rPr>
          <w:rFonts w:ascii="宋体" w:hAnsi="宋体"/>
          <w:color w:val="000000"/>
          <w:sz w:val="32"/>
        </w:rPr>
      </w:pPr>
    </w:p>
    <w:p w14:paraId="6568E970">
      <w:pPr>
        <w:adjustRightInd w:val="0"/>
        <w:snapToGrid w:val="0"/>
        <w:spacing w:line="360" w:lineRule="auto"/>
        <w:ind w:firstLine="800" w:firstLineChars="250"/>
        <w:rPr>
          <w:rFonts w:ascii="宋体" w:hAnsi="宋体"/>
          <w:color w:val="auto"/>
          <w:sz w:val="32"/>
          <w:szCs w:val="32"/>
          <w:u w:val="single"/>
        </w:rPr>
      </w:pPr>
      <w:r>
        <w:rPr>
          <w:rFonts w:hint="eastAsia" w:ascii="宋体" w:hAnsi="宋体"/>
          <w:color w:val="auto"/>
          <w:sz w:val="32"/>
          <w:szCs w:val="32"/>
        </w:rPr>
        <w:t>项目名称：</w:t>
      </w:r>
      <w:r>
        <w:rPr>
          <w:rFonts w:hint="eastAsia" w:ascii="宋体" w:hAnsi="宋体" w:eastAsia="宋体" w:cs="宋体"/>
          <w:bCs/>
          <w:color w:val="auto"/>
          <w:sz w:val="32"/>
          <w:szCs w:val="32"/>
          <w:u w:val="single"/>
        </w:rPr>
        <w:t>芒市</w:t>
      </w:r>
      <w:r>
        <w:rPr>
          <w:rFonts w:hint="eastAsia" w:ascii="宋体" w:hAnsi="宋体" w:eastAsia="宋体" w:cs="宋体"/>
          <w:bCs/>
          <w:color w:val="auto"/>
          <w:sz w:val="32"/>
          <w:szCs w:val="32"/>
          <w:u w:val="single"/>
          <w:lang w:eastAsia="zh-CN"/>
        </w:rPr>
        <w:t>轩岗乡宏德茶叶加工厂</w:t>
      </w:r>
      <w:r>
        <w:rPr>
          <w:rFonts w:hint="eastAsia" w:ascii="宋体" w:hAnsi="宋体"/>
          <w:color w:val="auto"/>
          <w:sz w:val="32"/>
          <w:szCs w:val="32"/>
          <w:u w:val="single"/>
        </w:rPr>
        <w:t xml:space="preserve">    </w:t>
      </w:r>
    </w:p>
    <w:p w14:paraId="23685043">
      <w:pPr>
        <w:adjustRightInd w:val="0"/>
        <w:snapToGrid w:val="0"/>
        <w:spacing w:line="360" w:lineRule="auto"/>
        <w:ind w:firstLine="640" w:firstLineChars="200"/>
        <w:jc w:val="center"/>
        <w:rPr>
          <w:rFonts w:ascii="宋体" w:hAnsi="宋体"/>
          <w:color w:val="auto"/>
          <w:sz w:val="32"/>
          <w:szCs w:val="32"/>
          <w:u w:val="single"/>
        </w:rPr>
      </w:pPr>
    </w:p>
    <w:p w14:paraId="38F2EB66">
      <w:pPr>
        <w:adjustRightInd w:val="0"/>
        <w:snapToGrid w:val="0"/>
        <w:spacing w:line="360" w:lineRule="auto"/>
        <w:ind w:firstLine="840" w:firstLineChars="300"/>
        <w:rPr>
          <w:rFonts w:ascii="宋体" w:hAnsi="宋体"/>
          <w:color w:val="auto"/>
          <w:spacing w:val="20"/>
          <w:sz w:val="32"/>
          <w:u w:val="single"/>
        </w:rPr>
      </w:pPr>
      <w:r>
        <w:rPr>
          <w:rFonts w:hint="eastAsia" w:ascii="宋体" w:hAnsi="宋体"/>
          <w:color w:val="auto"/>
          <w:spacing w:val="-20"/>
          <w:sz w:val="32"/>
          <w:szCs w:val="32"/>
        </w:rPr>
        <w:t>建设单位（盖章）：</w:t>
      </w:r>
      <w:r>
        <w:rPr>
          <w:rFonts w:hint="eastAsia" w:ascii="宋体" w:hAnsi="宋体" w:eastAsia="宋体" w:cs="宋体"/>
          <w:bCs/>
          <w:color w:val="auto"/>
          <w:sz w:val="32"/>
          <w:szCs w:val="32"/>
          <w:u w:val="single"/>
        </w:rPr>
        <w:t>芒市</w:t>
      </w:r>
      <w:r>
        <w:rPr>
          <w:rFonts w:hint="eastAsia" w:ascii="宋体" w:hAnsi="宋体" w:eastAsia="宋体" w:cs="宋体"/>
          <w:bCs/>
          <w:color w:val="auto"/>
          <w:sz w:val="32"/>
          <w:szCs w:val="32"/>
          <w:u w:val="single"/>
          <w:lang w:eastAsia="zh-CN"/>
        </w:rPr>
        <w:t>轩岗乡宏德茶叶加工厂</w:t>
      </w:r>
      <w:r>
        <w:rPr>
          <w:rFonts w:hint="eastAsia" w:ascii="宋体" w:hAnsi="宋体"/>
          <w:color w:val="auto"/>
          <w:sz w:val="32"/>
          <w:szCs w:val="32"/>
          <w:u w:val="single"/>
        </w:rPr>
        <w:t xml:space="preserve">   </w:t>
      </w:r>
    </w:p>
    <w:p w14:paraId="787DCC9E">
      <w:pPr>
        <w:pStyle w:val="47"/>
        <w:ind w:firstLine="480"/>
        <w:rPr>
          <w:rFonts w:hAnsi="Times New Roman" w:eastAsia="仿宋_GB2312"/>
          <w:color w:val="000000"/>
        </w:rPr>
      </w:pPr>
    </w:p>
    <w:p w14:paraId="6AFF58FD">
      <w:pPr>
        <w:pStyle w:val="47"/>
        <w:ind w:firstLine="480"/>
        <w:rPr>
          <w:rFonts w:hAnsi="Times New Roman" w:eastAsia="仿宋_GB2312"/>
          <w:color w:val="000000"/>
        </w:rPr>
      </w:pPr>
    </w:p>
    <w:p w14:paraId="6FA18533">
      <w:pPr>
        <w:adjustRightInd w:val="0"/>
        <w:snapToGrid w:val="0"/>
        <w:jc w:val="center"/>
        <w:rPr>
          <w:rFonts w:eastAsia="仿宋_GB2312"/>
          <w:color w:val="000000"/>
          <w:sz w:val="32"/>
        </w:rPr>
      </w:pPr>
    </w:p>
    <w:p w14:paraId="0AAEA569">
      <w:pPr>
        <w:adjustRightInd w:val="0"/>
        <w:snapToGrid w:val="0"/>
        <w:rPr>
          <w:rFonts w:eastAsia="仿宋_GB2312"/>
          <w:color w:val="000000"/>
          <w:sz w:val="32"/>
        </w:rPr>
      </w:pPr>
    </w:p>
    <w:p w14:paraId="65EAE70B">
      <w:pPr>
        <w:adjustRightInd w:val="0"/>
        <w:snapToGrid w:val="0"/>
        <w:rPr>
          <w:rFonts w:eastAsia="仿宋_GB2312"/>
          <w:color w:val="000000"/>
          <w:sz w:val="32"/>
        </w:rPr>
      </w:pPr>
    </w:p>
    <w:p w14:paraId="79C5EA6E">
      <w:pPr>
        <w:adjustRightInd w:val="0"/>
        <w:snapToGrid w:val="0"/>
        <w:rPr>
          <w:rFonts w:eastAsia="仿宋_GB2312"/>
          <w:color w:val="000000"/>
          <w:sz w:val="32"/>
        </w:rPr>
      </w:pPr>
    </w:p>
    <w:p w14:paraId="1EB99DF5">
      <w:pPr>
        <w:adjustRightInd w:val="0"/>
        <w:snapToGrid w:val="0"/>
        <w:rPr>
          <w:rFonts w:eastAsia="仿宋_GB2312"/>
          <w:color w:val="000000"/>
          <w:sz w:val="32"/>
        </w:rPr>
      </w:pPr>
    </w:p>
    <w:p w14:paraId="287B44F0">
      <w:pPr>
        <w:adjustRightInd w:val="0"/>
        <w:snapToGrid w:val="0"/>
        <w:rPr>
          <w:rFonts w:eastAsia="仿宋_GB2312"/>
          <w:color w:val="000000"/>
          <w:sz w:val="32"/>
        </w:rPr>
      </w:pPr>
    </w:p>
    <w:p w14:paraId="7AA39410">
      <w:pPr>
        <w:jc w:val="center"/>
        <w:rPr>
          <w:rFonts w:eastAsia="黑体"/>
          <w:color w:val="000000"/>
          <w:sz w:val="32"/>
          <w:szCs w:val="32"/>
        </w:rPr>
      </w:pPr>
      <w:r>
        <w:rPr>
          <w:rFonts w:hint="eastAsia" w:eastAsia="黑体"/>
          <w:color w:val="000000"/>
          <w:sz w:val="32"/>
          <w:szCs w:val="32"/>
        </w:rPr>
        <w:t>编制日期：二</w:t>
      </w:r>
      <w:r>
        <w:rPr>
          <w:rFonts w:eastAsia="黑体"/>
          <w:color w:val="000000"/>
          <w:sz w:val="32"/>
          <w:szCs w:val="32"/>
        </w:rPr>
        <w:t>0</w:t>
      </w:r>
      <w:r>
        <w:rPr>
          <w:rFonts w:hint="eastAsia" w:eastAsia="黑体"/>
          <w:color w:val="000000"/>
          <w:sz w:val="32"/>
          <w:szCs w:val="32"/>
        </w:rPr>
        <w:t>一</w:t>
      </w:r>
      <w:r>
        <w:rPr>
          <w:rFonts w:hint="eastAsia" w:eastAsia="黑体"/>
          <w:color w:val="000000"/>
          <w:sz w:val="32"/>
          <w:szCs w:val="32"/>
          <w:lang w:eastAsia="zh-CN"/>
        </w:rPr>
        <w:t>九</w:t>
      </w:r>
      <w:r>
        <w:rPr>
          <w:rFonts w:hint="eastAsia" w:eastAsia="黑体"/>
          <w:color w:val="000000"/>
          <w:sz w:val="32"/>
          <w:szCs w:val="32"/>
        </w:rPr>
        <w:t>年</w:t>
      </w:r>
      <w:r>
        <w:rPr>
          <w:rFonts w:hint="eastAsia" w:eastAsia="黑体"/>
          <w:color w:val="000000"/>
          <w:sz w:val="32"/>
          <w:szCs w:val="32"/>
          <w:lang w:eastAsia="zh-CN"/>
        </w:rPr>
        <w:t>五</w:t>
      </w:r>
      <w:r>
        <w:rPr>
          <w:rFonts w:hint="eastAsia" w:eastAsia="黑体"/>
          <w:color w:val="000000"/>
          <w:sz w:val="32"/>
          <w:szCs w:val="32"/>
        </w:rPr>
        <w:t>月</w:t>
      </w:r>
    </w:p>
    <w:p w14:paraId="205308DE">
      <w:pPr>
        <w:pStyle w:val="2"/>
        <w:keepNext/>
        <w:keepLines/>
        <w:pageBreakBefore w:val="0"/>
        <w:widowControl w:val="0"/>
        <w:kinsoku/>
        <w:wordWrap/>
        <w:overflowPunct/>
        <w:topLinePunct w:val="0"/>
        <w:autoSpaceDE/>
        <w:autoSpaceDN/>
        <w:bidi w:val="0"/>
        <w:adjustRightInd/>
        <w:snapToGrid/>
        <w:ind w:firstLine="3146" w:firstLineChars="800"/>
        <w:jc w:val="both"/>
        <w:textAlignment w:val="auto"/>
        <w:outlineLvl w:val="9"/>
        <w:rPr>
          <w:rFonts w:hint="eastAsia" w:asciiTheme="minorEastAsia" w:hAnsiTheme="minorEastAsia" w:eastAsiaTheme="minorEastAsia" w:cstheme="minorEastAsia"/>
          <w:sz w:val="32"/>
          <w:szCs w:val="32"/>
          <w:lang w:eastAsia="zh-CN"/>
        </w:rPr>
        <w:sectPr>
          <w:headerReference r:id="rId3" w:type="default"/>
          <w:headerReference r:id="rId4" w:type="even"/>
          <w:footerReference r:id="rId5" w:type="even"/>
          <w:pgSz w:w="11906" w:h="16838"/>
          <w:pgMar w:top="1440" w:right="1800" w:bottom="1440" w:left="1800" w:header="851" w:footer="992" w:gutter="0"/>
          <w:pgNumType w:start="1"/>
          <w:cols w:space="720" w:num="1"/>
          <w:titlePg/>
          <w:docGrid w:type="lines" w:linePitch="312" w:charSpace="0"/>
        </w:sectPr>
      </w:pPr>
      <w:r>
        <w:rPr>
          <w:rFonts w:hint="eastAsia" w:asciiTheme="minorEastAsia" w:hAnsiTheme="minorEastAsia" w:eastAsiaTheme="minorEastAsia" w:cstheme="minorEastAsia"/>
          <w:color w:val="000000"/>
          <w:spacing w:val="36"/>
          <w:sz w:val="32"/>
          <w:szCs w:val="32"/>
          <w:lang w:eastAsia="zh-CN"/>
        </w:rPr>
        <w:t>生态环境部制</w:t>
      </w:r>
    </w:p>
    <w:p w14:paraId="181B84E2">
      <w:pPr>
        <w:spacing w:line="360" w:lineRule="auto"/>
        <w:jc w:val="center"/>
        <w:rPr>
          <w:b/>
          <w:bCs/>
          <w:color w:val="000000"/>
          <w:sz w:val="30"/>
          <w:szCs w:val="30"/>
        </w:rPr>
      </w:pPr>
      <w:r>
        <w:rPr>
          <w:rFonts w:hint="eastAsia"/>
          <w:b/>
          <w:bCs/>
          <w:color w:val="000000"/>
          <w:sz w:val="30"/>
          <w:szCs w:val="30"/>
        </w:rPr>
        <w:t>《</w:t>
      </w:r>
      <w:r>
        <w:rPr>
          <w:rFonts w:hint="eastAsia"/>
          <w:b/>
          <w:bCs/>
          <w:color w:val="000000"/>
          <w:sz w:val="30"/>
        </w:rPr>
        <w:t>建设项目环境影响报告表》编制说明</w:t>
      </w:r>
    </w:p>
    <w:p w14:paraId="41EA7852">
      <w:pPr>
        <w:spacing w:line="360" w:lineRule="auto"/>
        <w:ind w:firstLine="482" w:firstLineChars="200"/>
        <w:rPr>
          <w:b/>
          <w:bCs/>
          <w:color w:val="000000"/>
          <w:sz w:val="24"/>
        </w:rPr>
      </w:pPr>
    </w:p>
    <w:p w14:paraId="79C0BBB9">
      <w:pPr>
        <w:spacing w:line="500" w:lineRule="exact"/>
        <w:ind w:firstLine="480" w:firstLineChars="200"/>
        <w:rPr>
          <w:rFonts w:ascii="宋体" w:hAnsi="宋体"/>
          <w:color w:val="000000"/>
          <w:sz w:val="24"/>
        </w:rPr>
      </w:pPr>
      <w:r>
        <w:rPr>
          <w:rFonts w:hint="eastAsia" w:ascii="宋体" w:hAnsi="宋体"/>
          <w:color w:val="000000"/>
          <w:sz w:val="24"/>
        </w:rPr>
        <w:t>《建设项目环境影响报告表》由具有从事环境影响评价工作资质的单位编制。</w:t>
      </w:r>
    </w:p>
    <w:p w14:paraId="033235A0">
      <w:pPr>
        <w:spacing w:line="50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、项目名称</w:t>
      </w:r>
      <w:r>
        <w:rPr>
          <w:rFonts w:ascii="宋体" w:hAnsi="宋体"/>
          <w:color w:val="000000"/>
          <w:sz w:val="24"/>
        </w:rPr>
        <w:t>——</w:t>
      </w:r>
      <w:r>
        <w:rPr>
          <w:rFonts w:hint="eastAsia" w:ascii="宋体" w:hAnsi="宋体"/>
          <w:color w:val="000000"/>
          <w:sz w:val="24"/>
        </w:rPr>
        <w:t>指项目立项批复时的名称，应不超过</w:t>
      </w:r>
      <w:r>
        <w:rPr>
          <w:rFonts w:ascii="宋体" w:hAnsi="宋体"/>
          <w:color w:val="000000"/>
          <w:sz w:val="24"/>
        </w:rPr>
        <w:t>30</w:t>
      </w:r>
      <w:r>
        <w:rPr>
          <w:rFonts w:hint="eastAsia" w:ascii="宋体" w:hAnsi="宋体"/>
          <w:color w:val="000000"/>
          <w:sz w:val="24"/>
        </w:rPr>
        <w:t>个字（两个英文字段作一个汉字）。</w:t>
      </w:r>
    </w:p>
    <w:p w14:paraId="38AE5BC3">
      <w:pPr>
        <w:numPr>
          <w:ilvl w:val="0"/>
          <w:numId w:val="3"/>
        </w:numPr>
        <w:spacing w:line="500" w:lineRule="exact"/>
        <w:rPr>
          <w:rFonts w:ascii="宋体" w:hAnsi="宋体"/>
          <w:color w:val="000000"/>
          <w:sz w:val="24"/>
        </w:rPr>
      </w:pPr>
      <w:r>
        <w:rPr>
          <w:rFonts w:hint="eastAsia" w:ascii="宋体" w:hAnsi="宋体"/>
          <w:color w:val="000000"/>
          <w:sz w:val="24"/>
        </w:rPr>
        <w:t>建设地点</w:t>
      </w:r>
      <w:r>
        <w:rPr>
          <w:rFonts w:ascii="宋体" w:hAnsi="宋体"/>
          <w:color w:val="000000"/>
          <w:sz w:val="24"/>
        </w:rPr>
        <w:t>——</w:t>
      </w:r>
      <w:r>
        <w:rPr>
          <w:rFonts w:hint="eastAsia" w:ascii="宋体" w:hAnsi="宋体"/>
          <w:color w:val="000000"/>
          <w:sz w:val="24"/>
        </w:rPr>
        <w:t>指项目所在地详细地址，公路、铁路应填写起止地点。</w:t>
      </w:r>
    </w:p>
    <w:p w14:paraId="0478358B">
      <w:pPr>
        <w:spacing w:line="500" w:lineRule="exact"/>
        <w:rPr>
          <w:rFonts w:ascii="宋体" w:hAnsi="宋体"/>
          <w:color w:val="000000"/>
          <w:sz w:val="24"/>
        </w:rPr>
      </w:pPr>
      <w:r>
        <w:rPr>
          <w:rFonts w:ascii="宋体" w:hAnsi="宋体"/>
          <w:color w:val="000000"/>
          <w:sz w:val="24"/>
        </w:rPr>
        <w:t xml:space="preserve">    3</w:t>
      </w:r>
      <w:r>
        <w:rPr>
          <w:rFonts w:hint="eastAsia" w:ascii="宋体" w:hAnsi="宋体"/>
          <w:color w:val="000000"/>
          <w:sz w:val="24"/>
        </w:rPr>
        <w:t>、行业类别</w:t>
      </w:r>
      <w:r>
        <w:rPr>
          <w:rFonts w:ascii="宋体" w:hAnsi="宋体"/>
          <w:color w:val="000000"/>
          <w:sz w:val="24"/>
        </w:rPr>
        <w:t>——</w:t>
      </w:r>
      <w:r>
        <w:rPr>
          <w:rFonts w:hint="eastAsia" w:ascii="宋体" w:hAnsi="宋体"/>
          <w:color w:val="000000"/>
          <w:sz w:val="24"/>
        </w:rPr>
        <w:t>按国标填写。</w:t>
      </w:r>
    </w:p>
    <w:p w14:paraId="7C6C5450">
      <w:pPr>
        <w:spacing w:line="500" w:lineRule="exact"/>
        <w:rPr>
          <w:rFonts w:ascii="宋体" w:hAnsi="宋体"/>
          <w:color w:val="000000"/>
          <w:sz w:val="24"/>
        </w:rPr>
      </w:pPr>
      <w:r>
        <w:rPr>
          <w:rFonts w:ascii="宋体" w:hAnsi="宋体"/>
          <w:color w:val="000000"/>
          <w:sz w:val="24"/>
        </w:rPr>
        <w:t xml:space="preserve">    4</w:t>
      </w:r>
      <w:r>
        <w:rPr>
          <w:rFonts w:hint="eastAsia" w:ascii="宋体" w:hAnsi="宋体"/>
          <w:color w:val="000000"/>
          <w:sz w:val="24"/>
        </w:rPr>
        <w:t>、总投资</w:t>
      </w:r>
      <w:r>
        <w:rPr>
          <w:rFonts w:ascii="宋体" w:hAnsi="宋体"/>
          <w:color w:val="000000"/>
          <w:sz w:val="24"/>
        </w:rPr>
        <w:t>——</w:t>
      </w:r>
      <w:r>
        <w:rPr>
          <w:rFonts w:hint="eastAsia" w:ascii="宋体" w:hAnsi="宋体"/>
          <w:color w:val="000000"/>
          <w:sz w:val="24"/>
        </w:rPr>
        <w:t>指项目投资总额。</w:t>
      </w:r>
    </w:p>
    <w:p w14:paraId="51DBE3CD">
      <w:pPr>
        <w:spacing w:line="500" w:lineRule="exact"/>
        <w:rPr>
          <w:rFonts w:ascii="宋体" w:hAnsi="宋体"/>
          <w:color w:val="000000"/>
          <w:sz w:val="24"/>
        </w:rPr>
      </w:pPr>
      <w:r>
        <w:rPr>
          <w:rFonts w:ascii="宋体" w:hAnsi="宋体"/>
          <w:color w:val="000000"/>
          <w:sz w:val="24"/>
        </w:rPr>
        <w:t xml:space="preserve">    5</w:t>
      </w:r>
      <w:r>
        <w:rPr>
          <w:rFonts w:hint="eastAsia" w:ascii="宋体" w:hAnsi="宋体"/>
          <w:color w:val="000000"/>
          <w:sz w:val="24"/>
        </w:rPr>
        <w:t>、主要环境保护目标</w:t>
      </w:r>
      <w:r>
        <w:rPr>
          <w:rFonts w:ascii="宋体" w:hAnsi="宋体"/>
          <w:color w:val="000000"/>
          <w:sz w:val="24"/>
        </w:rPr>
        <w:t>——</w:t>
      </w:r>
      <w:r>
        <w:rPr>
          <w:rFonts w:hint="eastAsia" w:ascii="宋体" w:hAnsi="宋体"/>
          <w:color w:val="000000"/>
          <w:sz w:val="24"/>
        </w:rPr>
        <w:t>指项目区周围一定范围内集中居民住宅区、学校、医院、保护文物、风景名胜区、水源地和生态敏感点等，应尽可能给出保护目标、性质、规模和距厂界距离等。</w:t>
      </w:r>
    </w:p>
    <w:p w14:paraId="210BEFA8">
      <w:pPr>
        <w:spacing w:line="500" w:lineRule="exact"/>
        <w:rPr>
          <w:rFonts w:ascii="宋体" w:hAnsi="宋体"/>
          <w:color w:val="000000"/>
          <w:sz w:val="24"/>
        </w:rPr>
      </w:pPr>
      <w:r>
        <w:rPr>
          <w:rFonts w:ascii="宋体" w:hAnsi="宋体"/>
          <w:color w:val="000000"/>
          <w:sz w:val="24"/>
        </w:rPr>
        <w:t xml:space="preserve">    6</w:t>
      </w:r>
      <w:r>
        <w:rPr>
          <w:rFonts w:hint="eastAsia" w:ascii="宋体" w:hAnsi="宋体"/>
          <w:color w:val="000000"/>
          <w:sz w:val="24"/>
        </w:rPr>
        <w:t>、结论与建议</w:t>
      </w:r>
      <w:r>
        <w:rPr>
          <w:rFonts w:ascii="宋体" w:hAnsi="宋体"/>
          <w:color w:val="000000"/>
          <w:sz w:val="24"/>
        </w:rPr>
        <w:t>——</w:t>
      </w:r>
      <w:r>
        <w:rPr>
          <w:rFonts w:hint="eastAsia" w:ascii="宋体" w:hAnsi="宋体"/>
          <w:color w:val="000000"/>
          <w:sz w:val="24"/>
        </w:rPr>
        <w:t>给出本项目清洁生产、达标排放和总量控制的分析结论，确定污染防治措施的有效性，说明本项目对环境造成的影响，给出建设项目环境可行性的明确结论。同时提出减少环境影响的其它建议。</w:t>
      </w:r>
    </w:p>
    <w:p w14:paraId="54E7F855">
      <w:pPr>
        <w:spacing w:line="500" w:lineRule="exact"/>
        <w:ind w:firstLine="480" w:firstLineChars="200"/>
        <w:rPr>
          <w:rFonts w:ascii="宋体" w:hAnsi="宋体"/>
          <w:color w:val="000000"/>
          <w:sz w:val="24"/>
        </w:rPr>
      </w:pPr>
      <w:r>
        <w:rPr>
          <w:rFonts w:ascii="宋体" w:hAnsi="宋体"/>
          <w:color w:val="000000"/>
          <w:sz w:val="24"/>
        </w:rPr>
        <w:t>7</w:t>
      </w:r>
      <w:r>
        <w:rPr>
          <w:rFonts w:hint="eastAsia" w:ascii="宋体" w:hAnsi="宋体"/>
          <w:color w:val="000000"/>
          <w:sz w:val="24"/>
        </w:rPr>
        <w:t>、预审意见</w:t>
      </w:r>
      <w:r>
        <w:rPr>
          <w:rFonts w:ascii="宋体" w:hAnsi="宋体"/>
          <w:color w:val="000000"/>
          <w:sz w:val="24"/>
        </w:rPr>
        <w:t>——</w:t>
      </w:r>
      <w:r>
        <w:rPr>
          <w:rFonts w:hint="eastAsia" w:ascii="宋体" w:hAnsi="宋体"/>
          <w:color w:val="000000"/>
          <w:sz w:val="24"/>
        </w:rPr>
        <w:t>由行业主管部门填写答复意见，无主管部门项目，可不</w:t>
      </w:r>
    </w:p>
    <w:p w14:paraId="035EBD30">
      <w:pPr>
        <w:spacing w:line="500" w:lineRule="exact"/>
        <w:rPr>
          <w:rFonts w:ascii="宋体" w:hAnsi="宋体"/>
          <w:color w:val="000000"/>
          <w:sz w:val="24"/>
        </w:rPr>
      </w:pPr>
      <w:r>
        <w:rPr>
          <w:rFonts w:hint="eastAsia" w:ascii="宋体" w:hAnsi="宋体"/>
          <w:color w:val="000000"/>
          <w:sz w:val="24"/>
        </w:rPr>
        <w:t>填。</w:t>
      </w:r>
    </w:p>
    <w:p w14:paraId="20BBC55B">
      <w:pPr>
        <w:spacing w:line="500" w:lineRule="exact"/>
        <w:ind w:firstLine="480" w:firstLineChars="200"/>
        <w:rPr>
          <w:rFonts w:ascii="宋体" w:hAnsi="宋体"/>
          <w:color w:val="000000"/>
          <w:sz w:val="24"/>
        </w:rPr>
      </w:pPr>
      <w:r>
        <w:rPr>
          <w:rFonts w:ascii="宋体" w:hAnsi="宋体"/>
          <w:color w:val="000000"/>
          <w:sz w:val="24"/>
        </w:rPr>
        <w:t>8</w:t>
      </w:r>
      <w:r>
        <w:rPr>
          <w:rFonts w:hint="eastAsia" w:ascii="宋体" w:hAnsi="宋体"/>
          <w:color w:val="000000"/>
          <w:sz w:val="24"/>
        </w:rPr>
        <w:t>、审批意见</w:t>
      </w:r>
      <w:r>
        <w:rPr>
          <w:rFonts w:ascii="宋体" w:hAnsi="宋体"/>
          <w:color w:val="000000"/>
          <w:sz w:val="24"/>
        </w:rPr>
        <w:t>——</w:t>
      </w:r>
      <w:r>
        <w:rPr>
          <w:rFonts w:hint="eastAsia" w:ascii="宋体" w:hAnsi="宋体"/>
          <w:color w:val="000000"/>
          <w:sz w:val="24"/>
        </w:rPr>
        <w:t>由负责审批该项目的环境保护行政主管部门批复。</w:t>
      </w:r>
    </w:p>
    <w:p w14:paraId="33B0A7FC">
      <w:pPr>
        <w:rPr>
          <w:color w:val="000000"/>
        </w:rPr>
      </w:pPr>
    </w:p>
    <w:p w14:paraId="6426E51E">
      <w:pPr>
        <w:pStyle w:val="6"/>
        <w:rPr>
          <w:rFonts w:hint="eastAsia"/>
        </w:rPr>
        <w:sectPr>
          <w:headerReference r:id="rId6" w:type="default"/>
          <w:footerReference r:id="rId7" w:type="default"/>
          <w:pgSz w:w="11906" w:h="16838"/>
          <w:pgMar w:top="1440" w:right="1080" w:bottom="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B496142">
      <w:pPr>
        <w:jc w:val="center"/>
        <w:rPr>
          <w:rFonts w:hint="eastAsia"/>
          <w:b/>
          <w:bCs/>
          <w:sz w:val="28"/>
          <w:szCs w:val="28"/>
          <w:lang w:eastAsia="zh-CN"/>
        </w:rPr>
      </w:pPr>
      <w:r>
        <w:rPr>
          <w:rFonts w:hint="eastAsia"/>
          <w:b/>
          <w:bCs/>
          <w:sz w:val="28"/>
          <w:szCs w:val="28"/>
          <w:lang w:eastAsia="zh-CN"/>
        </w:rPr>
        <w:t>目录</w:t>
      </w:r>
    </w:p>
    <w:p w14:paraId="4D72A7C0">
      <w:pPr>
        <w:pStyle w:val="15"/>
        <w:tabs>
          <w:tab w:val="right" w:leader="dot" w:pos="9746"/>
        </w:tabs>
        <w:rPr>
          <w:rFonts w:hint="eastAsia"/>
        </w:rPr>
      </w:pPr>
    </w:p>
    <w:p w14:paraId="1B3A8667">
      <w:pPr>
        <w:pStyle w:val="15"/>
        <w:tabs>
          <w:tab w:val="right" w:leader="dot" w:pos="9746"/>
        </w:tabs>
        <w:rPr>
          <w:rFonts w:hint="eastAsia"/>
        </w:rPr>
      </w:pPr>
    </w:p>
    <w:p w14:paraId="65CA77C7">
      <w:pPr>
        <w:pStyle w:val="15"/>
        <w:tabs>
          <w:tab w:val="right" w:leader="dot" w:pos="9746"/>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_Toc21882 </w:instrText>
      </w:r>
      <w:r>
        <w:rPr>
          <w:rFonts w:hint="eastAsia" w:ascii="宋体" w:hAnsi="宋体" w:eastAsia="宋体" w:cs="宋体"/>
          <w:sz w:val="24"/>
          <w:szCs w:val="24"/>
        </w:rPr>
        <w:fldChar w:fldCharType="separate"/>
      </w:r>
      <w:r>
        <w:rPr>
          <w:rFonts w:hint="eastAsia" w:ascii="宋体" w:hAnsi="宋体" w:eastAsia="宋体" w:cs="宋体"/>
          <w:sz w:val="24"/>
          <w:szCs w:val="24"/>
        </w:rPr>
        <w:t>一、建设项目基本情况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_Toc21882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3AFF2A">
      <w:pPr>
        <w:pStyle w:val="15"/>
        <w:tabs>
          <w:tab w:val="right" w:leader="dot" w:pos="9746"/>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_Toc22574 </w:instrText>
      </w:r>
      <w:r>
        <w:rPr>
          <w:rFonts w:hint="eastAsia" w:ascii="宋体" w:hAnsi="宋体" w:eastAsia="宋体" w:cs="宋体"/>
          <w:sz w:val="24"/>
          <w:szCs w:val="24"/>
        </w:rPr>
        <w:fldChar w:fldCharType="separate"/>
      </w:r>
      <w:r>
        <w:rPr>
          <w:rFonts w:hint="eastAsia" w:ascii="宋体" w:hAnsi="宋体" w:eastAsia="宋体" w:cs="宋体"/>
          <w:sz w:val="24"/>
          <w:szCs w:val="24"/>
        </w:rPr>
        <w:t>二、建设项目所在地自然环境社会环境简况</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p>
    <w:p w14:paraId="61BF0EC3">
      <w:pPr>
        <w:pStyle w:val="15"/>
        <w:tabs>
          <w:tab w:val="right" w:leader="dot" w:pos="9746"/>
        </w:tabs>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_Toc7596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三、环境质量状况</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5499C9">
      <w:pPr>
        <w:pStyle w:val="15"/>
        <w:tabs>
          <w:tab w:val="right" w:leader="dot" w:pos="9746"/>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_Toc9532 </w:instrText>
      </w:r>
      <w:r>
        <w:rPr>
          <w:rFonts w:hint="eastAsia" w:ascii="宋体" w:hAnsi="宋体" w:eastAsia="宋体" w:cs="宋体"/>
          <w:sz w:val="24"/>
          <w:szCs w:val="24"/>
        </w:rPr>
        <w:fldChar w:fldCharType="separate"/>
      </w:r>
      <w:r>
        <w:rPr>
          <w:rFonts w:hint="eastAsia" w:ascii="宋体" w:hAnsi="宋体" w:eastAsia="宋体" w:cs="宋体"/>
          <w:sz w:val="24"/>
          <w:szCs w:val="24"/>
        </w:rPr>
        <w:t>四、评价适用标准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_Toc9532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1CAEFE">
      <w:pPr>
        <w:pStyle w:val="15"/>
        <w:tabs>
          <w:tab w:val="right" w:leader="dot" w:pos="9746"/>
        </w:tabs>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五、建设项目工程分析</w:t>
      </w:r>
      <w:r>
        <w:rPr>
          <w:rFonts w:hint="eastAsia" w:ascii="宋体" w:hAnsi="宋体" w:eastAsia="宋体" w:cs="宋体"/>
          <w:sz w:val="24"/>
          <w:szCs w:val="24"/>
        </w:rPr>
        <w:tab/>
      </w:r>
      <w:r>
        <w:rPr>
          <w:rFonts w:hint="eastAsia" w:ascii="宋体" w:hAnsi="宋体" w:eastAsia="宋体" w:cs="宋体"/>
          <w:sz w:val="24"/>
          <w:szCs w:val="24"/>
          <w:lang w:val="en-US" w:eastAsia="zh-CN"/>
        </w:rPr>
        <w:t>18</w:t>
      </w:r>
    </w:p>
    <w:p w14:paraId="71A60017">
      <w:pPr>
        <w:pStyle w:val="15"/>
        <w:tabs>
          <w:tab w:val="right" w:leader="dot" w:pos="9746"/>
        </w:tabs>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_Toc2003 </w:instrText>
      </w:r>
      <w:r>
        <w:rPr>
          <w:rFonts w:hint="eastAsia" w:ascii="宋体" w:hAnsi="宋体" w:eastAsia="宋体" w:cs="宋体"/>
          <w:sz w:val="24"/>
          <w:szCs w:val="24"/>
        </w:rPr>
        <w:fldChar w:fldCharType="separate"/>
      </w:r>
      <w:r>
        <w:rPr>
          <w:rFonts w:hint="eastAsia" w:ascii="宋体" w:hAnsi="宋体" w:eastAsia="宋体" w:cs="宋体"/>
          <w:sz w:val="24"/>
          <w:szCs w:val="24"/>
        </w:rPr>
        <w:t>六、项目主要污染物产生及预计排放情况</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7</w:t>
      </w:r>
    </w:p>
    <w:p w14:paraId="3139B36B">
      <w:pPr>
        <w:pStyle w:val="15"/>
        <w:tabs>
          <w:tab w:val="right" w:leader="dot" w:pos="9746"/>
        </w:tabs>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_Toc4462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七、环境影响分析</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1696455B">
      <w:pPr>
        <w:pStyle w:val="15"/>
        <w:tabs>
          <w:tab w:val="right" w:leader="dot" w:pos="9746"/>
        </w:tabs>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_Toc11303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八、</w:t>
      </w:r>
      <w:r>
        <w:rPr>
          <w:rFonts w:hint="eastAsia" w:ascii="宋体" w:hAnsi="宋体" w:eastAsia="宋体" w:cs="宋体"/>
          <w:sz w:val="24"/>
          <w:szCs w:val="24"/>
        </w:rPr>
        <w:t>建设项目拟采取的防治措施及预期治理效果</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2C5FA48C">
      <w:pPr>
        <w:pStyle w:val="15"/>
        <w:tabs>
          <w:tab w:val="right" w:leader="dot" w:pos="9746"/>
        </w:tabs>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九、结论</w:t>
      </w:r>
      <w:r>
        <w:rPr>
          <w:rFonts w:hint="eastAsia" w:ascii="宋体" w:hAnsi="宋体" w:eastAsia="宋体" w:cs="宋体"/>
          <w:sz w:val="24"/>
          <w:szCs w:val="24"/>
        </w:rPr>
        <w:tab/>
      </w:r>
      <w:r>
        <w:rPr>
          <w:rFonts w:hint="eastAsia" w:ascii="宋体" w:hAnsi="宋体" w:cs="宋体"/>
          <w:sz w:val="24"/>
          <w:szCs w:val="24"/>
          <w:lang w:val="en-US" w:eastAsia="zh-CN"/>
        </w:rPr>
        <w:t>47</w:t>
      </w:r>
    </w:p>
    <w:p w14:paraId="51BB3063">
      <w:pPr>
        <w:spacing w:line="360" w:lineRule="auto"/>
        <w:rPr>
          <w:rFonts w:hint="eastAsia" w:ascii="宋体" w:hAnsi="宋体" w:eastAsia="宋体" w:cs="宋体"/>
          <w:sz w:val="24"/>
          <w:szCs w:val="24"/>
        </w:rPr>
      </w:pPr>
      <w:r>
        <w:rPr>
          <w:rFonts w:hint="eastAsia" w:ascii="宋体" w:hAnsi="宋体" w:eastAsia="宋体" w:cs="宋体"/>
          <w:sz w:val="24"/>
          <w:szCs w:val="24"/>
        </w:rPr>
        <w:fldChar w:fldCharType="end"/>
      </w:r>
    </w:p>
    <w:p w14:paraId="6BA40C20">
      <w:pPr>
        <w:spacing w:line="360" w:lineRule="auto"/>
        <w:rPr>
          <w:rFonts w:hint="eastAsia" w:ascii="宋体" w:hAnsi="宋体" w:eastAsia="宋体" w:cs="宋体"/>
          <w:sz w:val="24"/>
          <w:szCs w:val="24"/>
        </w:rPr>
      </w:pPr>
    </w:p>
    <w:p w14:paraId="49B9017F">
      <w:pPr>
        <w:rPr>
          <w:rFonts w:hint="eastAsia"/>
        </w:rPr>
      </w:pPr>
    </w:p>
    <w:p w14:paraId="54B0FCC5">
      <w:pPr>
        <w:spacing w:line="360" w:lineRule="auto"/>
        <w:rPr>
          <w:rFonts w:ascii="宋体"/>
          <w:b/>
          <w:color w:val="000000"/>
          <w:sz w:val="24"/>
        </w:rPr>
      </w:pPr>
      <w:r>
        <w:rPr>
          <w:rFonts w:hint="eastAsia" w:ascii="宋体" w:hAnsi="宋体"/>
          <w:b/>
          <w:color w:val="000000"/>
          <w:sz w:val="24"/>
        </w:rPr>
        <w:t>附件：</w:t>
      </w:r>
    </w:p>
    <w:p w14:paraId="4D584A3E">
      <w:pPr>
        <w:numPr>
          <w:ilvl w:val="0"/>
          <w:numId w:val="4"/>
        </w:numPr>
        <w:spacing w:line="360" w:lineRule="auto"/>
        <w:rPr>
          <w:rFonts w:ascii="宋体"/>
          <w:color w:val="000000"/>
          <w:sz w:val="24"/>
        </w:rPr>
      </w:pPr>
      <w:r>
        <w:rPr>
          <w:rFonts w:hint="eastAsia" w:ascii="宋体" w:hAnsi="宋体"/>
          <w:color w:val="000000"/>
          <w:sz w:val="24"/>
        </w:rPr>
        <w:t>委托书；</w:t>
      </w:r>
    </w:p>
    <w:p w14:paraId="2812B17C">
      <w:pPr>
        <w:numPr>
          <w:ilvl w:val="0"/>
          <w:numId w:val="4"/>
        </w:numPr>
        <w:spacing w:line="360" w:lineRule="auto"/>
        <w:ind w:left="420" w:leftChars="0" w:hanging="420" w:firstLineChars="0"/>
        <w:rPr>
          <w:rFonts w:hint="eastAsia" w:ascii="宋体" w:hAnsi="宋体"/>
          <w:color w:val="000000"/>
          <w:sz w:val="24"/>
        </w:rPr>
      </w:pPr>
      <w:r>
        <w:rPr>
          <w:rFonts w:hint="eastAsia" w:ascii="宋体"/>
          <w:color w:val="000000"/>
          <w:sz w:val="24"/>
          <w:lang w:eastAsia="zh-CN"/>
        </w:rPr>
        <w:t>营业执照</w:t>
      </w:r>
      <w:r>
        <w:rPr>
          <w:rFonts w:hint="eastAsia" w:ascii="宋体" w:hAnsi="宋体"/>
          <w:color w:val="000000"/>
          <w:sz w:val="24"/>
        </w:rPr>
        <w:t>；</w:t>
      </w:r>
    </w:p>
    <w:p w14:paraId="5406A453">
      <w:pPr>
        <w:numPr>
          <w:ilvl w:val="0"/>
          <w:numId w:val="4"/>
        </w:numPr>
        <w:spacing w:line="360" w:lineRule="auto"/>
        <w:ind w:left="420" w:leftChars="0" w:hanging="420" w:firstLineChars="0"/>
        <w:rPr>
          <w:rFonts w:hint="eastAsia" w:ascii="宋体" w:eastAsia="宋体"/>
          <w:color w:val="000000"/>
          <w:sz w:val="24"/>
          <w:lang w:val="en-US" w:eastAsia="zh-CN"/>
        </w:rPr>
      </w:pPr>
      <w:r>
        <w:rPr>
          <w:rFonts w:hint="eastAsia" w:ascii="宋体" w:hAnsi="宋体"/>
          <w:color w:val="000000"/>
          <w:sz w:val="24"/>
          <w:lang w:val="en-US" w:eastAsia="zh-CN"/>
        </w:rPr>
        <w:t>租地合同；</w:t>
      </w:r>
    </w:p>
    <w:p w14:paraId="20786328">
      <w:pPr>
        <w:numPr>
          <w:ilvl w:val="0"/>
          <w:numId w:val="4"/>
        </w:numPr>
        <w:spacing w:line="440" w:lineRule="exact"/>
        <w:ind w:left="420" w:leftChars="0" w:hanging="420" w:firstLineChars="0"/>
        <w:rPr>
          <w:rFonts w:hint="eastAsia" w:ascii="宋体" w:hAnsi="宋体" w:eastAsia="宋体" w:cs="宋体"/>
          <w:spacing w:val="4"/>
          <w:sz w:val="24"/>
          <w:szCs w:val="24"/>
          <w:u w:val="none"/>
          <w:lang w:val="en-US" w:eastAsia="zh-CN"/>
        </w:rPr>
      </w:pPr>
      <w:r>
        <w:rPr>
          <w:rFonts w:hint="eastAsia" w:ascii="宋体" w:hAnsi="宋体" w:cs="宋体"/>
          <w:spacing w:val="4"/>
          <w:sz w:val="24"/>
          <w:szCs w:val="24"/>
          <w:u w:val="none"/>
        </w:rPr>
        <w:t>芒市环境保护局</w:t>
      </w:r>
      <w:r>
        <w:rPr>
          <w:rFonts w:hint="eastAsia" w:ascii="宋体" w:hAnsi="宋体" w:cs="宋体"/>
          <w:spacing w:val="4"/>
          <w:sz w:val="24"/>
          <w:szCs w:val="24"/>
          <w:u w:val="none"/>
          <w:lang w:val="en-US" w:eastAsia="zh-CN"/>
        </w:rPr>
        <w:t xml:space="preserve">行政处罚决定书 </w:t>
      </w:r>
      <w:r>
        <w:rPr>
          <w:rFonts w:hint="eastAsia" w:ascii="宋体" w:hAnsi="宋体" w:cs="宋体"/>
          <w:spacing w:val="4"/>
          <w:sz w:val="24"/>
          <w:szCs w:val="24"/>
          <w:u w:val="none"/>
        </w:rPr>
        <w:t>芒环</w:t>
      </w:r>
      <w:r>
        <w:rPr>
          <w:rFonts w:hint="eastAsia" w:ascii="宋体" w:hAnsi="宋体" w:cs="宋体"/>
          <w:spacing w:val="4"/>
          <w:sz w:val="24"/>
          <w:szCs w:val="24"/>
          <w:u w:val="none"/>
          <w:lang w:eastAsia="zh-CN"/>
        </w:rPr>
        <w:t>罚</w:t>
      </w:r>
      <w:r>
        <w:rPr>
          <w:rFonts w:hint="eastAsia" w:ascii="宋体" w:hAnsi="宋体" w:cs="宋体"/>
          <w:spacing w:val="4"/>
          <w:sz w:val="24"/>
          <w:szCs w:val="24"/>
          <w:u w:val="none"/>
        </w:rPr>
        <w:t>字</w:t>
      </w:r>
      <w:r>
        <w:rPr>
          <w:rFonts w:hint="eastAsia" w:ascii="宋体" w:hAnsi="宋体" w:cs="宋体"/>
          <w:sz w:val="24"/>
          <w:u w:val="none"/>
        </w:rPr>
        <w:t>[201</w:t>
      </w:r>
      <w:r>
        <w:rPr>
          <w:rFonts w:hint="eastAsia" w:ascii="宋体" w:hAnsi="宋体" w:cs="宋体"/>
          <w:sz w:val="24"/>
          <w:u w:val="none"/>
          <w:lang w:val="en-US" w:eastAsia="zh-CN"/>
        </w:rPr>
        <w:t>9</w:t>
      </w:r>
      <w:r>
        <w:rPr>
          <w:rFonts w:hint="eastAsia" w:ascii="宋体" w:hAnsi="宋体" w:cs="宋体"/>
          <w:sz w:val="24"/>
          <w:u w:val="none"/>
        </w:rPr>
        <w:t>]1号；</w:t>
      </w:r>
    </w:p>
    <w:p w14:paraId="3FB42586">
      <w:pPr>
        <w:numPr>
          <w:ilvl w:val="0"/>
          <w:numId w:val="4"/>
        </w:numPr>
        <w:spacing w:line="360" w:lineRule="auto"/>
        <w:ind w:left="420" w:leftChars="0" w:hanging="420" w:firstLineChars="0"/>
        <w:rPr>
          <w:rFonts w:hint="eastAsia" w:ascii="宋体" w:hAnsi="宋体" w:eastAsia="宋体"/>
          <w:b w:val="0"/>
          <w:bCs/>
          <w:color w:val="000000"/>
          <w:sz w:val="24"/>
          <w:lang w:val="en-US" w:eastAsia="zh-CN"/>
        </w:rPr>
      </w:pPr>
      <w:r>
        <w:rPr>
          <w:rFonts w:hint="eastAsia" w:ascii="宋体" w:hAnsi="宋体"/>
          <w:b w:val="0"/>
          <w:bCs/>
          <w:color w:val="000000"/>
          <w:sz w:val="24"/>
          <w:lang w:val="en-US" w:eastAsia="zh-CN"/>
        </w:rPr>
        <w:t>罚款收据</w:t>
      </w:r>
    </w:p>
    <w:p w14:paraId="0A2AA467">
      <w:pPr>
        <w:numPr>
          <w:ilvl w:val="0"/>
          <w:numId w:val="4"/>
        </w:numPr>
        <w:spacing w:line="440" w:lineRule="exact"/>
        <w:ind w:left="420" w:leftChars="0" w:hanging="420" w:firstLineChars="0"/>
        <w:rPr>
          <w:rFonts w:hint="eastAsia" w:ascii="宋体" w:hAnsi="宋体" w:cs="宋体"/>
          <w:sz w:val="24"/>
          <w:szCs w:val="24"/>
          <w:u w:val="none"/>
        </w:rPr>
      </w:pPr>
      <w:r>
        <w:rPr>
          <w:rFonts w:hint="eastAsia" w:ascii="宋体" w:hAnsi="宋体" w:cs="宋体"/>
          <w:sz w:val="24"/>
          <w:szCs w:val="24"/>
          <w:u w:val="none"/>
          <w:lang w:eastAsia="zh-CN"/>
        </w:rPr>
        <w:t>投资备案证</w:t>
      </w:r>
    </w:p>
    <w:p w14:paraId="5E85FD23">
      <w:pPr>
        <w:numPr>
          <w:ilvl w:val="0"/>
          <w:numId w:val="4"/>
        </w:numPr>
        <w:spacing w:line="440" w:lineRule="exact"/>
        <w:ind w:left="420" w:leftChars="0" w:hanging="420" w:firstLineChars="0"/>
        <w:rPr>
          <w:rFonts w:hint="eastAsia" w:ascii="宋体" w:hAnsi="宋体" w:cs="宋体"/>
          <w:sz w:val="24"/>
          <w:szCs w:val="24"/>
          <w:u w:val="none"/>
        </w:rPr>
      </w:pPr>
      <w:r>
        <w:rPr>
          <w:rFonts w:hint="eastAsia" w:ascii="宋体" w:hAnsi="宋体" w:cs="宋体"/>
          <w:sz w:val="24"/>
          <w:szCs w:val="24"/>
          <w:u w:val="none"/>
          <w:lang w:eastAsia="zh-CN"/>
        </w:rPr>
        <w:t>环评合同</w:t>
      </w:r>
      <w:r>
        <w:rPr>
          <w:rFonts w:hint="eastAsia" w:ascii="宋体" w:hAnsi="宋体" w:cs="宋体"/>
          <w:sz w:val="24"/>
          <w:szCs w:val="24"/>
          <w:u w:val="none"/>
        </w:rPr>
        <w:t>；</w:t>
      </w:r>
    </w:p>
    <w:p w14:paraId="77DBDEA6">
      <w:pPr>
        <w:numPr>
          <w:ilvl w:val="0"/>
          <w:numId w:val="4"/>
        </w:numPr>
        <w:spacing w:line="440" w:lineRule="exact"/>
        <w:ind w:left="420" w:leftChars="0" w:hanging="420" w:firstLineChars="0"/>
        <w:rPr>
          <w:rFonts w:hint="eastAsia" w:ascii="宋体" w:hAnsi="宋体"/>
          <w:b w:val="0"/>
          <w:bCs w:val="0"/>
          <w:color w:val="000000"/>
          <w:sz w:val="24"/>
        </w:rPr>
      </w:pPr>
      <w:r>
        <w:rPr>
          <w:rFonts w:hint="eastAsia" w:ascii="宋体" w:hAnsi="宋体" w:cs="宋体"/>
          <w:b w:val="0"/>
          <w:bCs w:val="0"/>
          <w:sz w:val="24"/>
          <w:szCs w:val="24"/>
          <w:u w:val="none"/>
        </w:rPr>
        <w:t>内部审核表</w:t>
      </w:r>
    </w:p>
    <w:p w14:paraId="3C571547">
      <w:pPr>
        <w:spacing w:line="360" w:lineRule="auto"/>
        <w:rPr>
          <w:rFonts w:hint="eastAsia" w:ascii="宋体" w:hAnsi="宋体"/>
          <w:b/>
          <w:color w:val="000000"/>
          <w:sz w:val="24"/>
        </w:rPr>
      </w:pPr>
    </w:p>
    <w:p w14:paraId="4115970D">
      <w:pPr>
        <w:spacing w:line="360" w:lineRule="auto"/>
        <w:rPr>
          <w:rFonts w:ascii="宋体" w:hAnsi="宋体"/>
          <w:b/>
          <w:color w:val="000000"/>
          <w:sz w:val="24"/>
        </w:rPr>
      </w:pPr>
      <w:r>
        <w:rPr>
          <w:rFonts w:hint="eastAsia" w:ascii="宋体" w:hAnsi="宋体"/>
          <w:b/>
          <w:color w:val="000000"/>
          <w:sz w:val="24"/>
        </w:rPr>
        <w:t>附图：</w:t>
      </w:r>
    </w:p>
    <w:p w14:paraId="68D73EDD">
      <w:pPr>
        <w:numPr>
          <w:ilvl w:val="0"/>
          <w:numId w:val="5"/>
        </w:numPr>
        <w:spacing w:line="360" w:lineRule="auto"/>
        <w:rPr>
          <w:rFonts w:ascii="宋体" w:hAnsi="宋体"/>
          <w:color w:val="000000"/>
          <w:sz w:val="24"/>
        </w:rPr>
      </w:pPr>
      <w:r>
        <w:rPr>
          <w:rFonts w:hint="eastAsia" w:ascii="宋体" w:hAnsi="宋体"/>
          <w:color w:val="000000"/>
          <w:sz w:val="24"/>
        </w:rPr>
        <w:t>项目地理位置图；</w:t>
      </w:r>
    </w:p>
    <w:p w14:paraId="332060FE">
      <w:pPr>
        <w:numPr>
          <w:ilvl w:val="0"/>
          <w:numId w:val="5"/>
        </w:numPr>
        <w:spacing w:line="360" w:lineRule="auto"/>
        <w:rPr>
          <w:rFonts w:ascii="宋体" w:hAnsi="宋体"/>
          <w:color w:val="000000"/>
          <w:sz w:val="24"/>
        </w:rPr>
      </w:pPr>
      <w:r>
        <w:rPr>
          <w:rFonts w:hint="eastAsia" w:ascii="宋体" w:hAnsi="宋体"/>
          <w:color w:val="000000"/>
          <w:sz w:val="24"/>
        </w:rPr>
        <w:t>项目</w:t>
      </w:r>
      <w:r>
        <w:rPr>
          <w:rFonts w:hint="eastAsia" w:ascii="宋体" w:hAnsi="宋体"/>
          <w:color w:val="000000"/>
          <w:sz w:val="24"/>
          <w:lang w:eastAsia="zh-CN"/>
        </w:rPr>
        <w:t>平面规划</w:t>
      </w:r>
      <w:r>
        <w:rPr>
          <w:rFonts w:hint="eastAsia" w:ascii="宋体" w:hAnsi="宋体"/>
          <w:color w:val="000000"/>
          <w:sz w:val="24"/>
        </w:rPr>
        <w:t>图；</w:t>
      </w:r>
    </w:p>
    <w:p w14:paraId="60A72129">
      <w:pPr>
        <w:numPr>
          <w:ilvl w:val="0"/>
          <w:numId w:val="5"/>
        </w:numPr>
        <w:spacing w:line="360" w:lineRule="auto"/>
        <w:rPr>
          <w:rFonts w:ascii="宋体" w:hAnsi="宋体"/>
          <w:color w:val="000000"/>
          <w:sz w:val="24"/>
        </w:rPr>
      </w:pPr>
      <w:r>
        <w:rPr>
          <w:rFonts w:hint="eastAsia" w:ascii="宋体" w:hAnsi="宋体"/>
          <w:color w:val="000000"/>
          <w:sz w:val="24"/>
          <w:lang w:eastAsia="zh-CN"/>
        </w:rPr>
        <w:t>项目周边关系图</w:t>
      </w:r>
      <w:r>
        <w:rPr>
          <w:rFonts w:hint="eastAsia" w:ascii="宋体" w:hAnsi="宋体"/>
          <w:color w:val="000000"/>
          <w:sz w:val="24"/>
        </w:rPr>
        <w:t>；</w:t>
      </w:r>
    </w:p>
    <w:p w14:paraId="7F2F1B12">
      <w:pPr>
        <w:numPr>
          <w:ilvl w:val="0"/>
          <w:numId w:val="5"/>
        </w:numPr>
        <w:spacing w:line="360" w:lineRule="auto"/>
        <w:rPr>
          <w:rFonts w:ascii="宋体" w:hAnsi="宋体"/>
          <w:color w:val="000000"/>
          <w:sz w:val="24"/>
        </w:rPr>
      </w:pPr>
      <w:r>
        <w:rPr>
          <w:rFonts w:hint="eastAsia" w:ascii="宋体" w:hAnsi="宋体"/>
          <w:color w:val="000000"/>
          <w:sz w:val="24"/>
          <w:lang w:eastAsia="zh-CN"/>
        </w:rPr>
        <w:t>项目区域水系</w:t>
      </w:r>
      <w:r>
        <w:rPr>
          <w:rFonts w:hint="eastAsia" w:ascii="宋体" w:hAnsi="宋体"/>
          <w:color w:val="000000"/>
          <w:sz w:val="24"/>
        </w:rPr>
        <w:t>图；</w:t>
      </w:r>
    </w:p>
    <w:p w14:paraId="665C8402">
      <w:pPr>
        <w:pStyle w:val="3"/>
        <w:rPr>
          <w:rFonts w:hint="eastAsia" w:ascii="Times New Roman" w:hAnsi="Times New Roman"/>
          <w:color w:val="auto"/>
        </w:rPr>
        <w:sectPr>
          <w:headerReference r:id="rId10" w:type="first"/>
          <w:footerReference r:id="rId13" w:type="first"/>
          <w:headerReference r:id="rId8" w:type="default"/>
          <w:footerReference r:id="rId11" w:type="default"/>
          <w:headerReference r:id="rId9" w:type="even"/>
          <w:footerReference r:id="rId12" w:type="even"/>
          <w:pgSz w:w="11907" w:h="16840"/>
          <w:pgMar w:top="1418" w:right="1418" w:bottom="1440" w:left="1418" w:header="851" w:footer="1247" w:gutter="0"/>
          <w:pgNumType w:start="1"/>
          <w:cols w:space="720" w:num="1"/>
          <w:docGrid w:type="lines" w:linePitch="312" w:charSpace="0"/>
        </w:sectPr>
      </w:pPr>
    </w:p>
    <w:p w14:paraId="0F7A33D2">
      <w:pPr>
        <w:outlineLvl w:val="0"/>
        <w:rPr>
          <w:b/>
          <w:bCs/>
          <w:sz w:val="32"/>
        </w:rPr>
      </w:pPr>
      <w:bookmarkStart w:id="0" w:name="_Toc25905"/>
      <w:bookmarkStart w:id="1" w:name="_Toc10640"/>
      <w:r>
        <w:rPr>
          <w:rFonts w:hint="eastAsia" w:hAnsi="宋体"/>
          <w:b/>
          <w:bCs/>
          <w:sz w:val="32"/>
          <w:lang w:eastAsia="zh-CN"/>
        </w:rPr>
        <w:t>表</w:t>
      </w:r>
      <w:r>
        <w:rPr>
          <w:rFonts w:hAnsi="宋体"/>
          <w:b/>
          <w:bCs/>
          <w:sz w:val="32"/>
        </w:rPr>
        <w:t>一、建设项目基本情况</w:t>
      </w:r>
      <w:bookmarkEnd w:id="0"/>
      <w:bookmarkEnd w:id="1"/>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01"/>
        <w:gridCol w:w="1332"/>
        <w:gridCol w:w="56"/>
        <w:gridCol w:w="458"/>
        <w:gridCol w:w="847"/>
        <w:gridCol w:w="278"/>
        <w:gridCol w:w="1264"/>
        <w:gridCol w:w="203"/>
        <w:gridCol w:w="911"/>
      </w:tblGrid>
      <w:tr w14:paraId="5D5F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72" w:type="dxa"/>
            <w:vAlign w:val="center"/>
          </w:tcPr>
          <w:p w14:paraId="2552AF5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950" w:type="dxa"/>
            <w:gridSpan w:val="9"/>
            <w:vAlign w:val="center"/>
          </w:tcPr>
          <w:p w14:paraId="7E03C102">
            <w:pPr>
              <w:jc w:val="center"/>
              <w:rPr>
                <w:rFonts w:hint="eastAsia" w:ascii="宋体" w:hAnsi="宋体" w:eastAsia="宋体" w:cs="宋体"/>
                <w:color w:val="auto"/>
                <w:sz w:val="24"/>
                <w:szCs w:val="24"/>
              </w:rPr>
            </w:pPr>
            <w:r>
              <w:rPr>
                <w:rFonts w:hint="eastAsia" w:ascii="宋体" w:hAnsi="宋体" w:eastAsia="宋体" w:cs="宋体"/>
                <w:bCs/>
                <w:color w:val="auto"/>
                <w:sz w:val="24"/>
                <w:szCs w:val="24"/>
              </w:rPr>
              <w:t>芒市</w:t>
            </w:r>
            <w:r>
              <w:rPr>
                <w:rFonts w:hint="eastAsia" w:ascii="宋体" w:hAnsi="宋体" w:eastAsia="宋体" w:cs="宋体"/>
                <w:bCs/>
                <w:color w:val="auto"/>
                <w:sz w:val="24"/>
                <w:szCs w:val="24"/>
                <w:lang w:eastAsia="zh-CN"/>
              </w:rPr>
              <w:t>轩岗乡宏德茶叶加工厂</w:t>
            </w:r>
          </w:p>
        </w:tc>
      </w:tr>
      <w:tr w14:paraId="13C3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72" w:type="dxa"/>
            <w:vAlign w:val="center"/>
          </w:tcPr>
          <w:p w14:paraId="4C2A423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建设单位</w:t>
            </w:r>
          </w:p>
        </w:tc>
        <w:tc>
          <w:tcPr>
            <w:tcW w:w="6950" w:type="dxa"/>
            <w:gridSpan w:val="9"/>
            <w:vAlign w:val="center"/>
          </w:tcPr>
          <w:p w14:paraId="0CC582F3">
            <w:pPr>
              <w:jc w:val="center"/>
              <w:rPr>
                <w:rFonts w:hint="eastAsia" w:ascii="宋体" w:hAnsi="宋体" w:eastAsia="宋体" w:cs="宋体"/>
                <w:color w:val="auto"/>
                <w:sz w:val="24"/>
                <w:szCs w:val="24"/>
              </w:rPr>
            </w:pPr>
            <w:r>
              <w:rPr>
                <w:rFonts w:hint="eastAsia" w:ascii="宋体" w:hAnsi="宋体" w:eastAsia="宋体" w:cs="宋体"/>
                <w:bCs/>
                <w:color w:val="auto"/>
                <w:sz w:val="24"/>
                <w:szCs w:val="24"/>
              </w:rPr>
              <w:t>芒市</w:t>
            </w:r>
            <w:r>
              <w:rPr>
                <w:rFonts w:hint="eastAsia" w:ascii="宋体" w:hAnsi="宋体" w:eastAsia="宋体" w:cs="宋体"/>
                <w:bCs/>
                <w:color w:val="auto"/>
                <w:sz w:val="24"/>
                <w:szCs w:val="24"/>
                <w:lang w:eastAsia="zh-CN"/>
              </w:rPr>
              <w:t>轩岗乡宏德茶叶加工厂</w:t>
            </w:r>
          </w:p>
        </w:tc>
      </w:tr>
      <w:tr w14:paraId="392C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2" w:type="dxa"/>
            <w:vAlign w:val="center"/>
          </w:tcPr>
          <w:p w14:paraId="0047D75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w:t>
            </w:r>
          </w:p>
        </w:tc>
        <w:tc>
          <w:tcPr>
            <w:tcW w:w="2989" w:type="dxa"/>
            <w:gridSpan w:val="3"/>
            <w:vAlign w:val="center"/>
          </w:tcPr>
          <w:p w14:paraId="431A36A8">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刘正德</w:t>
            </w:r>
          </w:p>
        </w:tc>
        <w:tc>
          <w:tcPr>
            <w:tcW w:w="1583" w:type="dxa"/>
            <w:gridSpan w:val="3"/>
            <w:vAlign w:val="center"/>
          </w:tcPr>
          <w:p w14:paraId="5699C6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378" w:type="dxa"/>
            <w:gridSpan w:val="3"/>
            <w:vAlign w:val="center"/>
          </w:tcPr>
          <w:p w14:paraId="1E272F3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刘正德</w:t>
            </w:r>
          </w:p>
        </w:tc>
      </w:tr>
      <w:tr w14:paraId="0E1A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72" w:type="dxa"/>
            <w:vAlign w:val="center"/>
          </w:tcPr>
          <w:p w14:paraId="143A630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通讯地址</w:t>
            </w:r>
          </w:p>
        </w:tc>
        <w:tc>
          <w:tcPr>
            <w:tcW w:w="6950" w:type="dxa"/>
            <w:gridSpan w:val="9"/>
            <w:vAlign w:val="center"/>
          </w:tcPr>
          <w:p w14:paraId="2562448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云南省德宏州芒市</w:t>
            </w:r>
            <w:r>
              <w:rPr>
                <w:rFonts w:hint="eastAsia" w:ascii="宋体" w:hAnsi="宋体" w:eastAsia="宋体" w:cs="宋体"/>
                <w:color w:val="auto"/>
                <w:sz w:val="24"/>
                <w:szCs w:val="24"/>
                <w:lang w:eastAsia="zh-CN"/>
              </w:rPr>
              <w:t>轩岗乡遮相居委会第一居民小组</w:t>
            </w:r>
          </w:p>
        </w:tc>
      </w:tr>
      <w:tr w14:paraId="347A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2" w:type="dxa"/>
            <w:vAlign w:val="center"/>
          </w:tcPr>
          <w:p w14:paraId="0772117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601" w:type="dxa"/>
            <w:vAlign w:val="center"/>
          </w:tcPr>
          <w:p w14:paraId="0016DE69">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139</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496</w:t>
            </w:r>
          </w:p>
        </w:tc>
        <w:tc>
          <w:tcPr>
            <w:tcW w:w="1388" w:type="dxa"/>
            <w:gridSpan w:val="2"/>
            <w:vAlign w:val="center"/>
          </w:tcPr>
          <w:p w14:paraId="49CA37D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583" w:type="dxa"/>
            <w:gridSpan w:val="3"/>
            <w:vAlign w:val="center"/>
          </w:tcPr>
          <w:p w14:paraId="27008BA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64" w:type="dxa"/>
            <w:vAlign w:val="center"/>
          </w:tcPr>
          <w:p w14:paraId="1C779E5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114" w:type="dxa"/>
            <w:gridSpan w:val="2"/>
            <w:vAlign w:val="center"/>
          </w:tcPr>
          <w:p w14:paraId="58931911">
            <w:pPr>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6784</w:t>
            </w:r>
            <w:r>
              <w:rPr>
                <w:rFonts w:hint="eastAsia" w:ascii="宋体" w:hAnsi="宋体" w:eastAsia="宋体" w:cs="宋体"/>
                <w:color w:val="auto"/>
                <w:sz w:val="24"/>
                <w:szCs w:val="24"/>
                <w:lang w:val="en-US" w:eastAsia="zh-CN"/>
              </w:rPr>
              <w:t>00</w:t>
            </w:r>
          </w:p>
        </w:tc>
      </w:tr>
      <w:tr w14:paraId="6239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2" w:type="dxa"/>
            <w:vAlign w:val="center"/>
          </w:tcPr>
          <w:p w14:paraId="40ECA0EE">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建设地点</w:t>
            </w:r>
          </w:p>
        </w:tc>
        <w:tc>
          <w:tcPr>
            <w:tcW w:w="6950" w:type="dxa"/>
            <w:gridSpan w:val="9"/>
            <w:vAlign w:val="center"/>
          </w:tcPr>
          <w:p w14:paraId="6D1DC3FE">
            <w:pPr>
              <w:jc w:val="center"/>
              <w:rPr>
                <w:rFonts w:hint="eastAsia" w:ascii="Times New Roman" w:hAnsi="Times New Roman" w:cs="宋体"/>
                <w:color w:val="auto"/>
                <w:sz w:val="24"/>
                <w:szCs w:val="24"/>
              </w:rPr>
            </w:pPr>
            <w:r>
              <w:rPr>
                <w:rFonts w:hint="eastAsia" w:ascii="宋体" w:hAnsi="宋体" w:eastAsia="宋体" w:cs="宋体"/>
                <w:color w:val="auto"/>
                <w:sz w:val="24"/>
                <w:szCs w:val="24"/>
              </w:rPr>
              <w:t>云南省德宏州芒市</w:t>
            </w:r>
            <w:r>
              <w:rPr>
                <w:rFonts w:hint="eastAsia" w:ascii="宋体" w:hAnsi="宋体" w:eastAsia="宋体" w:cs="宋体"/>
                <w:color w:val="auto"/>
                <w:sz w:val="24"/>
                <w:szCs w:val="24"/>
                <w:lang w:eastAsia="zh-CN"/>
              </w:rPr>
              <w:t>轩岗乡遮相居委会第一居民小组</w:t>
            </w:r>
          </w:p>
        </w:tc>
      </w:tr>
      <w:tr w14:paraId="77DF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72" w:type="dxa"/>
            <w:vAlign w:val="center"/>
          </w:tcPr>
          <w:p w14:paraId="604AECA1">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立项审批部门</w:t>
            </w:r>
          </w:p>
        </w:tc>
        <w:tc>
          <w:tcPr>
            <w:tcW w:w="2933" w:type="dxa"/>
            <w:gridSpan w:val="2"/>
            <w:vAlign w:val="center"/>
          </w:tcPr>
          <w:p w14:paraId="2625C6D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p>
        </w:tc>
        <w:tc>
          <w:tcPr>
            <w:tcW w:w="1361" w:type="dxa"/>
            <w:gridSpan w:val="3"/>
            <w:vAlign w:val="center"/>
          </w:tcPr>
          <w:p w14:paraId="17C0AAC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批准文号</w:t>
            </w:r>
          </w:p>
        </w:tc>
        <w:tc>
          <w:tcPr>
            <w:tcW w:w="2656" w:type="dxa"/>
            <w:gridSpan w:val="4"/>
            <w:vAlign w:val="center"/>
          </w:tcPr>
          <w:p w14:paraId="68FD368E">
            <w:pPr>
              <w:pStyle w:val="17"/>
              <w:jc w:val="center"/>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w:t>
            </w:r>
          </w:p>
        </w:tc>
      </w:tr>
      <w:tr w14:paraId="0940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572" w:type="dxa"/>
            <w:vAlign w:val="center"/>
          </w:tcPr>
          <w:p w14:paraId="2F157368">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建设性质</w:t>
            </w:r>
          </w:p>
        </w:tc>
        <w:tc>
          <w:tcPr>
            <w:tcW w:w="2933" w:type="dxa"/>
            <w:gridSpan w:val="2"/>
            <w:vAlign w:val="center"/>
          </w:tcPr>
          <w:p w14:paraId="370795F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新建</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2"/>
                <w:sz w:val="24"/>
                <w:szCs w:val="24"/>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改建</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  扩建□</w:t>
            </w:r>
          </w:p>
        </w:tc>
        <w:tc>
          <w:tcPr>
            <w:tcW w:w="1361" w:type="dxa"/>
            <w:gridSpan w:val="3"/>
            <w:vAlign w:val="center"/>
          </w:tcPr>
          <w:p w14:paraId="383E782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行业类别及代码</w:t>
            </w:r>
          </w:p>
        </w:tc>
        <w:tc>
          <w:tcPr>
            <w:tcW w:w="2656" w:type="dxa"/>
            <w:gridSpan w:val="4"/>
            <w:vAlign w:val="center"/>
          </w:tcPr>
          <w:p w14:paraId="3F1B5C5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精制茶加工</w:t>
            </w:r>
          </w:p>
          <w:p w14:paraId="00B734C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1530</w:t>
            </w:r>
          </w:p>
        </w:tc>
      </w:tr>
      <w:tr w14:paraId="0075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72" w:type="dxa"/>
            <w:vAlign w:val="center"/>
          </w:tcPr>
          <w:p w14:paraId="475C84EC">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占地面积（m</w:t>
            </w:r>
            <w:r>
              <w:rPr>
                <w:rFonts w:hint="eastAsia" w:ascii="Times New Roman" w:hAnsi="Times New Roman" w:cs="宋体"/>
                <w:color w:val="auto"/>
                <w:sz w:val="24"/>
                <w:szCs w:val="24"/>
                <w:vertAlign w:val="superscript"/>
              </w:rPr>
              <w:t>2</w:t>
            </w:r>
            <w:r>
              <w:rPr>
                <w:rFonts w:hint="eastAsia" w:ascii="Times New Roman" w:hAnsi="Times New Roman" w:cs="宋体"/>
                <w:color w:val="auto"/>
                <w:sz w:val="24"/>
                <w:szCs w:val="24"/>
              </w:rPr>
              <w:t>）</w:t>
            </w:r>
          </w:p>
        </w:tc>
        <w:tc>
          <w:tcPr>
            <w:tcW w:w="2933" w:type="dxa"/>
            <w:gridSpan w:val="2"/>
            <w:vAlign w:val="center"/>
          </w:tcPr>
          <w:p w14:paraId="1A4BD57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13亩（8666.671）</w:t>
            </w:r>
          </w:p>
        </w:tc>
        <w:tc>
          <w:tcPr>
            <w:tcW w:w="1361" w:type="dxa"/>
            <w:gridSpan w:val="3"/>
            <w:vAlign w:val="center"/>
          </w:tcPr>
          <w:p w14:paraId="50310BD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绿化面积（m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w:t>
            </w:r>
          </w:p>
        </w:tc>
        <w:tc>
          <w:tcPr>
            <w:tcW w:w="2656" w:type="dxa"/>
            <w:gridSpan w:val="4"/>
            <w:vAlign w:val="center"/>
          </w:tcPr>
          <w:p w14:paraId="4BE08AE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0</w:t>
            </w:r>
          </w:p>
        </w:tc>
      </w:tr>
      <w:tr w14:paraId="61C3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72" w:type="dxa"/>
            <w:vAlign w:val="center"/>
          </w:tcPr>
          <w:p w14:paraId="67C277DE">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总投资</w:t>
            </w:r>
          </w:p>
          <w:p w14:paraId="09C9C08D">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（万元）</w:t>
            </w:r>
          </w:p>
        </w:tc>
        <w:tc>
          <w:tcPr>
            <w:tcW w:w="1601" w:type="dxa"/>
            <w:vAlign w:val="center"/>
          </w:tcPr>
          <w:p w14:paraId="701151C0">
            <w:pPr>
              <w:ind w:right="-10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220</w:t>
            </w:r>
          </w:p>
        </w:tc>
        <w:tc>
          <w:tcPr>
            <w:tcW w:w="1846" w:type="dxa"/>
            <w:gridSpan w:val="3"/>
            <w:vAlign w:val="center"/>
          </w:tcPr>
          <w:p w14:paraId="1E6A6A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其中：环保投资（万元）</w:t>
            </w:r>
          </w:p>
        </w:tc>
        <w:tc>
          <w:tcPr>
            <w:tcW w:w="847" w:type="dxa"/>
            <w:vAlign w:val="center"/>
          </w:tcPr>
          <w:p w14:paraId="4C3F37AB">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8.48</w:t>
            </w:r>
          </w:p>
        </w:tc>
        <w:tc>
          <w:tcPr>
            <w:tcW w:w="1745" w:type="dxa"/>
            <w:gridSpan w:val="3"/>
            <w:vAlign w:val="center"/>
          </w:tcPr>
          <w:p w14:paraId="183D7E9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环保投资占总投资比例（%）</w:t>
            </w:r>
          </w:p>
        </w:tc>
        <w:tc>
          <w:tcPr>
            <w:tcW w:w="911" w:type="dxa"/>
            <w:vAlign w:val="center"/>
          </w:tcPr>
          <w:p w14:paraId="7E3E1870">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3.85%</w:t>
            </w:r>
          </w:p>
        </w:tc>
      </w:tr>
      <w:tr w14:paraId="2EC5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72" w:type="dxa"/>
            <w:vAlign w:val="center"/>
          </w:tcPr>
          <w:p w14:paraId="641D6A87">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评价经费（万元）</w:t>
            </w:r>
          </w:p>
        </w:tc>
        <w:tc>
          <w:tcPr>
            <w:tcW w:w="1601" w:type="dxa"/>
            <w:vAlign w:val="center"/>
          </w:tcPr>
          <w:p w14:paraId="649D6965">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w:t>
            </w:r>
          </w:p>
        </w:tc>
        <w:tc>
          <w:tcPr>
            <w:tcW w:w="1846" w:type="dxa"/>
            <w:gridSpan w:val="3"/>
            <w:vAlign w:val="center"/>
          </w:tcPr>
          <w:p w14:paraId="21EB5AAD">
            <w:pPr>
              <w:jc w:val="center"/>
              <w:rPr>
                <w:rFonts w:hint="eastAsia" w:ascii="Times New Roman" w:hAnsi="Times New Roman" w:cs="宋体"/>
                <w:color w:val="auto"/>
                <w:sz w:val="24"/>
                <w:szCs w:val="24"/>
              </w:rPr>
            </w:pPr>
            <w:r>
              <w:rPr>
                <w:rFonts w:hint="eastAsia" w:ascii="Times New Roman" w:hAnsi="Times New Roman" w:cs="宋体"/>
                <w:color w:val="auto"/>
                <w:sz w:val="24"/>
                <w:szCs w:val="24"/>
              </w:rPr>
              <w:t>预期投产日期</w:t>
            </w:r>
          </w:p>
        </w:tc>
        <w:tc>
          <w:tcPr>
            <w:tcW w:w="3503" w:type="dxa"/>
            <w:gridSpan w:val="5"/>
            <w:vAlign w:val="center"/>
          </w:tcPr>
          <w:p w14:paraId="60E4D94D">
            <w:pPr>
              <w:jc w:val="center"/>
              <w:rPr>
                <w:rFonts w:hint="eastAsia" w:ascii="Times New Roman" w:hAnsi="Times New Roman" w:cs="宋体"/>
                <w:color w:val="auto"/>
                <w:sz w:val="24"/>
                <w:szCs w:val="24"/>
              </w:rPr>
            </w:pP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p>
        </w:tc>
      </w:tr>
      <w:tr w14:paraId="3108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8" w:hRule="atLeast"/>
          <w:jc w:val="center"/>
        </w:trPr>
        <w:tc>
          <w:tcPr>
            <w:tcW w:w="8522" w:type="dxa"/>
            <w:gridSpan w:val="10"/>
            <w:vAlign w:val="top"/>
          </w:tcPr>
          <w:p w14:paraId="6E720409">
            <w:pPr>
              <w:spacing w:line="360" w:lineRule="auto"/>
              <w:rPr>
                <w:rFonts w:hint="eastAsia" w:ascii="Times New Roman" w:hAnsi="Times New Roman"/>
                <w:b/>
                <w:color w:val="auto"/>
                <w:sz w:val="24"/>
                <w:szCs w:val="24"/>
              </w:rPr>
            </w:pPr>
            <w:r>
              <w:rPr>
                <w:rFonts w:hint="eastAsia" w:ascii="Times New Roman" w:hAnsi="Times New Roman"/>
                <w:b/>
                <w:color w:val="auto"/>
                <w:sz w:val="24"/>
                <w:szCs w:val="24"/>
              </w:rPr>
              <w:t>工程内容及规模</w:t>
            </w:r>
          </w:p>
          <w:p w14:paraId="481BAFE9">
            <w:pPr>
              <w:spacing w:line="360" w:lineRule="auto"/>
              <w:rPr>
                <w:rFonts w:hint="eastAsia" w:ascii="Times New Roman" w:hAnsi="Times New Roman"/>
                <w:b/>
                <w:color w:val="auto"/>
                <w:sz w:val="24"/>
                <w:szCs w:val="24"/>
              </w:rPr>
            </w:pPr>
            <w:r>
              <w:rPr>
                <w:rFonts w:hint="eastAsia" w:ascii="Times New Roman" w:hAnsi="Times New Roman"/>
                <w:b/>
                <w:color w:val="auto"/>
                <w:sz w:val="24"/>
                <w:szCs w:val="24"/>
              </w:rPr>
              <w:t>任务由来</w:t>
            </w:r>
          </w:p>
          <w:p w14:paraId="332BCBBA">
            <w:pPr>
              <w:spacing w:line="360" w:lineRule="auto"/>
              <w:ind w:firstLine="480" w:firstLineChars="200"/>
              <w:rPr>
                <w:rFonts w:hint="eastAsia" w:ascii="Times New Roman" w:hAnsi="Times New Roman"/>
                <w:color w:val="auto"/>
                <w:sz w:val="24"/>
                <w:szCs w:val="24"/>
              </w:rPr>
            </w:pPr>
            <w:r>
              <w:rPr>
                <w:rFonts w:hint="eastAsia" w:ascii="宋体" w:hAnsi="宋体" w:eastAsia="宋体" w:cs="宋体"/>
                <w:i w:val="0"/>
                <w:caps w:val="0"/>
                <w:color w:val="auto"/>
                <w:spacing w:val="0"/>
                <w:sz w:val="24"/>
                <w:szCs w:val="24"/>
                <w:shd w:val="clear" w:color="auto" w:fill="FFFFFF"/>
              </w:rPr>
              <w:t>茶叶产业是轩岗乡的传统产业，是轩岗乡群众经济收入的主要来源之一</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lang w:eastAsia="zh-CN"/>
              </w:rPr>
              <w:t>在各级党委政府的支持下，近年来大力发展茶叶种植，使轩岗乡茶叶产业走上可持续发展之路，截止</w:t>
            </w:r>
            <w:r>
              <w:rPr>
                <w:rFonts w:hint="eastAsia" w:ascii="宋体" w:hAnsi="宋体" w:eastAsia="宋体" w:cs="宋体"/>
                <w:color w:val="auto"/>
                <w:sz w:val="24"/>
                <w:szCs w:val="24"/>
                <w:lang w:val="en-US" w:eastAsia="zh-CN"/>
              </w:rPr>
              <w:t>2015年底，在轩岗乡周边种植相对连片茶园500多亩，为解决村民交售茶叶鲜叶问题，建设单位通过租赁</w:t>
            </w:r>
            <w:r>
              <w:rPr>
                <w:rFonts w:hint="eastAsia" w:ascii="宋体" w:hAnsi="宋体" w:eastAsia="宋体" w:cs="宋体"/>
                <w:b w:val="0"/>
                <w:bCs w:val="0"/>
                <w:color w:val="auto"/>
                <w:sz w:val="24"/>
                <w:szCs w:val="24"/>
                <w:lang w:eastAsia="zh-CN"/>
              </w:rPr>
              <w:t>芒市轩岗乡遮相华侨社区居民委员会土地（</w:t>
            </w:r>
            <w:r>
              <w:rPr>
                <w:rFonts w:hint="eastAsia" w:ascii="宋体" w:hAnsi="宋体" w:eastAsia="宋体" w:cs="宋体"/>
                <w:color w:val="auto"/>
                <w:sz w:val="24"/>
                <w:lang w:eastAsia="zh-CN"/>
              </w:rPr>
              <w:t>土地租赁合同</w:t>
            </w:r>
            <w:r>
              <w:rPr>
                <w:rFonts w:hint="eastAsia" w:ascii="宋体" w:hAnsi="宋体" w:eastAsia="宋体" w:cs="宋体"/>
                <w:color w:val="auto"/>
                <w:sz w:val="24"/>
              </w:rPr>
              <w:t>见附件</w:t>
            </w:r>
            <w:r>
              <w:rPr>
                <w:rFonts w:hint="eastAsia" w:ascii="宋体" w:hAnsi="宋体" w:eastAsia="宋体" w:cs="宋体"/>
                <w:b w:val="0"/>
                <w:bCs w:val="0"/>
                <w:color w:val="auto"/>
                <w:sz w:val="24"/>
                <w:szCs w:val="24"/>
                <w:lang w:eastAsia="zh-CN"/>
              </w:rPr>
              <w:t>）</w:t>
            </w:r>
            <w:r>
              <w:rPr>
                <w:rFonts w:hint="eastAsia" w:ascii="宋体" w:hAnsi="宋体" w:eastAsia="宋体" w:cs="宋体"/>
                <w:bCs/>
                <w:color w:val="auto"/>
                <w:sz w:val="24"/>
                <w:szCs w:val="24"/>
                <w:lang w:eastAsia="zh-CN"/>
              </w:rPr>
              <w:t>于</w:t>
            </w:r>
            <w:r>
              <w:rPr>
                <w:rFonts w:hint="eastAsia" w:ascii="宋体" w:hAnsi="宋体" w:eastAsia="宋体" w:cs="宋体"/>
                <w:bCs/>
                <w:color w:val="auto"/>
                <w:sz w:val="24"/>
                <w:szCs w:val="24"/>
                <w:lang w:val="en-US" w:eastAsia="zh-CN"/>
              </w:rPr>
              <w:t>2017年8月</w:t>
            </w:r>
            <w:r>
              <w:rPr>
                <w:rFonts w:hint="eastAsia" w:ascii="宋体" w:hAnsi="宋体" w:eastAsia="宋体" w:cs="宋体"/>
                <w:b w:val="0"/>
                <w:bCs w:val="0"/>
                <w:color w:val="auto"/>
                <w:sz w:val="24"/>
                <w:szCs w:val="24"/>
                <w:lang w:eastAsia="zh-CN"/>
              </w:rPr>
              <w:t>成立</w:t>
            </w:r>
            <w:r>
              <w:rPr>
                <w:rFonts w:hint="eastAsia" w:ascii="宋体" w:hAnsi="宋体" w:eastAsia="宋体" w:cs="宋体"/>
                <w:bCs/>
                <w:color w:val="auto"/>
                <w:sz w:val="24"/>
                <w:szCs w:val="24"/>
              </w:rPr>
              <w:t>芒市</w:t>
            </w:r>
            <w:r>
              <w:rPr>
                <w:rFonts w:hint="eastAsia" w:ascii="宋体" w:hAnsi="宋体" w:eastAsia="宋体" w:cs="宋体"/>
                <w:bCs/>
                <w:color w:val="auto"/>
                <w:sz w:val="24"/>
                <w:szCs w:val="24"/>
                <w:lang w:eastAsia="zh-CN"/>
              </w:rPr>
              <w:t>轩岗乡宏德茶叶加工厂</w:t>
            </w:r>
            <w:r>
              <w:rPr>
                <w:rFonts w:hint="eastAsia" w:ascii="宋体" w:hAnsi="宋体" w:eastAsia="宋体" w:cs="宋体"/>
                <w:bCs/>
                <w:color w:val="auto"/>
                <w:sz w:val="24"/>
                <w:szCs w:val="24"/>
                <w:lang w:val="en-US" w:eastAsia="zh-CN"/>
              </w:rPr>
              <w:t>，并于2018年8月投产营运。</w:t>
            </w:r>
          </w:p>
          <w:p w14:paraId="4A33874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根据芒市环境保护局行政处罚决定书，芒环罚告字</w:t>
            </w: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pacing w:val="-2"/>
                <w:sz w:val="24"/>
                <w:szCs w:val="24"/>
              </w:rPr>
              <w:t>号；建设单位</w:t>
            </w:r>
            <w:r>
              <w:rPr>
                <w:rFonts w:hint="eastAsia" w:ascii="宋体" w:hAnsi="宋体" w:eastAsia="宋体" w:cs="宋体"/>
                <w:color w:val="auto"/>
                <w:sz w:val="24"/>
                <w:szCs w:val="24"/>
              </w:rPr>
              <w:t>在未依法报批环境影响评价文件情况下，擅自于2018年5月新建一条CTC红茶生产线，并于2018年8月建成投入生产</w:t>
            </w:r>
            <w:r>
              <w:rPr>
                <w:rFonts w:hint="eastAsia" w:ascii="宋体" w:hAnsi="宋体" w:eastAsia="宋体" w:cs="宋体"/>
                <w:color w:val="auto"/>
                <w:sz w:val="24"/>
                <w:szCs w:val="24"/>
                <w:lang w:eastAsia="zh-CN"/>
              </w:rPr>
              <w:t>，</w:t>
            </w:r>
            <w:r>
              <w:rPr>
                <w:rFonts w:hint="eastAsia" w:ascii="宋体" w:hAnsi="宋体" w:eastAsia="宋体" w:cs="宋体"/>
                <w:color w:val="auto"/>
                <w:spacing w:val="-9"/>
                <w:sz w:val="24"/>
                <w:szCs w:val="24"/>
              </w:rPr>
              <w:t>建设单</w:t>
            </w:r>
            <w:r>
              <w:rPr>
                <w:rFonts w:hint="eastAsia" w:ascii="宋体" w:hAnsi="宋体" w:eastAsia="宋体" w:cs="宋体"/>
                <w:color w:val="auto"/>
                <w:spacing w:val="-5"/>
                <w:sz w:val="24"/>
                <w:szCs w:val="24"/>
              </w:rPr>
              <w:t>位行为已违反《中华人民共和国环境保护法》第十九条第二款</w:t>
            </w:r>
            <w:r>
              <w:rPr>
                <w:rFonts w:hint="eastAsia" w:ascii="宋体" w:hAnsi="宋体" w:eastAsia="宋体" w:cs="宋体"/>
                <w:color w:val="auto"/>
                <w:spacing w:val="-7"/>
                <w:sz w:val="24"/>
                <w:szCs w:val="24"/>
              </w:rPr>
              <w:t>及《建设项目环境保护管理条例》第十九条第一款的规定。根据</w:t>
            </w:r>
            <w:r>
              <w:rPr>
                <w:rFonts w:hint="eastAsia" w:ascii="宋体" w:hAnsi="宋体" w:eastAsia="宋体" w:cs="宋体"/>
                <w:color w:val="auto"/>
                <w:spacing w:val="-5"/>
                <w:sz w:val="24"/>
                <w:szCs w:val="24"/>
              </w:rPr>
              <w:t>《中华人民共和国环境保护法》第六十一条、《中华人民共和国环境影响评价法》第三十一条和</w:t>
            </w:r>
            <w:r>
              <w:rPr>
                <w:rFonts w:hint="eastAsia" w:ascii="宋体" w:hAnsi="宋体" w:eastAsia="宋体" w:cs="宋体"/>
                <w:color w:val="auto"/>
                <w:spacing w:val="-7"/>
                <w:sz w:val="24"/>
                <w:szCs w:val="24"/>
              </w:rPr>
              <w:t>《建设项目环境保护管理条例》第二十三条第一款的规定</w:t>
            </w:r>
            <w:r>
              <w:rPr>
                <w:rFonts w:hint="eastAsia" w:ascii="宋体" w:hAnsi="宋体" w:eastAsia="宋体" w:cs="宋体"/>
                <w:color w:val="auto"/>
                <w:spacing w:val="-6"/>
                <w:sz w:val="24"/>
                <w:szCs w:val="24"/>
              </w:rPr>
              <w:t>，芒</w:t>
            </w:r>
            <w:r>
              <w:rPr>
                <w:rFonts w:hint="eastAsia" w:ascii="宋体" w:hAnsi="宋体" w:eastAsia="宋体" w:cs="宋体"/>
                <w:color w:val="auto"/>
                <w:spacing w:val="-8"/>
                <w:sz w:val="24"/>
                <w:szCs w:val="24"/>
              </w:rPr>
              <w:t>市环境保护局对</w:t>
            </w:r>
            <w:r>
              <w:rPr>
                <w:rFonts w:hint="eastAsia" w:ascii="宋体" w:hAnsi="宋体" w:eastAsia="宋体" w:cs="宋体"/>
                <w:bCs/>
                <w:color w:val="auto"/>
                <w:sz w:val="24"/>
                <w:szCs w:val="24"/>
              </w:rPr>
              <w:t>芒市</w:t>
            </w:r>
            <w:r>
              <w:rPr>
                <w:rFonts w:hint="eastAsia" w:ascii="宋体" w:hAnsi="宋体" w:eastAsia="宋体" w:cs="宋体"/>
                <w:bCs/>
                <w:color w:val="auto"/>
                <w:sz w:val="24"/>
                <w:szCs w:val="24"/>
                <w:lang w:eastAsia="zh-CN"/>
              </w:rPr>
              <w:t>轩岗乡宏德茶叶加工厂</w:t>
            </w:r>
            <w:r>
              <w:rPr>
                <w:rFonts w:hint="eastAsia" w:ascii="宋体" w:hAnsi="宋体" w:eastAsia="宋体" w:cs="宋体"/>
                <w:color w:val="auto"/>
                <w:spacing w:val="-1"/>
                <w:sz w:val="24"/>
                <w:szCs w:val="24"/>
              </w:rPr>
              <w:t>做出如下处罚：</w:t>
            </w:r>
            <w:r>
              <w:rPr>
                <w:rFonts w:hint="eastAsia" w:ascii="宋体" w:hAnsi="宋体" w:eastAsia="宋体" w:cs="宋体"/>
                <w:color w:val="auto"/>
                <w:sz w:val="24"/>
                <w:szCs w:val="24"/>
              </w:rPr>
              <w:t>罚款人民币</w:t>
            </w:r>
            <w:r>
              <w:rPr>
                <w:rFonts w:hint="eastAsia" w:ascii="宋体" w:hAnsi="宋体" w:eastAsia="宋体" w:cs="宋体"/>
                <w:color w:val="auto"/>
                <w:sz w:val="24"/>
                <w:szCs w:val="24"/>
                <w:lang w:val="en-US" w:eastAsia="zh-CN"/>
              </w:rPr>
              <w:t>220</w:t>
            </w:r>
            <w:r>
              <w:rPr>
                <w:rFonts w:hint="eastAsia" w:ascii="宋体" w:hAnsi="宋体" w:eastAsia="宋体" w:cs="宋体"/>
                <w:color w:val="auto"/>
                <w:sz w:val="24"/>
                <w:szCs w:val="24"/>
              </w:rPr>
              <w:t>00元</w:t>
            </w:r>
            <w:r>
              <w:rPr>
                <w:rFonts w:hint="eastAsia" w:ascii="宋体" w:hAnsi="宋体" w:eastAsia="宋体" w:cs="宋体"/>
                <w:color w:val="auto"/>
                <w:sz w:val="24"/>
                <w:szCs w:val="24"/>
                <w:lang w:eastAsia="zh-CN"/>
              </w:rPr>
              <w:t>，且</w:t>
            </w:r>
            <w:r>
              <w:rPr>
                <w:rFonts w:hint="eastAsia" w:ascii="宋体" w:hAnsi="宋体" w:eastAsia="宋体" w:cs="宋体"/>
                <w:color w:val="auto"/>
                <w:spacing w:val="-2"/>
                <w:sz w:val="24"/>
                <w:szCs w:val="24"/>
              </w:rPr>
              <w:t>建设单位</w:t>
            </w:r>
            <w:r>
              <w:rPr>
                <w:rFonts w:hint="eastAsia" w:ascii="宋体" w:hAnsi="宋体" w:eastAsia="宋体" w:cs="宋体"/>
                <w:color w:val="auto"/>
                <w:spacing w:val="-2"/>
                <w:sz w:val="24"/>
                <w:szCs w:val="24"/>
                <w:lang w:eastAsia="zh-CN"/>
              </w:rPr>
              <w:t>在</w:t>
            </w:r>
            <w:r>
              <w:rPr>
                <w:rFonts w:hint="eastAsia" w:ascii="宋体" w:hAnsi="宋体" w:eastAsia="宋体" w:cs="宋体"/>
                <w:color w:val="auto"/>
                <w:sz w:val="24"/>
                <w:szCs w:val="24"/>
                <w:lang w:eastAsia="zh-CN"/>
              </w:rPr>
              <w:t>收</w:t>
            </w:r>
            <w:r>
              <w:rPr>
                <w:rFonts w:hint="eastAsia" w:ascii="宋体" w:hAnsi="宋体" w:eastAsia="宋体" w:cs="宋体"/>
                <w:color w:val="auto"/>
                <w:sz w:val="24"/>
                <w:szCs w:val="24"/>
              </w:rPr>
              <w:t>到《芒市环境保护局责令改正违法行为决定书》(芒环违改字[2018] 190号)后立即停止生产，并配合调查积极整改。</w:t>
            </w:r>
          </w:p>
          <w:p w14:paraId="3B400F06">
            <w:pPr>
              <w:adjustRightInd w:val="0"/>
              <w:snapToGrid w:val="0"/>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highlight w:val="none"/>
                <w:shd w:val="clear" w:color="auto" w:fill="auto"/>
              </w:rPr>
              <w:t>根据《中华人民共和国环境影响评价法》、</w:t>
            </w:r>
            <w:r>
              <w:rPr>
                <w:rFonts w:hint="eastAsia" w:ascii="宋体" w:hAnsi="宋体" w:eastAsia="宋体" w:cs="宋体"/>
                <w:color w:val="auto"/>
                <w:kern w:val="0"/>
                <w:sz w:val="24"/>
                <w:highlight w:val="none"/>
                <w:shd w:val="clear" w:color="auto" w:fill="auto"/>
              </w:rPr>
              <w:t>《建设项目环境保护管理条例》（国务院令</w:t>
            </w:r>
            <w:r>
              <w:rPr>
                <w:rFonts w:hint="eastAsia" w:ascii="宋体" w:hAnsi="宋体" w:cs="宋体"/>
                <w:color w:val="auto"/>
                <w:kern w:val="0"/>
                <w:sz w:val="24"/>
                <w:highlight w:val="none"/>
                <w:shd w:val="clear" w:color="auto" w:fill="auto"/>
                <w:lang w:val="en-US" w:eastAsia="zh-CN"/>
              </w:rPr>
              <w:t>第</w:t>
            </w:r>
            <w:r>
              <w:rPr>
                <w:rFonts w:hint="eastAsia" w:ascii="宋体" w:hAnsi="宋体" w:eastAsia="宋体" w:cs="宋体"/>
                <w:color w:val="auto"/>
                <w:kern w:val="0"/>
                <w:sz w:val="24"/>
                <w:highlight w:val="none"/>
                <w:shd w:val="clear" w:color="auto" w:fill="auto"/>
              </w:rPr>
              <w:t>253号）、</w:t>
            </w:r>
            <w:r>
              <w:rPr>
                <w:rFonts w:hint="eastAsia" w:ascii="宋体" w:hAnsi="宋体" w:eastAsia="宋体" w:cs="宋体"/>
                <w:color w:val="auto"/>
                <w:sz w:val="24"/>
                <w:highlight w:val="none"/>
                <w:shd w:val="clear" w:color="auto" w:fill="auto"/>
              </w:rPr>
              <w:t>《建设项目环境影响评价分类管理名录》（环境保护部令第44号）及修改单等相关法律法规要求</w:t>
            </w:r>
            <w:r>
              <w:rPr>
                <w:rFonts w:hint="eastAsia" w:ascii="宋体" w:hAnsi="宋体" w:eastAsia="宋体" w:cs="宋体"/>
                <w:color w:val="auto"/>
                <w:sz w:val="24"/>
                <w:u w:val="none"/>
              </w:rPr>
              <w:t>中的有关规定</w:t>
            </w:r>
            <w:r>
              <w:rPr>
                <w:rFonts w:hint="eastAsia" w:ascii="宋体" w:hAnsi="宋体" w:cs="宋体"/>
                <w:color w:val="auto"/>
                <w:sz w:val="24"/>
                <w:u w:val="none"/>
                <w:lang w:eastAsia="zh-CN"/>
              </w:rPr>
              <w:t>，</w:t>
            </w:r>
            <w:r>
              <w:rPr>
                <w:rFonts w:hint="eastAsia" w:ascii="宋体" w:hAnsi="宋体" w:eastAsia="宋体" w:cs="宋体"/>
                <w:color w:val="auto"/>
                <w:sz w:val="24"/>
                <w:u w:val="none"/>
              </w:rPr>
              <w:t>本项目的建设应编制环境影响报告表。为此，</w:t>
            </w:r>
            <w:r>
              <w:rPr>
                <w:rFonts w:hint="eastAsia" w:ascii="宋体" w:hAnsi="宋体" w:eastAsia="宋体" w:cs="宋体"/>
                <w:bCs/>
                <w:color w:val="auto"/>
                <w:sz w:val="24"/>
                <w:szCs w:val="24"/>
              </w:rPr>
              <w:t>芒市</w:t>
            </w:r>
            <w:r>
              <w:rPr>
                <w:rFonts w:hint="eastAsia" w:ascii="宋体" w:hAnsi="宋体" w:eastAsia="宋体" w:cs="宋体"/>
                <w:bCs/>
                <w:color w:val="auto"/>
                <w:sz w:val="24"/>
                <w:szCs w:val="24"/>
                <w:lang w:eastAsia="zh-CN"/>
              </w:rPr>
              <w:t>轩岗乡宏德茶叶加工厂</w:t>
            </w:r>
            <w:r>
              <w:rPr>
                <w:rFonts w:hint="eastAsia" w:ascii="宋体" w:hAnsi="宋体" w:eastAsia="宋体" w:cs="宋体"/>
                <w:color w:val="auto"/>
                <w:sz w:val="24"/>
                <w:u w:val="none"/>
              </w:rPr>
              <w:t>委托</w:t>
            </w:r>
            <w:r>
              <w:rPr>
                <w:rFonts w:hint="eastAsia" w:ascii="宋体" w:hAnsi="宋体" w:eastAsia="宋体" w:cs="宋体"/>
                <w:color w:val="auto"/>
                <w:sz w:val="24"/>
                <w:u w:val="none"/>
                <w:lang w:eastAsia="zh-CN"/>
              </w:rPr>
              <w:t>我单位</w:t>
            </w:r>
            <w:r>
              <w:rPr>
                <w:rFonts w:hint="eastAsia" w:ascii="宋体" w:hAnsi="宋体" w:eastAsia="宋体" w:cs="宋体"/>
                <w:color w:val="auto"/>
                <w:sz w:val="24"/>
                <w:u w:val="none"/>
              </w:rPr>
              <w:t>承担此项工作(见附件1</w:t>
            </w:r>
            <w:r>
              <w:rPr>
                <w:rFonts w:hint="eastAsia" w:ascii="宋体" w:hAnsi="宋体" w:eastAsia="宋体" w:cs="宋体"/>
                <w:color w:val="auto"/>
                <w:sz w:val="24"/>
                <w:u w:val="none"/>
                <w:lang w:eastAsia="zh-CN"/>
              </w:rPr>
              <w:t>）。</w:t>
            </w:r>
          </w:p>
          <w:p w14:paraId="6A2E4BE1">
            <w:pPr>
              <w:spacing w:line="360" w:lineRule="auto"/>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在接受委托后，</w:t>
            </w:r>
            <w:r>
              <w:rPr>
                <w:rFonts w:hint="eastAsia" w:ascii="宋体" w:hAnsi="宋体" w:eastAsia="宋体" w:cs="宋体"/>
                <w:color w:val="auto"/>
                <w:sz w:val="24"/>
                <w:u w:val="none"/>
                <w:lang w:eastAsia="zh-CN"/>
              </w:rPr>
              <w:t>我公司</w:t>
            </w:r>
            <w:r>
              <w:rPr>
                <w:rFonts w:hint="eastAsia" w:ascii="宋体" w:hAnsi="宋体" w:eastAsia="宋体" w:cs="宋体"/>
                <w:color w:val="auto"/>
                <w:sz w:val="24"/>
                <w:u w:val="none"/>
              </w:rPr>
              <w:t>即派有关技术人员对本项目进行了现场实地踏勘及资料收集等工作，并对业主提供的技术资料进行了初步的工程分析。在此基础上，依照环境影响评价的技术规范。编制本项</w:t>
            </w:r>
            <w:r>
              <w:rPr>
                <w:rFonts w:hint="eastAsia" w:ascii="宋体" w:hAnsi="宋体" w:eastAsia="宋体" w:cs="宋体"/>
                <w:color w:val="auto"/>
                <w:sz w:val="24"/>
                <w:u w:val="none"/>
                <w:lang w:eastAsia="zh-CN"/>
              </w:rPr>
              <w:t>目</w:t>
            </w:r>
            <w:r>
              <w:rPr>
                <w:rFonts w:hint="eastAsia" w:ascii="宋体" w:hAnsi="宋体" w:eastAsia="宋体" w:cs="宋体"/>
                <w:color w:val="auto"/>
                <w:sz w:val="24"/>
                <w:u w:val="none"/>
              </w:rPr>
              <w:t>环境影响报告表，待</w:t>
            </w:r>
            <w:r>
              <w:rPr>
                <w:rFonts w:hint="eastAsia" w:ascii="宋体" w:hAnsi="宋体" w:eastAsia="宋体" w:cs="宋体"/>
                <w:color w:val="auto"/>
                <w:sz w:val="24"/>
                <w:u w:val="none"/>
                <w:lang w:eastAsia="zh-CN"/>
              </w:rPr>
              <w:t>审</w:t>
            </w:r>
            <w:r>
              <w:rPr>
                <w:rFonts w:hint="eastAsia" w:ascii="宋体" w:hAnsi="宋体" w:eastAsia="宋体" w:cs="宋体"/>
                <w:color w:val="auto"/>
                <w:sz w:val="24"/>
                <w:u w:val="none"/>
              </w:rPr>
              <w:t>批后作为环保主管部门管理及项目开展环保设计工作的依据。</w:t>
            </w:r>
          </w:p>
          <w:p w14:paraId="4E2A58C3">
            <w:pPr>
              <w:adjustRightInd w:val="0"/>
              <w:snapToGrid w:val="0"/>
              <w:spacing w:line="360" w:lineRule="auto"/>
              <w:rPr>
                <w:rFonts w:hint="eastAsia" w:ascii="Times New Roman" w:hAnsi="Times New Roman" w:cs="宋体"/>
                <w:color w:val="auto"/>
                <w:sz w:val="24"/>
                <w:szCs w:val="24"/>
              </w:rPr>
            </w:pPr>
            <w:r>
              <w:rPr>
                <w:rFonts w:hint="eastAsia" w:ascii="Times New Roman" w:hAnsi="Times New Roman"/>
                <w:b/>
                <w:bCs/>
                <w:color w:val="auto"/>
                <w:sz w:val="24"/>
                <w:szCs w:val="24"/>
              </w:rPr>
              <w:t>2</w:t>
            </w:r>
            <w:r>
              <w:rPr>
                <w:rFonts w:ascii="Times New Roman" w:hAnsi="Times New Roman"/>
                <w:b/>
                <w:bCs/>
                <w:color w:val="auto"/>
                <w:sz w:val="24"/>
                <w:szCs w:val="24"/>
              </w:rPr>
              <w:t>、</w:t>
            </w:r>
            <w:r>
              <w:rPr>
                <w:rFonts w:hint="eastAsia" w:ascii="Times New Roman" w:hAnsi="Times New Roman"/>
                <w:b/>
                <w:bCs/>
                <w:color w:val="auto"/>
                <w:sz w:val="24"/>
                <w:szCs w:val="24"/>
              </w:rPr>
              <w:t>项目概况</w:t>
            </w:r>
          </w:p>
          <w:p w14:paraId="2A82847E">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bCs/>
                <w:color w:val="auto"/>
                <w:sz w:val="24"/>
                <w:szCs w:val="24"/>
              </w:rPr>
              <w:t>芒市</w:t>
            </w:r>
            <w:r>
              <w:rPr>
                <w:rFonts w:hint="eastAsia" w:ascii="宋体" w:hAnsi="宋体" w:eastAsia="宋体" w:cs="宋体"/>
                <w:bCs/>
                <w:color w:val="auto"/>
                <w:sz w:val="24"/>
                <w:szCs w:val="24"/>
                <w:lang w:eastAsia="zh-CN"/>
              </w:rPr>
              <w:t>轩岗乡宏德茶叶加工厂</w:t>
            </w:r>
          </w:p>
          <w:p w14:paraId="312E9D2B">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建设单位：</w:t>
            </w:r>
            <w:r>
              <w:rPr>
                <w:rFonts w:hint="eastAsia" w:ascii="宋体" w:hAnsi="宋体" w:eastAsia="宋体" w:cs="宋体"/>
                <w:bCs/>
                <w:color w:val="auto"/>
                <w:sz w:val="24"/>
                <w:szCs w:val="24"/>
              </w:rPr>
              <w:t>芒市</w:t>
            </w:r>
            <w:r>
              <w:rPr>
                <w:rFonts w:hint="eastAsia" w:ascii="宋体" w:hAnsi="宋体" w:eastAsia="宋体" w:cs="宋体"/>
                <w:bCs/>
                <w:color w:val="auto"/>
                <w:sz w:val="24"/>
                <w:szCs w:val="24"/>
                <w:lang w:eastAsia="zh-CN"/>
              </w:rPr>
              <w:t>轩岗乡宏德茶叶加工厂</w:t>
            </w:r>
          </w:p>
          <w:p w14:paraId="461E376B">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建设地点：云南省德宏州芒市</w:t>
            </w:r>
            <w:r>
              <w:rPr>
                <w:rFonts w:hint="eastAsia" w:ascii="宋体" w:hAnsi="宋体" w:eastAsia="宋体" w:cs="宋体"/>
                <w:color w:val="auto"/>
                <w:sz w:val="24"/>
                <w:szCs w:val="24"/>
                <w:lang w:eastAsia="zh-CN"/>
              </w:rPr>
              <w:t>轩岗乡遮相居委会第一居民小组</w:t>
            </w:r>
            <w:r>
              <w:rPr>
                <w:rFonts w:hint="eastAsia" w:ascii="宋体" w:hAnsi="宋体" w:eastAsia="宋体" w:cs="宋体"/>
                <w:color w:val="auto"/>
                <w:sz w:val="24"/>
                <w:szCs w:val="24"/>
              </w:rPr>
              <w:t>（项目中心坐标：东经98°</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5.12</w:t>
            </w:r>
            <w:r>
              <w:rPr>
                <w:rFonts w:hint="eastAsia" w:ascii="宋体" w:hAnsi="宋体" w:eastAsia="宋体" w:cs="宋体"/>
                <w:color w:val="auto"/>
                <w:sz w:val="24"/>
                <w:szCs w:val="24"/>
              </w:rPr>
              <w:t>″，北纬24°</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18.30</w:t>
            </w:r>
            <w:r>
              <w:rPr>
                <w:rFonts w:hint="eastAsia" w:ascii="宋体" w:hAnsi="宋体" w:eastAsia="宋体" w:cs="宋体"/>
                <w:color w:val="auto"/>
                <w:sz w:val="24"/>
                <w:szCs w:val="24"/>
              </w:rPr>
              <w:t>″）</w:t>
            </w:r>
          </w:p>
          <w:p w14:paraId="32FE0D8F">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占地面积：</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13亩</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8666.671</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p>
          <w:p w14:paraId="4634B5CD">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建设性质：新建</w:t>
            </w:r>
          </w:p>
          <w:p w14:paraId="7E6DE343">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总投资：</w:t>
            </w:r>
            <w:r>
              <w:rPr>
                <w:rFonts w:hint="eastAsia" w:ascii="宋体" w:hAnsi="宋体" w:eastAsia="宋体" w:cs="宋体"/>
                <w:color w:val="auto"/>
                <w:sz w:val="24"/>
                <w:szCs w:val="24"/>
                <w:lang w:val="en-US" w:eastAsia="zh-CN"/>
              </w:rPr>
              <w:t>220</w:t>
            </w:r>
            <w:r>
              <w:rPr>
                <w:rFonts w:hint="eastAsia" w:ascii="宋体" w:hAnsi="宋体" w:eastAsia="宋体" w:cs="宋体"/>
                <w:color w:val="auto"/>
                <w:sz w:val="24"/>
                <w:szCs w:val="24"/>
              </w:rPr>
              <w:t>万元</w:t>
            </w:r>
          </w:p>
          <w:p w14:paraId="64806DCA">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产品方案及规模：</w:t>
            </w:r>
            <w:r>
              <w:rPr>
                <w:rFonts w:hint="eastAsia" w:ascii="宋体" w:hAnsi="宋体" w:eastAsia="宋体" w:cs="宋体"/>
                <w:color w:val="auto"/>
                <w:sz w:val="24"/>
                <w:szCs w:val="24"/>
                <w:lang w:eastAsia="zh-CN"/>
              </w:rPr>
              <w:t>年加工红茶约</w:t>
            </w:r>
            <w:r>
              <w:rPr>
                <w:rFonts w:hint="eastAsia" w:ascii="宋体" w:hAnsi="宋体" w:eastAsia="宋体" w:cs="宋体"/>
                <w:color w:val="auto"/>
                <w:sz w:val="24"/>
                <w:szCs w:val="24"/>
                <w:lang w:val="en-US" w:eastAsia="zh-CN"/>
              </w:rPr>
              <w:t>350t/a，向外收购干的红茶45t/a,红茶具体加工量和收购量视市场需求而变动。</w:t>
            </w:r>
          </w:p>
          <w:p w14:paraId="7264107A">
            <w:pPr>
              <w:adjustRightInd w:val="0"/>
              <w:snapToGrid w:val="0"/>
              <w:spacing w:line="360" w:lineRule="auto"/>
              <w:rPr>
                <w:rFonts w:hint="eastAsia" w:ascii="Times New Roman" w:hAnsi="Times New Roman" w:cs="宋体"/>
                <w:b/>
                <w:bCs/>
                <w:color w:val="auto"/>
                <w:sz w:val="24"/>
                <w:szCs w:val="24"/>
              </w:rPr>
            </w:pPr>
            <w:r>
              <w:rPr>
                <w:rFonts w:hint="eastAsia" w:ascii="Times New Roman" w:hAnsi="Times New Roman" w:cs="宋体"/>
                <w:b/>
                <w:bCs/>
                <w:color w:val="auto"/>
                <w:sz w:val="24"/>
                <w:szCs w:val="24"/>
              </w:rPr>
              <w:t>3、建设内容及规模</w:t>
            </w:r>
          </w:p>
          <w:p w14:paraId="1E6C0C4B">
            <w:pPr>
              <w:adjustRightInd w:val="0"/>
              <w:snapToGrid w:val="0"/>
              <w:spacing w:line="360" w:lineRule="auto"/>
              <w:ind w:firstLine="480"/>
              <w:rPr>
                <w:rFonts w:hint="eastAsia" w:ascii="Times New Roman" w:hAnsi="Times New Roman" w:cs="宋体"/>
                <w:bCs/>
                <w:color w:val="auto"/>
                <w:sz w:val="24"/>
                <w:szCs w:val="24"/>
              </w:rPr>
            </w:pPr>
            <w:r>
              <w:rPr>
                <w:rFonts w:hint="eastAsia" w:ascii="宋体" w:hAnsi="宋体" w:eastAsia="宋体" w:cs="宋体"/>
                <w:bCs/>
                <w:color w:val="auto"/>
                <w:sz w:val="24"/>
                <w:szCs w:val="24"/>
              </w:rPr>
              <w:t>项目</w:t>
            </w:r>
            <w:r>
              <w:rPr>
                <w:rFonts w:hint="eastAsia" w:ascii="宋体" w:hAnsi="宋体" w:eastAsia="宋体" w:cs="宋体"/>
                <w:color w:val="auto"/>
                <w:sz w:val="24"/>
                <w:szCs w:val="24"/>
              </w:rPr>
              <w:t>占地面积</w:t>
            </w:r>
            <w:r>
              <w:rPr>
                <w:rFonts w:hint="eastAsia" w:ascii="宋体" w:hAnsi="宋体" w:eastAsia="宋体" w:cs="宋体"/>
                <w:color w:val="auto"/>
                <w:sz w:val="24"/>
                <w:szCs w:val="24"/>
                <w:lang w:val="en-US" w:eastAsia="zh-CN"/>
              </w:rPr>
              <w:t>13亩（8666.671</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包括加工车间、彩钢大棚（设置成品堆放间）、生活办公区</w:t>
            </w:r>
            <w:r>
              <w:rPr>
                <w:rFonts w:hint="eastAsia" w:ascii="宋体" w:hAnsi="宋体" w:eastAsia="宋体" w:cs="宋体"/>
                <w:color w:val="auto"/>
                <w:sz w:val="24"/>
                <w:szCs w:val="24"/>
              </w:rPr>
              <w:t>及其附属配套设施。</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建设内容详见表1-1。</w:t>
            </w:r>
          </w:p>
          <w:p w14:paraId="23CD4B6F">
            <w:pPr>
              <w:tabs>
                <w:tab w:val="left" w:pos="0"/>
              </w:tabs>
              <w:adjustRightInd w:val="0"/>
              <w:snapToGrid w:val="0"/>
              <w:spacing w:line="360" w:lineRule="auto"/>
              <w:ind w:firstLine="482"/>
              <w:jc w:val="center"/>
              <w:rPr>
                <w:rFonts w:hint="eastAsia" w:ascii="Times New Roman" w:hAnsi="Times New Roman" w:cs="宋体"/>
                <w:b/>
                <w:color w:val="auto"/>
                <w:sz w:val="24"/>
                <w:szCs w:val="24"/>
              </w:rPr>
            </w:pPr>
          </w:p>
          <w:p w14:paraId="31A96BD9">
            <w:pPr>
              <w:tabs>
                <w:tab w:val="left" w:pos="0"/>
              </w:tabs>
              <w:adjustRightInd w:val="0"/>
              <w:snapToGrid w:val="0"/>
              <w:spacing w:line="360" w:lineRule="auto"/>
              <w:ind w:firstLine="482"/>
              <w:jc w:val="center"/>
              <w:rPr>
                <w:rFonts w:hint="eastAsia" w:ascii="Times New Roman" w:hAnsi="Times New Roman" w:cs="宋体"/>
                <w:b/>
                <w:color w:val="auto"/>
                <w:sz w:val="24"/>
                <w:szCs w:val="24"/>
              </w:rPr>
            </w:pPr>
          </w:p>
          <w:p w14:paraId="72206E7D">
            <w:pPr>
              <w:tabs>
                <w:tab w:val="left" w:pos="0"/>
              </w:tabs>
              <w:adjustRightInd w:val="0"/>
              <w:snapToGrid w:val="0"/>
              <w:spacing w:line="360" w:lineRule="auto"/>
              <w:ind w:firstLine="482"/>
              <w:jc w:val="center"/>
              <w:rPr>
                <w:rFonts w:hint="eastAsia" w:ascii="Times New Roman" w:hAnsi="Times New Roman" w:cs="宋体"/>
                <w:b/>
                <w:color w:val="auto"/>
                <w:sz w:val="24"/>
                <w:szCs w:val="24"/>
              </w:rPr>
            </w:pPr>
          </w:p>
          <w:p w14:paraId="487E018C">
            <w:pPr>
              <w:tabs>
                <w:tab w:val="left" w:pos="0"/>
              </w:tabs>
              <w:adjustRightInd w:val="0"/>
              <w:snapToGrid w:val="0"/>
              <w:spacing w:line="360" w:lineRule="auto"/>
              <w:ind w:firstLine="482"/>
              <w:jc w:val="center"/>
              <w:rPr>
                <w:rFonts w:hint="eastAsia" w:ascii="Times New Roman" w:hAnsi="Times New Roman" w:cs="宋体"/>
                <w:b/>
                <w:color w:val="auto"/>
                <w:sz w:val="24"/>
                <w:szCs w:val="24"/>
              </w:rPr>
            </w:pPr>
          </w:p>
          <w:p w14:paraId="3E936C3B">
            <w:pPr>
              <w:tabs>
                <w:tab w:val="left" w:pos="0"/>
              </w:tabs>
              <w:adjustRightInd w:val="0"/>
              <w:snapToGrid w:val="0"/>
              <w:spacing w:line="360" w:lineRule="auto"/>
              <w:ind w:firstLine="482"/>
              <w:jc w:val="center"/>
              <w:rPr>
                <w:rFonts w:hint="eastAsia" w:ascii="Times New Roman" w:hAnsi="Times New Roman" w:cs="宋体"/>
                <w:b/>
                <w:color w:val="auto"/>
                <w:sz w:val="24"/>
                <w:szCs w:val="24"/>
              </w:rPr>
            </w:pPr>
          </w:p>
          <w:p w14:paraId="1FFB22FF">
            <w:pPr>
              <w:tabs>
                <w:tab w:val="left" w:pos="0"/>
              </w:tabs>
              <w:adjustRightInd w:val="0"/>
              <w:snapToGrid w:val="0"/>
              <w:spacing w:line="360" w:lineRule="auto"/>
              <w:jc w:val="both"/>
              <w:rPr>
                <w:rFonts w:hint="eastAsia" w:ascii="Times New Roman" w:hAnsi="Times New Roman" w:cs="宋体"/>
                <w:b/>
                <w:color w:val="auto"/>
                <w:sz w:val="24"/>
                <w:szCs w:val="24"/>
              </w:rPr>
            </w:pPr>
          </w:p>
          <w:p w14:paraId="0858AB9F">
            <w:pPr>
              <w:tabs>
                <w:tab w:val="left" w:pos="0"/>
              </w:tabs>
              <w:adjustRightInd w:val="0"/>
              <w:snapToGrid w:val="0"/>
              <w:spacing w:line="360" w:lineRule="auto"/>
              <w:ind w:firstLine="482"/>
              <w:jc w:val="center"/>
              <w:rPr>
                <w:rFonts w:hint="eastAsia" w:ascii="Times New Roman" w:hAnsi="Times New Roman" w:cs="宋体"/>
                <w:b/>
                <w:color w:val="auto"/>
                <w:sz w:val="24"/>
                <w:szCs w:val="24"/>
              </w:rPr>
            </w:pPr>
            <w:r>
              <w:rPr>
                <w:rFonts w:hint="eastAsia" w:ascii="Times New Roman" w:hAnsi="Times New Roman" w:cs="宋体"/>
                <w:b/>
                <w:color w:val="auto"/>
                <w:sz w:val="24"/>
                <w:szCs w:val="24"/>
              </w:rPr>
              <w:t>表1-1  项目建设内容一览表</w:t>
            </w:r>
          </w:p>
          <w:tbl>
            <w:tblPr>
              <w:tblStyle w:val="24"/>
              <w:tblW w:w="82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8"/>
              <w:gridCol w:w="1575"/>
              <w:gridCol w:w="4418"/>
              <w:gridCol w:w="1675"/>
            </w:tblGrid>
            <w:tr w14:paraId="75BE92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618" w:type="dxa"/>
                  <w:vAlign w:val="center"/>
                </w:tcPr>
                <w:p w14:paraId="4030A3B3">
                  <w:pPr>
                    <w:pStyle w:val="14"/>
                    <w:adjustRightInd w:val="0"/>
                    <w:snapToGrid w:val="0"/>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工程类别</w:t>
                  </w:r>
                </w:p>
              </w:tc>
              <w:tc>
                <w:tcPr>
                  <w:tcW w:w="1575" w:type="dxa"/>
                  <w:vAlign w:val="center"/>
                </w:tcPr>
                <w:p w14:paraId="79202BA5">
                  <w:pPr>
                    <w:pStyle w:val="14"/>
                    <w:adjustRightInd w:val="0"/>
                    <w:snapToGrid w:val="0"/>
                    <w:spacing w:line="240" w:lineRule="auto"/>
                    <w:ind w:firstLine="42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w:t>
                  </w:r>
                </w:p>
              </w:tc>
              <w:tc>
                <w:tcPr>
                  <w:tcW w:w="4418" w:type="dxa"/>
                  <w:vAlign w:val="center"/>
                </w:tcPr>
                <w:p w14:paraId="793976E7">
                  <w:pPr>
                    <w:pStyle w:val="14"/>
                    <w:adjustRightInd w:val="0"/>
                    <w:snapToGrid w:val="0"/>
                    <w:spacing w:line="240" w:lineRule="auto"/>
                    <w:ind w:firstLine="42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建设内容</w:t>
                  </w:r>
                </w:p>
              </w:tc>
              <w:tc>
                <w:tcPr>
                  <w:tcW w:w="1675" w:type="dxa"/>
                  <w:vAlign w:val="center"/>
                </w:tcPr>
                <w:p w14:paraId="1B7374FF">
                  <w:pPr>
                    <w:pStyle w:val="14"/>
                    <w:adjustRightInd w:val="0"/>
                    <w:snapToGrid w:val="0"/>
                    <w:spacing w:line="240" w:lineRule="auto"/>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60C77B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8" w:type="dxa"/>
                  <w:vMerge w:val="restart"/>
                  <w:vAlign w:val="center"/>
                </w:tcPr>
                <w:p w14:paraId="10C9ED66">
                  <w:pPr>
                    <w:pStyle w:val="14"/>
                    <w:adjustRightInd w:val="0"/>
                    <w:snapToGrid w:val="0"/>
                    <w:spacing w:line="240" w:lineRule="auto"/>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主体</w:t>
                  </w:r>
                </w:p>
                <w:p w14:paraId="5477C4EA">
                  <w:pPr>
                    <w:pStyle w:val="14"/>
                    <w:adjustRightInd w:val="0"/>
                    <w:snapToGrid w:val="0"/>
                    <w:spacing w:line="240" w:lineRule="auto"/>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w:t>
                  </w:r>
                </w:p>
              </w:tc>
              <w:tc>
                <w:tcPr>
                  <w:tcW w:w="1575" w:type="dxa"/>
                  <w:vAlign w:val="center"/>
                </w:tcPr>
                <w:p w14:paraId="5AD53686">
                  <w:pPr>
                    <w:adjustRightInd w:val="0"/>
                    <w:snapToGri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加工</w:t>
                  </w:r>
                  <w:r>
                    <w:rPr>
                      <w:rFonts w:hint="eastAsia" w:ascii="宋体" w:hAnsi="宋体" w:eastAsia="宋体" w:cs="宋体"/>
                      <w:bCs/>
                      <w:color w:val="auto"/>
                      <w:sz w:val="21"/>
                      <w:szCs w:val="21"/>
                    </w:rPr>
                    <w:t>车间</w:t>
                  </w:r>
                </w:p>
              </w:tc>
              <w:tc>
                <w:tcPr>
                  <w:tcW w:w="4418" w:type="dxa"/>
                  <w:vAlign w:val="center"/>
                </w:tcPr>
                <w:p w14:paraId="6508B060">
                  <w:pPr>
                    <w:adjustRightInd w:val="0"/>
                    <w:snapToGrid w:val="0"/>
                    <w:spacing w:line="240" w:lineRule="auto"/>
                    <w:jc w:val="center"/>
                    <w:rPr>
                      <w:rFonts w:hint="eastAsia" w:ascii="宋体" w:hAnsi="宋体" w:eastAsia="宋体" w:cs="宋体"/>
                      <w:bCs/>
                      <w:color w:val="auto"/>
                      <w:sz w:val="21"/>
                      <w:szCs w:val="21"/>
                    </w:rPr>
                  </w:pPr>
                  <w:r>
                    <w:rPr>
                      <w:rFonts w:hint="eastAsia" w:ascii="宋体" w:hAnsi="宋体" w:eastAsia="宋体" w:cs="宋体"/>
                      <w:color w:val="auto"/>
                      <w:sz w:val="21"/>
                      <w:szCs w:val="21"/>
                    </w:rPr>
                    <w:t>占地面积</w:t>
                  </w:r>
                  <w:r>
                    <w:rPr>
                      <w:rFonts w:hint="eastAsia" w:ascii="宋体" w:hAnsi="宋体" w:eastAsia="宋体" w:cs="宋体"/>
                      <w:color w:val="auto"/>
                      <w:sz w:val="21"/>
                      <w:szCs w:val="21"/>
                      <w:lang w:val="en-US" w:eastAsia="zh-CN"/>
                    </w:rPr>
                    <w:t>308</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，1F，</w:t>
                  </w:r>
                  <w:r>
                    <w:rPr>
                      <w:rFonts w:hint="eastAsia" w:ascii="宋体" w:hAnsi="宋体" w:eastAsia="宋体" w:cs="宋体"/>
                      <w:color w:val="auto"/>
                      <w:sz w:val="21"/>
                      <w:szCs w:val="21"/>
                      <w:lang w:eastAsia="zh-CN"/>
                    </w:rPr>
                    <w:t>钢架</w:t>
                  </w:r>
                  <w:r>
                    <w:rPr>
                      <w:rFonts w:hint="eastAsia" w:ascii="宋体" w:hAnsi="宋体" w:eastAsia="宋体" w:cs="宋体"/>
                      <w:color w:val="auto"/>
                      <w:sz w:val="21"/>
                      <w:szCs w:val="21"/>
                    </w:rPr>
                    <w:t>结构，位于厂区</w:t>
                  </w:r>
                  <w:r>
                    <w:rPr>
                      <w:rFonts w:hint="eastAsia" w:ascii="宋体" w:hAnsi="宋体" w:eastAsia="宋体" w:cs="宋体"/>
                      <w:color w:val="auto"/>
                      <w:sz w:val="21"/>
                      <w:szCs w:val="21"/>
                      <w:lang w:eastAsia="zh-CN"/>
                    </w:rPr>
                    <w:t>南</w:t>
                  </w:r>
                  <w:r>
                    <w:rPr>
                      <w:rFonts w:hint="eastAsia" w:ascii="宋体" w:hAnsi="宋体" w:eastAsia="宋体" w:cs="宋体"/>
                      <w:color w:val="auto"/>
                      <w:sz w:val="21"/>
                      <w:szCs w:val="21"/>
                    </w:rPr>
                    <w:t>面</w:t>
                  </w:r>
                </w:p>
              </w:tc>
              <w:tc>
                <w:tcPr>
                  <w:tcW w:w="1675" w:type="dxa"/>
                  <w:vAlign w:val="center"/>
                </w:tcPr>
                <w:p w14:paraId="32B7E1BB">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已建</w:t>
                  </w:r>
                </w:p>
              </w:tc>
            </w:tr>
            <w:tr w14:paraId="1B4AD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8" w:type="dxa"/>
                  <w:vMerge w:val="continue"/>
                  <w:vAlign w:val="center"/>
                </w:tcPr>
                <w:p w14:paraId="0B78DB24">
                  <w:pPr>
                    <w:pStyle w:val="14"/>
                    <w:adjustRightInd w:val="0"/>
                    <w:snapToGrid w:val="0"/>
                    <w:spacing w:line="240" w:lineRule="auto"/>
                    <w:ind w:firstLine="420"/>
                    <w:jc w:val="center"/>
                    <w:rPr>
                      <w:rFonts w:hint="eastAsia" w:ascii="宋体" w:hAnsi="宋体" w:eastAsia="宋体" w:cs="宋体"/>
                      <w:color w:val="auto"/>
                      <w:sz w:val="21"/>
                      <w:szCs w:val="21"/>
                    </w:rPr>
                  </w:pPr>
                </w:p>
              </w:tc>
              <w:tc>
                <w:tcPr>
                  <w:tcW w:w="1575" w:type="dxa"/>
                  <w:vAlign w:val="center"/>
                </w:tcPr>
                <w:p w14:paraId="3F5FEC00">
                  <w:pPr>
                    <w:adjustRightInd w:val="0"/>
                    <w:snapToGrid w:val="0"/>
                    <w:spacing w:line="24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彩钢大棚</w:t>
                  </w:r>
                </w:p>
              </w:tc>
              <w:tc>
                <w:tcPr>
                  <w:tcW w:w="4418" w:type="dxa"/>
                  <w:vAlign w:val="center"/>
                </w:tcPr>
                <w:p w14:paraId="3AD24DCB">
                  <w:pPr>
                    <w:adjustRightInd w:val="0"/>
                    <w:snapToGrid w:val="0"/>
                    <w:spacing w:line="240" w:lineRule="auto"/>
                    <w:jc w:val="center"/>
                    <w:rPr>
                      <w:rFonts w:hint="eastAsia" w:ascii="宋体" w:hAnsi="宋体" w:eastAsia="宋体" w:cs="宋体"/>
                      <w:bCs/>
                      <w:color w:val="auto"/>
                      <w:sz w:val="21"/>
                      <w:szCs w:val="21"/>
                    </w:rPr>
                  </w:pPr>
                  <w:r>
                    <w:rPr>
                      <w:rFonts w:hint="eastAsia" w:ascii="宋体" w:hAnsi="宋体" w:eastAsia="宋体" w:cs="宋体"/>
                      <w:color w:val="auto"/>
                      <w:sz w:val="21"/>
                      <w:szCs w:val="21"/>
                    </w:rPr>
                    <w:t>占地面积</w:t>
                  </w:r>
                  <w:r>
                    <w:rPr>
                      <w:rFonts w:hint="eastAsia" w:ascii="宋体" w:hAnsi="宋体" w:eastAsia="宋体" w:cs="宋体"/>
                      <w:color w:val="auto"/>
                      <w:sz w:val="21"/>
                      <w:szCs w:val="21"/>
                      <w:lang w:val="en-US" w:eastAsia="zh-CN"/>
                    </w:rPr>
                    <w:t>88</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，钢架结构，</w:t>
                  </w:r>
                  <w:r>
                    <w:rPr>
                      <w:rFonts w:hint="eastAsia" w:ascii="宋体" w:hAnsi="宋体" w:eastAsia="宋体" w:cs="宋体"/>
                      <w:color w:val="auto"/>
                      <w:sz w:val="21"/>
                      <w:szCs w:val="21"/>
                      <w:lang w:val="en-US" w:eastAsia="zh-CN"/>
                    </w:rPr>
                    <w:t>用于茶叶鲜叶收购交易，可防止成品茶受潮，彩钢大棚</w:t>
                  </w:r>
                  <w:r>
                    <w:rPr>
                      <w:rFonts w:hint="eastAsia" w:ascii="宋体" w:hAnsi="宋体" w:eastAsia="宋体" w:cs="宋体"/>
                      <w:color w:val="auto"/>
                      <w:sz w:val="21"/>
                      <w:szCs w:val="21"/>
                    </w:rPr>
                    <w:t>位于厂区</w:t>
                  </w:r>
                  <w:r>
                    <w:rPr>
                      <w:rFonts w:hint="eastAsia" w:ascii="宋体" w:hAnsi="宋体" w:eastAsia="宋体" w:cs="宋体"/>
                      <w:color w:val="auto"/>
                      <w:sz w:val="21"/>
                      <w:szCs w:val="21"/>
                      <w:lang w:val="en-US" w:eastAsia="zh-CN"/>
                    </w:rPr>
                    <w:t>中部</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加工</w:t>
                  </w:r>
                  <w:r>
                    <w:rPr>
                      <w:rFonts w:hint="eastAsia" w:ascii="宋体" w:hAnsi="宋体" w:eastAsia="宋体" w:cs="宋体"/>
                      <w:color w:val="auto"/>
                      <w:sz w:val="21"/>
                      <w:szCs w:val="21"/>
                    </w:rPr>
                    <w:t>车间</w:t>
                  </w:r>
                  <w:r>
                    <w:rPr>
                      <w:rFonts w:hint="eastAsia" w:ascii="宋体" w:hAnsi="宋体" w:eastAsia="宋体" w:cs="宋体"/>
                      <w:color w:val="auto"/>
                      <w:sz w:val="21"/>
                      <w:szCs w:val="21"/>
                      <w:lang w:eastAsia="zh-CN"/>
                    </w:rPr>
                    <w:t>北侧</w:t>
                  </w:r>
                </w:p>
              </w:tc>
              <w:tc>
                <w:tcPr>
                  <w:tcW w:w="1675" w:type="dxa"/>
                  <w:vAlign w:val="center"/>
                </w:tcPr>
                <w:p w14:paraId="6F5A5A32">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已建</w:t>
                  </w:r>
                </w:p>
              </w:tc>
            </w:tr>
            <w:tr w14:paraId="1B9570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jc w:val="center"/>
              </w:trPr>
              <w:tc>
                <w:tcPr>
                  <w:tcW w:w="618" w:type="dxa"/>
                  <w:vMerge w:val="restart"/>
                  <w:vAlign w:val="center"/>
                </w:tcPr>
                <w:p w14:paraId="527C9B0D">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公</w:t>
                  </w:r>
                  <w:r>
                    <w:rPr>
                      <w:rFonts w:hint="eastAsia" w:ascii="宋体" w:hAnsi="宋体" w:eastAsia="宋体" w:cs="宋体"/>
                      <w:color w:val="auto"/>
                      <w:sz w:val="21"/>
                      <w:szCs w:val="21"/>
                      <w:lang w:eastAsia="zh-CN"/>
                    </w:rPr>
                    <w:t>用</w:t>
                  </w:r>
                </w:p>
                <w:p w14:paraId="340AB9DC">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w:t>
                  </w:r>
                </w:p>
              </w:tc>
              <w:tc>
                <w:tcPr>
                  <w:tcW w:w="1575" w:type="dxa"/>
                  <w:vAlign w:val="center"/>
                </w:tcPr>
                <w:p w14:paraId="1C53885A">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供水</w:t>
                  </w:r>
                </w:p>
              </w:tc>
              <w:tc>
                <w:tcPr>
                  <w:tcW w:w="4418" w:type="dxa"/>
                  <w:vAlign w:val="center"/>
                </w:tcPr>
                <w:p w14:paraId="64DEF305">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由当地自来水管网提供</w:t>
                  </w:r>
                </w:p>
              </w:tc>
              <w:tc>
                <w:tcPr>
                  <w:tcW w:w="1675" w:type="dxa"/>
                  <w:vMerge w:val="restart"/>
                  <w:vAlign w:val="center"/>
                </w:tcPr>
                <w:p w14:paraId="445030EC">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bCs/>
                      <w:color w:val="auto"/>
                      <w:sz w:val="21"/>
                      <w:szCs w:val="21"/>
                    </w:rPr>
                    <w:t>依托原有设施</w:t>
                  </w:r>
                </w:p>
              </w:tc>
            </w:tr>
            <w:tr w14:paraId="6CA7D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618" w:type="dxa"/>
                  <w:vMerge w:val="continue"/>
                  <w:vAlign w:val="center"/>
                </w:tcPr>
                <w:p w14:paraId="624D5675">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17FEB171">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供电</w:t>
                  </w:r>
                </w:p>
              </w:tc>
              <w:tc>
                <w:tcPr>
                  <w:tcW w:w="4418" w:type="dxa"/>
                  <w:vAlign w:val="center"/>
                </w:tcPr>
                <w:p w14:paraId="2E70FB26">
                  <w:pPr>
                    <w:autoSpaceDE w:val="0"/>
                    <w:autoSpaceDN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由当地供电局供应</w:t>
                  </w:r>
                </w:p>
              </w:tc>
              <w:tc>
                <w:tcPr>
                  <w:tcW w:w="1675" w:type="dxa"/>
                  <w:vMerge w:val="continue"/>
                  <w:vAlign w:val="center"/>
                </w:tcPr>
                <w:p w14:paraId="5FBE0325">
                  <w:pPr>
                    <w:autoSpaceDE w:val="0"/>
                    <w:autoSpaceDN w:val="0"/>
                    <w:adjustRightInd w:val="0"/>
                    <w:snapToGrid w:val="0"/>
                    <w:spacing w:line="240" w:lineRule="auto"/>
                    <w:jc w:val="center"/>
                    <w:rPr>
                      <w:rFonts w:hint="eastAsia" w:ascii="宋体" w:hAnsi="宋体" w:eastAsia="宋体" w:cs="宋体"/>
                      <w:color w:val="auto"/>
                      <w:sz w:val="21"/>
                      <w:szCs w:val="21"/>
                    </w:rPr>
                  </w:pPr>
                </w:p>
              </w:tc>
            </w:tr>
            <w:tr w14:paraId="49494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jc w:val="center"/>
              </w:trPr>
              <w:tc>
                <w:tcPr>
                  <w:tcW w:w="618" w:type="dxa"/>
                  <w:vMerge w:val="continue"/>
                  <w:vAlign w:val="center"/>
                </w:tcPr>
                <w:p w14:paraId="15F82242">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0A2905DA">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排水</w:t>
                  </w:r>
                </w:p>
              </w:tc>
              <w:tc>
                <w:tcPr>
                  <w:tcW w:w="4418" w:type="dxa"/>
                  <w:vAlign w:val="center"/>
                </w:tcPr>
                <w:p w14:paraId="1804A365">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无生产废水产生，生活污水由化粪池处理后用于周边农田施肥</w:t>
                  </w:r>
                </w:p>
              </w:tc>
              <w:tc>
                <w:tcPr>
                  <w:tcW w:w="1675" w:type="dxa"/>
                  <w:vMerge w:val="continue"/>
                  <w:vAlign w:val="center"/>
                </w:tcPr>
                <w:p w14:paraId="41942DD5">
                  <w:pPr>
                    <w:adjustRightInd w:val="0"/>
                    <w:snapToGrid w:val="0"/>
                    <w:spacing w:line="240" w:lineRule="auto"/>
                    <w:jc w:val="center"/>
                    <w:rPr>
                      <w:rFonts w:hint="eastAsia" w:ascii="宋体" w:hAnsi="宋体" w:eastAsia="宋体" w:cs="宋体"/>
                      <w:color w:val="auto"/>
                      <w:sz w:val="21"/>
                      <w:szCs w:val="21"/>
                    </w:rPr>
                  </w:pPr>
                </w:p>
              </w:tc>
            </w:tr>
            <w:tr w14:paraId="38B5C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jc w:val="center"/>
              </w:trPr>
              <w:tc>
                <w:tcPr>
                  <w:tcW w:w="618" w:type="dxa"/>
                  <w:vMerge w:val="continue"/>
                  <w:vAlign w:val="center"/>
                </w:tcPr>
                <w:p w14:paraId="15B5D6B1">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49D0B430">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道路</w:t>
                  </w:r>
                </w:p>
              </w:tc>
              <w:tc>
                <w:tcPr>
                  <w:tcW w:w="4418" w:type="dxa"/>
                  <w:vAlign w:val="center"/>
                </w:tcPr>
                <w:p w14:paraId="1245B3C9">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硬化</w:t>
                  </w:r>
                </w:p>
              </w:tc>
              <w:tc>
                <w:tcPr>
                  <w:tcW w:w="1675" w:type="dxa"/>
                  <w:vAlign w:val="center"/>
                </w:tcPr>
                <w:p w14:paraId="3C46B4A7">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已建</w:t>
                  </w:r>
                </w:p>
              </w:tc>
            </w:tr>
            <w:tr w14:paraId="1EC2FD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18" w:type="dxa"/>
                  <w:vMerge w:val="restart"/>
                  <w:vAlign w:val="center"/>
                </w:tcPr>
                <w:p w14:paraId="717A47EC">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辅助</w:t>
                  </w:r>
                </w:p>
                <w:p w14:paraId="04DB99EE">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w:t>
                  </w:r>
                </w:p>
              </w:tc>
              <w:tc>
                <w:tcPr>
                  <w:tcW w:w="1575" w:type="dxa"/>
                  <w:vAlign w:val="center"/>
                </w:tcPr>
                <w:p w14:paraId="7B5F0D00">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办公室</w:t>
                  </w:r>
                </w:p>
              </w:tc>
              <w:tc>
                <w:tcPr>
                  <w:tcW w:w="4418" w:type="dxa"/>
                  <w:vAlign w:val="center"/>
                </w:tcPr>
                <w:p w14:paraId="6AAE21FA">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bCs/>
                      <w:color w:val="auto"/>
                      <w:sz w:val="21"/>
                      <w:szCs w:val="21"/>
                    </w:rPr>
                    <w:t>占地面积</w:t>
                  </w:r>
                  <w:r>
                    <w:rPr>
                      <w:rFonts w:hint="eastAsia" w:ascii="宋体" w:hAnsi="宋体" w:eastAsia="宋体" w:cs="宋体"/>
                      <w:bCs/>
                      <w:color w:val="auto"/>
                      <w:sz w:val="21"/>
                      <w:szCs w:val="21"/>
                      <w:lang w:val="en-US" w:eastAsia="zh-CN"/>
                    </w:rPr>
                    <w:t>9</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钢架</w:t>
                  </w:r>
                  <w:r>
                    <w:rPr>
                      <w:rFonts w:hint="eastAsia" w:ascii="宋体" w:hAnsi="宋体" w:eastAsia="宋体" w:cs="宋体"/>
                      <w:color w:val="auto"/>
                      <w:sz w:val="21"/>
                      <w:szCs w:val="21"/>
                    </w:rPr>
                    <w:t>结构，位于厂区</w:t>
                  </w:r>
                  <w:r>
                    <w:rPr>
                      <w:rFonts w:hint="eastAsia" w:ascii="宋体" w:hAnsi="宋体" w:eastAsia="宋体" w:cs="宋体"/>
                      <w:color w:val="auto"/>
                      <w:sz w:val="21"/>
                      <w:szCs w:val="21"/>
                      <w:lang w:eastAsia="zh-CN"/>
                    </w:rPr>
                    <w:t>东北面</w:t>
                  </w:r>
                </w:p>
              </w:tc>
              <w:tc>
                <w:tcPr>
                  <w:tcW w:w="1675" w:type="dxa"/>
                  <w:vAlign w:val="center"/>
                </w:tcPr>
                <w:p w14:paraId="69148E0A">
                  <w:pPr>
                    <w:adjustRightInd w:val="0"/>
                    <w:snapToGri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已建</w:t>
                  </w:r>
                </w:p>
              </w:tc>
            </w:tr>
            <w:tr w14:paraId="257246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jc w:val="center"/>
              </w:trPr>
              <w:tc>
                <w:tcPr>
                  <w:tcW w:w="618" w:type="dxa"/>
                  <w:vMerge w:val="continue"/>
                  <w:vAlign w:val="center"/>
                </w:tcPr>
                <w:p w14:paraId="351060F7">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64BBC493">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宿舍</w:t>
                  </w:r>
                </w:p>
              </w:tc>
              <w:tc>
                <w:tcPr>
                  <w:tcW w:w="4418" w:type="dxa"/>
                  <w:vAlign w:val="center"/>
                </w:tcPr>
                <w:p w14:paraId="573FE4A7">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bCs/>
                      <w:color w:val="auto"/>
                      <w:sz w:val="21"/>
                      <w:szCs w:val="21"/>
                    </w:rPr>
                    <w:t>占地面积</w:t>
                  </w:r>
                  <w:r>
                    <w:rPr>
                      <w:rFonts w:hint="eastAsia" w:ascii="宋体" w:hAnsi="宋体" w:eastAsia="宋体" w:cs="宋体"/>
                      <w:color w:val="auto"/>
                      <w:sz w:val="21"/>
                      <w:szCs w:val="21"/>
                      <w:lang w:val="en-US" w:eastAsia="zh-CN"/>
                    </w:rPr>
                    <w:t>123</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钢架结构和砖木</w:t>
                  </w:r>
                  <w:r>
                    <w:rPr>
                      <w:rFonts w:hint="eastAsia" w:ascii="宋体" w:hAnsi="宋体" w:eastAsia="宋体" w:cs="宋体"/>
                      <w:color w:val="auto"/>
                      <w:sz w:val="21"/>
                      <w:szCs w:val="21"/>
                    </w:rPr>
                    <w:t>结构，位于厂区</w:t>
                  </w:r>
                  <w:r>
                    <w:rPr>
                      <w:rFonts w:hint="eastAsia" w:ascii="宋体" w:hAnsi="宋体" w:eastAsia="宋体" w:cs="宋体"/>
                      <w:color w:val="auto"/>
                      <w:sz w:val="21"/>
                      <w:szCs w:val="21"/>
                      <w:lang w:eastAsia="zh-CN"/>
                    </w:rPr>
                    <w:t>东北面</w:t>
                  </w:r>
                </w:p>
              </w:tc>
              <w:tc>
                <w:tcPr>
                  <w:tcW w:w="1675" w:type="dxa"/>
                  <w:vAlign w:val="center"/>
                </w:tcPr>
                <w:p w14:paraId="658C3476">
                  <w:pPr>
                    <w:adjustRightInd w:val="0"/>
                    <w:snapToGrid w:val="0"/>
                    <w:spacing w:line="24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已建</w:t>
                  </w:r>
                </w:p>
              </w:tc>
            </w:tr>
            <w:tr w14:paraId="434DB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8" w:type="dxa"/>
                  <w:vMerge w:val="continue"/>
                  <w:vAlign w:val="center"/>
                </w:tcPr>
                <w:p w14:paraId="75146562">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3D856ABF">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厨房</w:t>
                  </w:r>
                </w:p>
              </w:tc>
              <w:tc>
                <w:tcPr>
                  <w:tcW w:w="4418" w:type="dxa"/>
                  <w:vAlign w:val="center"/>
                </w:tcPr>
                <w:p w14:paraId="31AFA2EE">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占地面积</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钢架</w:t>
                  </w:r>
                  <w:r>
                    <w:rPr>
                      <w:rFonts w:hint="eastAsia" w:ascii="宋体" w:hAnsi="宋体" w:eastAsia="宋体" w:cs="宋体"/>
                      <w:color w:val="auto"/>
                      <w:sz w:val="21"/>
                      <w:szCs w:val="21"/>
                    </w:rPr>
                    <w:t>结构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位于项目</w:t>
                  </w:r>
                  <w:r>
                    <w:rPr>
                      <w:rFonts w:hint="eastAsia" w:ascii="宋体" w:hAnsi="宋体" w:eastAsia="宋体" w:cs="宋体"/>
                      <w:color w:val="auto"/>
                      <w:sz w:val="21"/>
                      <w:szCs w:val="21"/>
                      <w:lang w:eastAsia="zh-CN"/>
                    </w:rPr>
                    <w:t>东北面</w:t>
                  </w:r>
                </w:p>
              </w:tc>
              <w:tc>
                <w:tcPr>
                  <w:tcW w:w="1675" w:type="dxa"/>
                  <w:vAlign w:val="center"/>
                </w:tcPr>
                <w:p w14:paraId="752CFD7B">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bCs/>
                      <w:color w:val="auto"/>
                      <w:sz w:val="21"/>
                      <w:szCs w:val="21"/>
                      <w:lang w:eastAsia="zh-CN"/>
                    </w:rPr>
                    <w:t>已建</w:t>
                  </w:r>
                </w:p>
              </w:tc>
            </w:tr>
            <w:tr w14:paraId="6282A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7" w:hRule="atLeast"/>
                <w:jc w:val="center"/>
              </w:trPr>
              <w:tc>
                <w:tcPr>
                  <w:tcW w:w="618" w:type="dxa"/>
                  <w:vMerge w:val="continue"/>
                  <w:vAlign w:val="center"/>
                </w:tcPr>
                <w:p w14:paraId="6F9A2A65">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70646AF8">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热风炉房</w:t>
                  </w:r>
                </w:p>
              </w:tc>
              <w:tc>
                <w:tcPr>
                  <w:tcW w:w="4418" w:type="dxa"/>
                  <w:vAlign w:val="center"/>
                </w:tcPr>
                <w:p w14:paraId="0805DA9A">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占地面积</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lang w:eastAsia="zh-CN"/>
                    </w:rPr>
                    <w:t>，加工</w:t>
                  </w:r>
                  <w:r>
                    <w:rPr>
                      <w:rFonts w:hint="eastAsia" w:ascii="宋体" w:hAnsi="宋体" w:eastAsia="宋体" w:cs="宋体"/>
                      <w:color w:val="auto"/>
                      <w:sz w:val="21"/>
                      <w:szCs w:val="21"/>
                    </w:rPr>
                    <w:t>车间</w:t>
                  </w:r>
                  <w:r>
                    <w:rPr>
                      <w:rFonts w:hint="eastAsia" w:ascii="宋体" w:hAnsi="宋体" w:eastAsia="宋体" w:cs="宋体"/>
                      <w:color w:val="auto"/>
                      <w:sz w:val="21"/>
                      <w:szCs w:val="21"/>
                      <w:lang w:eastAsia="zh-CN"/>
                    </w:rPr>
                    <w:t>北侧</w:t>
                  </w:r>
                </w:p>
              </w:tc>
              <w:tc>
                <w:tcPr>
                  <w:tcW w:w="1675" w:type="dxa"/>
                  <w:vAlign w:val="center"/>
                </w:tcPr>
                <w:p w14:paraId="297BF6DC">
                  <w:pPr>
                    <w:adjustRightInd w:val="0"/>
                    <w:snapToGrid w:val="0"/>
                    <w:spacing w:line="240" w:lineRule="auto"/>
                    <w:jc w:val="center"/>
                    <w:rPr>
                      <w:rFonts w:hint="eastAsia" w:ascii="宋体" w:hAnsi="宋体" w:eastAsia="宋体" w:cs="宋体"/>
                      <w:bCs/>
                      <w:color w:val="auto"/>
                      <w:sz w:val="21"/>
                      <w:szCs w:val="21"/>
                      <w:lang w:eastAsia="zh-CN"/>
                    </w:rPr>
                  </w:pPr>
                </w:p>
              </w:tc>
            </w:tr>
            <w:tr w14:paraId="5F437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618" w:type="dxa"/>
                  <w:vMerge w:val="continue"/>
                  <w:tcBorders>
                    <w:bottom w:val="single" w:color="auto" w:sz="4" w:space="0"/>
                  </w:tcBorders>
                  <w:vAlign w:val="center"/>
                </w:tcPr>
                <w:p w14:paraId="2D89930D">
                  <w:pPr>
                    <w:adjustRightInd w:val="0"/>
                    <w:snapToGrid w:val="0"/>
                    <w:spacing w:line="240" w:lineRule="auto"/>
                    <w:jc w:val="center"/>
                    <w:rPr>
                      <w:rFonts w:hint="eastAsia" w:ascii="宋体" w:hAnsi="宋体" w:eastAsia="宋体" w:cs="宋体"/>
                      <w:color w:val="auto"/>
                      <w:sz w:val="21"/>
                      <w:szCs w:val="21"/>
                    </w:rPr>
                  </w:pPr>
                </w:p>
              </w:tc>
              <w:tc>
                <w:tcPr>
                  <w:tcW w:w="1575" w:type="dxa"/>
                  <w:tcBorders>
                    <w:bottom w:val="single" w:color="auto" w:sz="4" w:space="0"/>
                  </w:tcBorders>
                  <w:vAlign w:val="center"/>
                </w:tcPr>
                <w:p w14:paraId="2BB45793">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围</w:t>
                  </w:r>
                  <w:r>
                    <w:rPr>
                      <w:rFonts w:hint="eastAsia" w:ascii="宋体" w:hAnsi="宋体" w:eastAsia="宋体" w:cs="宋体"/>
                      <w:color w:val="auto"/>
                      <w:sz w:val="21"/>
                      <w:szCs w:val="21"/>
                      <w:lang w:eastAsia="zh-CN"/>
                    </w:rPr>
                    <w:t>墙</w:t>
                  </w:r>
                </w:p>
              </w:tc>
              <w:tc>
                <w:tcPr>
                  <w:tcW w:w="4418" w:type="dxa"/>
                  <w:vAlign w:val="center"/>
                </w:tcPr>
                <w:p w14:paraId="7DE9FBDF">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厂区四周，高1.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m</w:t>
                  </w:r>
                </w:p>
              </w:tc>
              <w:tc>
                <w:tcPr>
                  <w:tcW w:w="1675" w:type="dxa"/>
                  <w:vAlign w:val="center"/>
                </w:tcPr>
                <w:p w14:paraId="35B71912">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依托原有围</w:t>
                  </w:r>
                  <w:r>
                    <w:rPr>
                      <w:rFonts w:hint="eastAsia" w:ascii="宋体" w:hAnsi="宋体" w:cs="宋体"/>
                      <w:bCs/>
                      <w:color w:val="auto"/>
                      <w:sz w:val="21"/>
                      <w:szCs w:val="21"/>
                      <w:lang w:eastAsia="zh-CN"/>
                    </w:rPr>
                    <w:t>墙</w:t>
                  </w:r>
                </w:p>
              </w:tc>
            </w:tr>
            <w:tr w14:paraId="60CED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618" w:type="dxa"/>
                  <w:vMerge w:val="restart"/>
                  <w:vAlign w:val="center"/>
                </w:tcPr>
                <w:p w14:paraId="5F40F162">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环保工程</w:t>
                  </w:r>
                </w:p>
              </w:tc>
              <w:tc>
                <w:tcPr>
                  <w:tcW w:w="1575" w:type="dxa"/>
                  <w:tcBorders>
                    <w:bottom w:val="single" w:color="auto" w:sz="4" w:space="0"/>
                  </w:tcBorders>
                  <w:vAlign w:val="center"/>
                </w:tcPr>
                <w:p w14:paraId="7755442D">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油烟净化装置</w:t>
                  </w:r>
                </w:p>
              </w:tc>
              <w:tc>
                <w:tcPr>
                  <w:tcW w:w="4418" w:type="dxa"/>
                  <w:vAlign w:val="center"/>
                </w:tcPr>
                <w:p w14:paraId="4E394EF7">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snapToGrid/>
                      <w:color w:val="auto"/>
                      <w:sz w:val="21"/>
                      <w:highlight w:val="none"/>
                      <w:u w:val="none" w:color="auto"/>
                      <w:lang w:eastAsia="zh-CN"/>
                    </w:rPr>
                    <w:t>食堂油烟净化</w:t>
                  </w:r>
                </w:p>
              </w:tc>
              <w:tc>
                <w:tcPr>
                  <w:tcW w:w="1675" w:type="dxa"/>
                  <w:vAlign w:val="center"/>
                </w:tcPr>
                <w:p w14:paraId="1F49F9B1">
                  <w:pPr>
                    <w:adjustRightInd w:val="0"/>
                    <w:snapToGrid w:val="0"/>
                    <w:spacing w:line="240" w:lineRule="auto"/>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环评提出</w:t>
                  </w:r>
                </w:p>
              </w:tc>
            </w:tr>
            <w:tr w14:paraId="17C11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8" w:type="dxa"/>
                  <w:vMerge w:val="continue"/>
                  <w:vAlign w:val="center"/>
                </w:tcPr>
                <w:p w14:paraId="47996DCF">
                  <w:pPr>
                    <w:adjustRightInd w:val="0"/>
                    <w:snapToGrid w:val="0"/>
                    <w:spacing w:line="240" w:lineRule="auto"/>
                    <w:jc w:val="center"/>
                    <w:rPr>
                      <w:rFonts w:hint="eastAsia" w:ascii="宋体" w:hAnsi="宋体" w:eastAsia="宋体" w:cs="宋体"/>
                      <w:color w:val="auto"/>
                      <w:sz w:val="21"/>
                      <w:szCs w:val="21"/>
                      <w:lang w:eastAsia="zh-CN"/>
                    </w:rPr>
                  </w:pPr>
                </w:p>
              </w:tc>
              <w:tc>
                <w:tcPr>
                  <w:tcW w:w="1575" w:type="dxa"/>
                  <w:tcBorders>
                    <w:top w:val="single" w:color="auto" w:sz="4" w:space="0"/>
                  </w:tcBorders>
                  <w:vAlign w:val="center"/>
                </w:tcPr>
                <w:p w14:paraId="7A9BB3C8">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隔油池</w:t>
                  </w:r>
                </w:p>
              </w:tc>
              <w:tc>
                <w:tcPr>
                  <w:tcW w:w="4418" w:type="dxa"/>
                  <w:vAlign w:val="center"/>
                </w:tcPr>
                <w:p w14:paraId="2560EA97">
                  <w:pPr>
                    <w:autoSpaceDE w:val="0"/>
                    <w:autoSpaceDN w:val="0"/>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1个，容积</w:t>
                  </w:r>
                  <w:r>
                    <w:rPr>
                      <w:rFonts w:hint="eastAsia" w:ascii="宋体" w:hAnsi="宋体" w:cs="宋体"/>
                      <w:color w:val="auto"/>
                      <w:sz w:val="21"/>
                      <w:szCs w:val="21"/>
                      <w:lang w:val="en-US" w:eastAsia="zh-CN"/>
                    </w:rPr>
                    <w:t>0.1</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vertAlign w:val="superscript"/>
                      <w:lang w:val="en-US" w:eastAsia="zh-CN"/>
                    </w:rPr>
                    <w:t>3</w:t>
                  </w:r>
                </w:p>
              </w:tc>
              <w:tc>
                <w:tcPr>
                  <w:tcW w:w="1675" w:type="dxa"/>
                  <w:vAlign w:val="center"/>
                </w:tcPr>
                <w:p w14:paraId="61DA70B8">
                  <w:pPr>
                    <w:autoSpaceDE w:val="0"/>
                    <w:autoSpaceDN w:val="0"/>
                    <w:adjustRightInd w:val="0"/>
                    <w:snapToGrid w:val="0"/>
                    <w:spacing w:line="240" w:lineRule="auto"/>
                    <w:jc w:val="center"/>
                    <w:rPr>
                      <w:rFonts w:hint="eastAsia" w:ascii="宋体" w:hAnsi="宋体" w:eastAsia="宋体" w:cs="宋体"/>
                      <w:bCs/>
                      <w:color w:val="auto"/>
                      <w:sz w:val="21"/>
                      <w:szCs w:val="21"/>
                      <w:lang w:val="en-US" w:eastAsia="zh-CN"/>
                    </w:rPr>
                  </w:pPr>
                  <w:r>
                    <w:rPr>
                      <w:rFonts w:hint="eastAsia" w:ascii="宋体" w:hAnsi="宋体" w:cs="宋体"/>
                      <w:color w:val="auto"/>
                      <w:sz w:val="21"/>
                      <w:szCs w:val="21"/>
                      <w:lang w:eastAsia="zh-CN"/>
                    </w:rPr>
                    <w:t>环评提出</w:t>
                  </w:r>
                </w:p>
              </w:tc>
            </w:tr>
            <w:tr w14:paraId="17373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 w:hRule="atLeast"/>
                <w:jc w:val="center"/>
              </w:trPr>
              <w:tc>
                <w:tcPr>
                  <w:tcW w:w="618" w:type="dxa"/>
                  <w:vMerge w:val="continue"/>
                  <w:vAlign w:val="center"/>
                </w:tcPr>
                <w:p w14:paraId="194B26C9">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0A644B34">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化粪池</w:t>
                  </w:r>
                </w:p>
              </w:tc>
              <w:tc>
                <w:tcPr>
                  <w:tcW w:w="4418" w:type="dxa"/>
                  <w:vAlign w:val="center"/>
                </w:tcPr>
                <w:p w14:paraId="1BB20962">
                  <w:pPr>
                    <w:autoSpaceDE w:val="0"/>
                    <w:autoSpaceDN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化粪池占地面积约</w:t>
                  </w:r>
                  <w:r>
                    <w:rPr>
                      <w:rFonts w:hint="eastAsia" w:ascii="宋体" w:hAnsi="宋体" w:eastAsia="宋体" w:cs="宋体"/>
                      <w:color w:val="auto"/>
                      <w:sz w:val="21"/>
                      <w:szCs w:val="21"/>
                      <w:lang w:val="en-US" w:eastAsia="zh-CN"/>
                    </w:rPr>
                    <w:t>15m</w:t>
                  </w:r>
                  <w:r>
                    <w:rPr>
                      <w:rFonts w:hint="eastAsia" w:ascii="宋体" w:hAnsi="宋体" w:eastAsia="宋体" w:cs="宋体"/>
                      <w:color w:val="auto"/>
                      <w:sz w:val="21"/>
                      <w:szCs w:val="21"/>
                      <w:vertAlign w:val="superscript"/>
                      <w:lang w:val="en-US" w:eastAsia="zh-CN"/>
                    </w:rPr>
                    <w:t>2</w:t>
                  </w:r>
                  <w:r>
                    <w:rPr>
                      <w:rFonts w:hint="eastAsia" w:ascii="宋体" w:hAnsi="宋体" w:eastAsia="宋体" w:cs="宋体"/>
                      <w:color w:val="auto"/>
                      <w:sz w:val="21"/>
                      <w:szCs w:val="21"/>
                      <w:lang w:val="en-US" w:eastAsia="zh-CN"/>
                    </w:rPr>
                    <w:t>，池容约6m</w:t>
                  </w:r>
                  <w:r>
                    <w:rPr>
                      <w:rFonts w:hint="eastAsia" w:ascii="宋体" w:hAnsi="宋体" w:eastAsia="宋体" w:cs="宋体"/>
                      <w:color w:val="auto"/>
                      <w:sz w:val="21"/>
                      <w:szCs w:val="21"/>
                      <w:vertAlign w:val="superscript"/>
                      <w:lang w:val="en-US" w:eastAsia="zh-CN"/>
                    </w:rPr>
                    <w:t>3</w:t>
                  </w:r>
                </w:p>
              </w:tc>
              <w:tc>
                <w:tcPr>
                  <w:tcW w:w="1675" w:type="dxa"/>
                  <w:vAlign w:val="center"/>
                </w:tcPr>
                <w:p w14:paraId="6544A3B6">
                  <w:pPr>
                    <w:autoSpaceDE w:val="0"/>
                    <w:autoSpaceDN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环评提出</w:t>
                  </w:r>
                </w:p>
              </w:tc>
            </w:tr>
            <w:tr w14:paraId="6158F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 w:hRule="atLeast"/>
                <w:jc w:val="center"/>
              </w:trPr>
              <w:tc>
                <w:tcPr>
                  <w:tcW w:w="618" w:type="dxa"/>
                  <w:vMerge w:val="continue"/>
                  <w:vAlign w:val="center"/>
                </w:tcPr>
                <w:p w14:paraId="48DA77B1">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1D97FA0B">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粉尘</w:t>
                  </w:r>
                </w:p>
              </w:tc>
              <w:tc>
                <w:tcPr>
                  <w:tcW w:w="4418" w:type="dxa"/>
                  <w:vAlign w:val="center"/>
                </w:tcPr>
                <w:p w14:paraId="05F39057">
                  <w:pPr>
                    <w:autoSpaceDE w:val="0"/>
                    <w:autoSpaceDN w:val="0"/>
                    <w:adjustRightInd w:val="0"/>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项目在筛分、烘干过程产生的粉尘量极少，经优化车间通风排放，为无组织排放</w:t>
                  </w:r>
                </w:p>
              </w:tc>
              <w:tc>
                <w:tcPr>
                  <w:tcW w:w="1675" w:type="dxa"/>
                  <w:vAlign w:val="center"/>
                </w:tcPr>
                <w:p w14:paraId="07F94E58">
                  <w:pPr>
                    <w:autoSpaceDE w:val="0"/>
                    <w:autoSpaceDN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已建</w:t>
                  </w:r>
                </w:p>
              </w:tc>
            </w:tr>
            <w:tr w14:paraId="02C91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8" w:type="dxa"/>
                  <w:vMerge w:val="continue"/>
                  <w:vAlign w:val="center"/>
                </w:tcPr>
                <w:p w14:paraId="5AF47B3B">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223F83CB">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热风炉烟气</w:t>
                  </w:r>
                </w:p>
              </w:tc>
              <w:tc>
                <w:tcPr>
                  <w:tcW w:w="4418" w:type="dxa"/>
                  <w:vAlign w:val="center"/>
                </w:tcPr>
                <w:p w14:paraId="6DCD7B7E">
                  <w:pPr>
                    <w:autoSpaceDE w:val="0"/>
                    <w:autoSpaceDN w:val="0"/>
                    <w:adjustRightInd w:val="0"/>
                    <w:snapToGrid w:val="0"/>
                    <w:spacing w:line="240" w:lineRule="auto"/>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3台热风炉产生的</w:t>
                  </w:r>
                  <w:r>
                    <w:rPr>
                      <w:rFonts w:hint="eastAsia" w:ascii="宋体" w:hAnsi="宋体" w:eastAsia="宋体" w:cs="宋体"/>
                      <w:color w:val="auto"/>
                      <w:sz w:val="21"/>
                      <w:szCs w:val="21"/>
                      <w:lang w:eastAsia="zh-CN"/>
                    </w:rPr>
                    <w:t>烟气</w:t>
                  </w:r>
                  <w:r>
                    <w:rPr>
                      <w:rFonts w:hint="eastAsia" w:ascii="宋体" w:hAnsi="宋体" w:cs="宋体"/>
                      <w:color w:val="auto"/>
                      <w:sz w:val="21"/>
                      <w:szCs w:val="21"/>
                      <w:lang w:eastAsia="zh-CN"/>
                    </w:rPr>
                    <w:t>统一</w:t>
                  </w:r>
                  <w:r>
                    <w:rPr>
                      <w:rFonts w:hint="eastAsia" w:ascii="宋体" w:hAnsi="宋体" w:eastAsia="宋体" w:cs="宋体"/>
                      <w:color w:val="auto"/>
                      <w:sz w:val="21"/>
                      <w:szCs w:val="21"/>
                      <w:lang w:eastAsia="zh-CN"/>
                    </w:rPr>
                    <w:t>经</w:t>
                  </w:r>
                  <w:r>
                    <w:rPr>
                      <w:rFonts w:hint="eastAsia" w:ascii="宋体" w:hAnsi="宋体" w:cs="宋体"/>
                      <w:color w:val="auto"/>
                      <w:sz w:val="21"/>
                      <w:szCs w:val="21"/>
                      <w:lang w:eastAsia="zh-CN"/>
                    </w:rPr>
                    <w:t>一套“</w:t>
                  </w:r>
                  <w:r>
                    <w:rPr>
                      <w:rFonts w:hint="eastAsia" w:ascii="宋体" w:hAnsi="宋体" w:eastAsia="宋体" w:cs="宋体"/>
                      <w:color w:val="auto"/>
                      <w:sz w:val="21"/>
                      <w:szCs w:val="21"/>
                      <w:lang w:eastAsia="zh-CN"/>
                    </w:rPr>
                    <w:t>旋风</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布袋除尘器</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处理后于</w:t>
                  </w:r>
                  <w:r>
                    <w:rPr>
                      <w:rFonts w:hint="eastAsia" w:ascii="宋体" w:hAnsi="宋体" w:cs="宋体"/>
                      <w:color w:val="auto"/>
                      <w:sz w:val="21"/>
                      <w:szCs w:val="21"/>
                      <w:lang w:eastAsia="zh-CN"/>
                    </w:rPr>
                    <w:t>一根</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5m</w:t>
                  </w:r>
                  <w:r>
                    <w:rPr>
                      <w:rFonts w:hint="eastAsia" w:ascii="宋体" w:hAnsi="宋体" w:cs="宋体"/>
                      <w:color w:val="auto"/>
                      <w:sz w:val="21"/>
                      <w:szCs w:val="21"/>
                      <w:lang w:val="en-US" w:eastAsia="zh-CN"/>
                    </w:rPr>
                    <w:t>排气筒</w:t>
                  </w:r>
                  <w:r>
                    <w:rPr>
                      <w:rFonts w:hint="eastAsia" w:ascii="宋体" w:hAnsi="宋体" w:eastAsia="宋体" w:cs="宋体"/>
                      <w:color w:val="auto"/>
                      <w:sz w:val="21"/>
                      <w:szCs w:val="21"/>
                      <w:lang w:val="en-US" w:eastAsia="zh-CN"/>
                    </w:rPr>
                    <w:t>高空排放</w:t>
                  </w:r>
                </w:p>
              </w:tc>
              <w:tc>
                <w:tcPr>
                  <w:tcW w:w="1675" w:type="dxa"/>
                  <w:vAlign w:val="center"/>
                </w:tcPr>
                <w:p w14:paraId="400EE5EF">
                  <w:pPr>
                    <w:autoSpaceDE w:val="0"/>
                    <w:autoSpaceDN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环评提出</w:t>
                  </w:r>
                </w:p>
              </w:tc>
            </w:tr>
            <w:tr w14:paraId="2257F6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618" w:type="dxa"/>
                  <w:vMerge w:val="continue"/>
                  <w:vAlign w:val="center"/>
                </w:tcPr>
                <w:p w14:paraId="1FFFC570">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743108B8">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环卫设施</w:t>
                  </w:r>
                </w:p>
              </w:tc>
              <w:tc>
                <w:tcPr>
                  <w:tcW w:w="4418" w:type="dxa"/>
                  <w:vAlign w:val="center"/>
                </w:tcPr>
                <w:p w14:paraId="4DD25FE2">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设置垃圾收集桶</w:t>
                  </w:r>
                </w:p>
              </w:tc>
              <w:tc>
                <w:tcPr>
                  <w:tcW w:w="1675" w:type="dxa"/>
                  <w:vAlign w:val="center"/>
                </w:tcPr>
                <w:p w14:paraId="387A3126">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已建</w:t>
                  </w:r>
                </w:p>
              </w:tc>
            </w:tr>
            <w:tr w14:paraId="6A770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8" w:type="dxa"/>
                  <w:vMerge w:val="continue"/>
                  <w:vAlign w:val="center"/>
                </w:tcPr>
                <w:p w14:paraId="7FB60D06">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678FC039">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噪声防治</w:t>
                  </w:r>
                </w:p>
              </w:tc>
              <w:tc>
                <w:tcPr>
                  <w:tcW w:w="4418" w:type="dxa"/>
                  <w:vAlign w:val="center"/>
                </w:tcPr>
                <w:p w14:paraId="779EC807">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安装设备减噪设施</w:t>
                  </w:r>
                </w:p>
              </w:tc>
              <w:tc>
                <w:tcPr>
                  <w:tcW w:w="1675" w:type="dxa"/>
                  <w:vAlign w:val="center"/>
                </w:tcPr>
                <w:p w14:paraId="6F5A990D">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环评提出</w:t>
                  </w:r>
                </w:p>
              </w:tc>
            </w:tr>
            <w:tr w14:paraId="120AE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4" w:hRule="atLeast"/>
                <w:jc w:val="center"/>
              </w:trPr>
              <w:tc>
                <w:tcPr>
                  <w:tcW w:w="618" w:type="dxa"/>
                  <w:vMerge w:val="continue"/>
                  <w:vAlign w:val="center"/>
                </w:tcPr>
                <w:p w14:paraId="4A3D4D96">
                  <w:pPr>
                    <w:adjustRightInd w:val="0"/>
                    <w:snapToGrid w:val="0"/>
                    <w:spacing w:line="240" w:lineRule="auto"/>
                    <w:jc w:val="center"/>
                    <w:rPr>
                      <w:rFonts w:hint="eastAsia" w:ascii="宋体" w:hAnsi="宋体" w:eastAsia="宋体" w:cs="宋体"/>
                      <w:color w:val="auto"/>
                      <w:sz w:val="21"/>
                      <w:szCs w:val="21"/>
                    </w:rPr>
                  </w:pPr>
                </w:p>
              </w:tc>
              <w:tc>
                <w:tcPr>
                  <w:tcW w:w="1575" w:type="dxa"/>
                  <w:vAlign w:val="center"/>
                </w:tcPr>
                <w:p w14:paraId="1C232C5F">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绿化及景观</w:t>
                  </w:r>
                </w:p>
              </w:tc>
              <w:tc>
                <w:tcPr>
                  <w:tcW w:w="4418" w:type="dxa"/>
                  <w:vAlign w:val="center"/>
                </w:tcPr>
                <w:p w14:paraId="18F20E46">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绿化面积</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1675" w:type="dxa"/>
                  <w:vAlign w:val="center"/>
                </w:tcPr>
                <w:p w14:paraId="3F5C4A80">
                  <w:pPr>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依托原有</w:t>
                  </w:r>
                </w:p>
              </w:tc>
            </w:tr>
          </w:tbl>
          <w:p w14:paraId="3D686F51">
            <w:pPr>
              <w:spacing w:before="156" w:beforeLines="50"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4、公用工程</w:t>
            </w:r>
          </w:p>
          <w:p w14:paraId="4C088966">
            <w:pPr>
              <w:pStyle w:val="48"/>
              <w:snapToGrid w:val="0"/>
              <w:spacing w:line="360" w:lineRule="auto"/>
              <w:ind w:firstLine="480" w:firstLineChars="200"/>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rPr>
              <w:t>（1）交通：</w:t>
            </w:r>
            <w:r>
              <w:rPr>
                <w:rFonts w:hint="eastAsia" w:ascii="宋体" w:hAnsi="宋体" w:eastAsia="宋体" w:cs="宋体"/>
                <w:b w:val="0"/>
                <w:bCs w:val="0"/>
                <w:color w:val="auto"/>
                <w:sz w:val="24"/>
                <w:szCs w:val="24"/>
              </w:rPr>
              <w:t>该项目所处位置</w:t>
            </w:r>
            <w:r>
              <w:rPr>
                <w:rFonts w:hint="eastAsia" w:ascii="宋体" w:hAnsi="宋体" w:eastAsia="宋体" w:cs="宋体"/>
                <w:b w:val="0"/>
                <w:bCs w:val="0"/>
                <w:color w:val="auto"/>
                <w:kern w:val="2"/>
                <w:sz w:val="24"/>
                <w:szCs w:val="24"/>
              </w:rPr>
              <w:t>交通便捷，产品销售较为简便</w:t>
            </w:r>
            <w:r>
              <w:rPr>
                <w:rFonts w:hint="eastAsia" w:ascii="宋体" w:hAnsi="宋体" w:eastAsia="宋体" w:cs="宋体"/>
                <w:b w:val="0"/>
                <w:bCs w:val="0"/>
                <w:color w:val="auto"/>
                <w:kern w:val="2"/>
                <w:sz w:val="24"/>
                <w:szCs w:val="24"/>
                <w:lang w:eastAsia="zh-CN"/>
              </w:rPr>
              <w:t>。</w:t>
            </w:r>
          </w:p>
          <w:p w14:paraId="190965F6">
            <w:pPr>
              <w:pStyle w:val="48"/>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（2）供电：</w:t>
            </w:r>
            <w:r>
              <w:rPr>
                <w:rFonts w:hint="eastAsia" w:ascii="宋体" w:hAnsi="宋体" w:eastAsia="宋体" w:cs="宋体"/>
                <w:b w:val="0"/>
                <w:bCs w:val="0"/>
                <w:color w:val="auto"/>
                <w:sz w:val="24"/>
                <w:szCs w:val="24"/>
                <w:lang w:eastAsia="zh-CN"/>
              </w:rPr>
              <w:t>由当地供电局供应</w:t>
            </w:r>
            <w:r>
              <w:rPr>
                <w:rFonts w:hint="eastAsia" w:ascii="宋体" w:hAnsi="宋体" w:eastAsia="宋体" w:cs="宋体"/>
                <w:b w:val="0"/>
                <w:bCs w:val="0"/>
                <w:color w:val="auto"/>
                <w:sz w:val="24"/>
                <w:szCs w:val="24"/>
              </w:rPr>
              <w:t>。</w:t>
            </w:r>
          </w:p>
          <w:p w14:paraId="2B13589B">
            <w:pPr>
              <w:pStyle w:val="48"/>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（3）供水：由</w:t>
            </w:r>
            <w:r>
              <w:rPr>
                <w:rFonts w:hint="eastAsia" w:ascii="宋体" w:hAnsi="宋体" w:eastAsia="宋体" w:cs="宋体"/>
                <w:b w:val="0"/>
                <w:bCs w:val="0"/>
                <w:color w:val="auto"/>
                <w:sz w:val="24"/>
                <w:szCs w:val="24"/>
                <w:lang w:eastAsia="zh-CN"/>
              </w:rPr>
              <w:t>当地自来水管网</w:t>
            </w: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lang w:eastAsia="zh-CN"/>
              </w:rPr>
              <w:t>。</w:t>
            </w:r>
          </w:p>
          <w:p w14:paraId="2AE92775">
            <w:pPr>
              <w:pStyle w:val="48"/>
              <w:snapToGrid w:val="0"/>
              <w:spacing w:line="360" w:lineRule="auto"/>
              <w:ind w:left="0" w:leftChars="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eastAsia="宋体" w:cs="宋体"/>
                <w:b w:val="0"/>
                <w:bCs w:val="0"/>
                <w:color w:val="auto"/>
                <w:kern w:val="2"/>
                <w:sz w:val="24"/>
                <w:szCs w:val="24"/>
              </w:rPr>
              <w:t>排水：建设项目厂区</w:t>
            </w:r>
            <w:r>
              <w:rPr>
                <w:rFonts w:hint="eastAsia" w:ascii="宋体" w:hAnsi="宋体" w:eastAsia="宋体" w:cs="宋体"/>
                <w:b w:val="0"/>
                <w:bCs w:val="0"/>
                <w:color w:val="auto"/>
                <w:sz w:val="24"/>
                <w:szCs w:val="24"/>
              </w:rPr>
              <w:t>无生产废水产生，生活污水由</w:t>
            </w:r>
            <w:r>
              <w:rPr>
                <w:rFonts w:hint="eastAsia" w:ascii="宋体" w:hAnsi="宋体" w:eastAsia="宋体" w:cs="宋体"/>
                <w:b w:val="0"/>
                <w:bCs w:val="0"/>
                <w:color w:val="auto"/>
                <w:sz w:val="24"/>
                <w:szCs w:val="24"/>
                <w:lang w:eastAsia="zh-CN"/>
              </w:rPr>
              <w:t>化粪池</w:t>
            </w:r>
            <w:r>
              <w:rPr>
                <w:rFonts w:hint="eastAsia" w:ascii="宋体" w:hAnsi="宋体" w:eastAsia="宋体" w:cs="宋体"/>
                <w:b w:val="0"/>
                <w:bCs w:val="0"/>
                <w:color w:val="auto"/>
                <w:sz w:val="24"/>
                <w:szCs w:val="24"/>
              </w:rPr>
              <w:t>处理后用于</w:t>
            </w:r>
            <w:r>
              <w:rPr>
                <w:rFonts w:hint="eastAsia" w:ascii="宋体" w:hAnsi="宋体" w:eastAsia="宋体" w:cs="宋体"/>
                <w:b w:val="0"/>
                <w:bCs w:val="0"/>
                <w:color w:val="auto"/>
                <w:sz w:val="24"/>
                <w:szCs w:val="24"/>
                <w:lang w:eastAsia="zh-CN"/>
              </w:rPr>
              <w:t>周边农田施肥</w:t>
            </w:r>
            <w:r>
              <w:rPr>
                <w:rFonts w:hint="eastAsia" w:ascii="宋体" w:hAnsi="宋体" w:eastAsia="宋体" w:cs="宋体"/>
                <w:b w:val="0"/>
                <w:bCs w:val="0"/>
                <w:color w:val="auto"/>
                <w:sz w:val="24"/>
                <w:szCs w:val="24"/>
              </w:rPr>
              <w:t>。</w:t>
            </w:r>
          </w:p>
          <w:p w14:paraId="56365F78">
            <w:pPr>
              <w:snapToGrid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（5）</w:t>
            </w:r>
            <w:r>
              <w:rPr>
                <w:rFonts w:hint="eastAsia" w:ascii="宋体" w:hAnsi="宋体" w:eastAsia="宋体" w:cs="宋体"/>
                <w:b w:val="0"/>
                <w:bCs w:val="0"/>
                <w:color w:val="auto"/>
                <w:sz w:val="24"/>
                <w:szCs w:val="24"/>
                <w:lang w:eastAsia="zh-CN"/>
              </w:rPr>
              <w:t>道路：厂区西北侧大门外即为乡村道路，可通往芒市，运输较为方便</w:t>
            </w:r>
            <w:r>
              <w:rPr>
                <w:rFonts w:hint="eastAsia" w:ascii="宋体" w:hAnsi="宋体" w:eastAsia="宋体" w:cs="宋体"/>
                <w:b w:val="0"/>
                <w:bCs w:val="0"/>
                <w:color w:val="auto"/>
                <w:sz w:val="24"/>
                <w:szCs w:val="24"/>
              </w:rPr>
              <w:t xml:space="preserve">。 </w:t>
            </w:r>
          </w:p>
          <w:p w14:paraId="0B36EA19">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（6）供热：</w:t>
            </w:r>
            <w:r>
              <w:rPr>
                <w:rFonts w:hint="eastAsia" w:ascii="宋体" w:hAnsi="宋体" w:eastAsia="宋体" w:cs="宋体"/>
                <w:b w:val="0"/>
                <w:bCs w:val="0"/>
                <w:color w:val="auto"/>
                <w:sz w:val="24"/>
                <w:szCs w:val="24"/>
                <w:lang w:eastAsia="zh-CN"/>
              </w:rPr>
              <w:t>本项目烘干工序的蒸汽由</w:t>
            </w:r>
            <w:r>
              <w:rPr>
                <w:rFonts w:hint="eastAsia" w:ascii="宋体" w:hAnsi="宋体" w:eastAsia="宋体" w:cs="宋体"/>
                <w:b w:val="0"/>
                <w:bCs w:val="0"/>
                <w:color w:val="auto"/>
                <w:sz w:val="24"/>
                <w:szCs w:val="24"/>
                <w:lang w:val="en-US" w:eastAsia="zh-CN"/>
              </w:rPr>
              <w:t>3台热风炉提供。</w:t>
            </w:r>
          </w:p>
          <w:p w14:paraId="3BCC8B9A">
            <w:pPr>
              <w:spacing w:line="360" w:lineRule="auto"/>
              <w:jc w:val="left"/>
              <w:rPr>
                <w:rFonts w:hint="eastAsia" w:ascii="Times New Roman" w:hAnsi="Times New Roman"/>
                <w:b/>
                <w:bCs/>
                <w:color w:val="auto"/>
                <w:sz w:val="24"/>
                <w:szCs w:val="24"/>
              </w:rPr>
            </w:pPr>
            <w:r>
              <w:rPr>
                <w:rFonts w:hint="eastAsia" w:ascii="Times New Roman" w:hAnsi="Times New Roman"/>
                <w:b/>
                <w:bCs/>
                <w:color w:val="auto"/>
                <w:sz w:val="24"/>
                <w:szCs w:val="24"/>
              </w:rPr>
              <w:t>5、主要生产设备一览表</w:t>
            </w:r>
          </w:p>
          <w:p w14:paraId="4F8AA16D">
            <w:pPr>
              <w:spacing w:line="360" w:lineRule="auto"/>
              <w:ind w:firstLine="482" w:firstLineChars="200"/>
              <w:jc w:val="center"/>
              <w:rPr>
                <w:rFonts w:hint="eastAsia" w:ascii="Times New Roman" w:hAnsi="Times New Roman"/>
                <w:b/>
                <w:bCs/>
                <w:color w:val="auto"/>
                <w:sz w:val="24"/>
                <w:szCs w:val="24"/>
              </w:rPr>
            </w:pPr>
            <w:r>
              <w:rPr>
                <w:rFonts w:hint="eastAsia" w:ascii="Times New Roman" w:hAnsi="Times New Roman"/>
                <w:b/>
                <w:bCs/>
                <w:color w:val="auto"/>
                <w:sz w:val="24"/>
                <w:szCs w:val="24"/>
              </w:rPr>
              <w:t>表1-2  拟建工程主要设备</w:t>
            </w:r>
          </w:p>
          <w:tbl>
            <w:tblPr>
              <w:tblStyle w:val="2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539"/>
              <w:gridCol w:w="2050"/>
              <w:gridCol w:w="1784"/>
              <w:gridCol w:w="1292"/>
            </w:tblGrid>
            <w:tr w14:paraId="658B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31" w:type="dxa"/>
                  <w:vAlign w:val="center"/>
                </w:tcPr>
                <w:p w14:paraId="6654D627">
                  <w:pPr>
                    <w:widowControl/>
                    <w:adjustRightInd w:val="0"/>
                    <w:snapToGrid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2539" w:type="dxa"/>
                  <w:vAlign w:val="center"/>
                </w:tcPr>
                <w:p w14:paraId="6EDB523E">
                  <w:pPr>
                    <w:widowControl/>
                    <w:adjustRightInd w:val="0"/>
                    <w:snapToGrid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设备名称</w:t>
                  </w:r>
                </w:p>
              </w:tc>
              <w:tc>
                <w:tcPr>
                  <w:tcW w:w="2050" w:type="dxa"/>
                  <w:vAlign w:val="center"/>
                </w:tcPr>
                <w:p w14:paraId="425DF49C">
                  <w:pPr>
                    <w:widowControl/>
                    <w:adjustRightInd w:val="0"/>
                    <w:snapToGrid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型号/规格</w:t>
                  </w:r>
                </w:p>
              </w:tc>
              <w:tc>
                <w:tcPr>
                  <w:tcW w:w="1784" w:type="dxa"/>
                  <w:vAlign w:val="center"/>
                </w:tcPr>
                <w:p w14:paraId="4B5F1948">
                  <w:pPr>
                    <w:widowControl/>
                    <w:adjustRightInd w:val="0"/>
                    <w:snapToGrid w:val="0"/>
                    <w:jc w:val="center"/>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rPr>
                    <w:t>数</w:t>
                  </w:r>
                  <w:r>
                    <w:rPr>
                      <w:rFonts w:hint="eastAsia" w:ascii="宋体" w:hAnsi="宋体" w:eastAsia="宋体" w:cs="宋体"/>
                      <w:b/>
                      <w:bCs/>
                      <w:color w:val="auto"/>
                      <w:kern w:val="0"/>
                      <w:szCs w:val="21"/>
                      <w:lang w:eastAsia="zh-CN"/>
                    </w:rPr>
                    <w:t>量</w:t>
                  </w:r>
                </w:p>
              </w:tc>
              <w:tc>
                <w:tcPr>
                  <w:tcW w:w="1292" w:type="dxa"/>
                  <w:vAlign w:val="center"/>
                </w:tcPr>
                <w:p w14:paraId="452FF17F">
                  <w:pPr>
                    <w:widowControl/>
                    <w:adjustRightInd w:val="0"/>
                    <w:snapToGrid w:val="0"/>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备注</w:t>
                  </w:r>
                </w:p>
              </w:tc>
            </w:tr>
            <w:tr w14:paraId="5A81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vAlign w:val="center"/>
                </w:tcPr>
                <w:p w14:paraId="6DD4AA26">
                  <w:pPr>
                    <w:widowControl/>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2539" w:type="dxa"/>
                  <w:vAlign w:val="center"/>
                </w:tcPr>
                <w:p w14:paraId="0C9D7254">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圆筛机</w:t>
                  </w:r>
                </w:p>
              </w:tc>
              <w:tc>
                <w:tcPr>
                  <w:tcW w:w="2050" w:type="dxa"/>
                  <w:vAlign w:val="center"/>
                </w:tcPr>
                <w:p w14:paraId="1453F729">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Cspy90</w:t>
                  </w:r>
                </w:p>
              </w:tc>
              <w:tc>
                <w:tcPr>
                  <w:tcW w:w="1784" w:type="dxa"/>
                  <w:vAlign w:val="center"/>
                </w:tcPr>
                <w:p w14:paraId="4D2C2E41">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1台</w:t>
                  </w:r>
                </w:p>
              </w:tc>
              <w:tc>
                <w:tcPr>
                  <w:tcW w:w="1292" w:type="dxa"/>
                  <w:vAlign w:val="center"/>
                </w:tcPr>
                <w:p w14:paraId="13C873FF">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已购</w:t>
                  </w:r>
                </w:p>
              </w:tc>
            </w:tr>
            <w:tr w14:paraId="3B80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1" w:type="dxa"/>
                  <w:vAlign w:val="center"/>
                </w:tcPr>
                <w:p w14:paraId="4D882F59">
                  <w:pPr>
                    <w:widowControl/>
                    <w:adjustRightInd w:val="0"/>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2539" w:type="dxa"/>
                  <w:vAlign w:val="center"/>
                </w:tcPr>
                <w:p w14:paraId="5E2F128D">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阶梯式拣梗机</w:t>
                  </w:r>
                </w:p>
              </w:tc>
              <w:tc>
                <w:tcPr>
                  <w:tcW w:w="2050" w:type="dxa"/>
                  <w:vAlign w:val="center"/>
                </w:tcPr>
                <w:p w14:paraId="6C821392">
                  <w:pPr>
                    <w:adjustRightInd w:val="0"/>
                    <w:snapToGrid w:val="0"/>
                    <w:ind w:firstLine="630" w:firstLineChars="30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阶梯型</w:t>
                  </w:r>
                </w:p>
              </w:tc>
              <w:tc>
                <w:tcPr>
                  <w:tcW w:w="1784" w:type="dxa"/>
                  <w:vAlign w:val="center"/>
                </w:tcPr>
                <w:p w14:paraId="093FCCB0">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4台</w:t>
                  </w:r>
                </w:p>
              </w:tc>
              <w:tc>
                <w:tcPr>
                  <w:tcW w:w="1292" w:type="dxa"/>
                  <w:vAlign w:val="center"/>
                </w:tcPr>
                <w:p w14:paraId="680003A1">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已购</w:t>
                  </w:r>
                </w:p>
              </w:tc>
            </w:tr>
            <w:tr w14:paraId="2A89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31" w:type="dxa"/>
                  <w:vAlign w:val="center"/>
                </w:tcPr>
                <w:p w14:paraId="6F4C117F">
                  <w:pPr>
                    <w:widowControl/>
                    <w:adjustRightInd w:val="0"/>
                    <w:snapToGrid w:val="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p>
              </w:tc>
              <w:tc>
                <w:tcPr>
                  <w:tcW w:w="2539" w:type="dxa"/>
                  <w:vAlign w:val="center"/>
                </w:tcPr>
                <w:p w14:paraId="03812911">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烘干机</w:t>
                  </w:r>
                </w:p>
              </w:tc>
              <w:tc>
                <w:tcPr>
                  <w:tcW w:w="2050" w:type="dxa"/>
                  <w:vAlign w:val="center"/>
                </w:tcPr>
                <w:p w14:paraId="7C090607">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TIGL/EVT285/158</w:t>
                  </w:r>
                </w:p>
              </w:tc>
              <w:tc>
                <w:tcPr>
                  <w:tcW w:w="1784" w:type="dxa"/>
                  <w:vAlign w:val="center"/>
                </w:tcPr>
                <w:p w14:paraId="2601A300">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1台</w:t>
                  </w:r>
                </w:p>
              </w:tc>
              <w:tc>
                <w:tcPr>
                  <w:tcW w:w="1292" w:type="dxa"/>
                  <w:vAlign w:val="center"/>
                </w:tcPr>
                <w:p w14:paraId="0E9034C5">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已购</w:t>
                  </w:r>
                </w:p>
              </w:tc>
            </w:tr>
            <w:tr w14:paraId="433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vAlign w:val="center"/>
                </w:tcPr>
                <w:p w14:paraId="233C17A3">
                  <w:pPr>
                    <w:widowControl/>
                    <w:adjustRightInd w:val="0"/>
                    <w:snapToGrid w:val="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w:t>
                  </w:r>
                </w:p>
              </w:tc>
              <w:tc>
                <w:tcPr>
                  <w:tcW w:w="2539" w:type="dxa"/>
                  <w:vAlign w:val="center"/>
                </w:tcPr>
                <w:p w14:paraId="079429DC">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热风炉</w:t>
                  </w:r>
                </w:p>
              </w:tc>
              <w:tc>
                <w:tcPr>
                  <w:tcW w:w="2050" w:type="dxa"/>
                  <w:vAlign w:val="center"/>
                </w:tcPr>
                <w:p w14:paraId="7369BE77">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FP-120型</w:t>
                  </w:r>
                </w:p>
              </w:tc>
              <w:tc>
                <w:tcPr>
                  <w:tcW w:w="1784" w:type="dxa"/>
                  <w:vAlign w:val="center"/>
                </w:tcPr>
                <w:p w14:paraId="5646923B">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3个</w:t>
                  </w:r>
                </w:p>
              </w:tc>
              <w:tc>
                <w:tcPr>
                  <w:tcW w:w="1292" w:type="dxa"/>
                  <w:vAlign w:val="center"/>
                </w:tcPr>
                <w:p w14:paraId="7DBD2FE8">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已购</w:t>
                  </w:r>
                </w:p>
              </w:tc>
            </w:tr>
            <w:tr w14:paraId="51FE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631" w:type="dxa"/>
                  <w:vAlign w:val="center"/>
                </w:tcPr>
                <w:p w14:paraId="4047190D">
                  <w:pPr>
                    <w:widowControl/>
                    <w:adjustRightInd w:val="0"/>
                    <w:snapToGrid w:val="0"/>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6</w:t>
                  </w:r>
                </w:p>
              </w:tc>
              <w:tc>
                <w:tcPr>
                  <w:tcW w:w="2539" w:type="dxa"/>
                  <w:vAlign w:val="center"/>
                </w:tcPr>
                <w:p w14:paraId="5C08AC28">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鼓风机</w:t>
                  </w:r>
                </w:p>
              </w:tc>
              <w:tc>
                <w:tcPr>
                  <w:tcW w:w="2050" w:type="dxa"/>
                  <w:vAlign w:val="center"/>
                </w:tcPr>
                <w:p w14:paraId="5DDB8521">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784" w:type="dxa"/>
                  <w:vAlign w:val="center"/>
                </w:tcPr>
                <w:p w14:paraId="2974EEAF">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1个</w:t>
                  </w:r>
                </w:p>
              </w:tc>
              <w:tc>
                <w:tcPr>
                  <w:tcW w:w="1292" w:type="dxa"/>
                  <w:vAlign w:val="center"/>
                </w:tcPr>
                <w:p w14:paraId="01CF585F">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已购</w:t>
                  </w:r>
                </w:p>
              </w:tc>
            </w:tr>
          </w:tbl>
          <w:p w14:paraId="376480BD">
            <w:pPr>
              <w:spacing w:before="156" w:beforeLines="50" w:line="360" w:lineRule="auto"/>
              <w:rPr>
                <w:rFonts w:hint="eastAsia" w:ascii="宋体" w:hAnsi="宋体" w:eastAsia="宋体" w:cs="宋体"/>
                <w:b/>
                <w:color w:val="auto"/>
                <w:kern w:val="0"/>
                <w:sz w:val="24"/>
                <w:szCs w:val="24"/>
                <w:lang w:eastAsia="zh-CN"/>
              </w:rPr>
            </w:pPr>
            <w:r>
              <w:rPr>
                <w:rFonts w:hint="eastAsia" w:ascii="宋体" w:hAnsi="宋体" w:eastAsia="宋体" w:cs="宋体"/>
                <w:b/>
                <w:color w:val="auto"/>
                <w:w w:val="90"/>
                <w:kern w:val="0"/>
                <w:sz w:val="24"/>
                <w:szCs w:val="24"/>
              </w:rPr>
              <w:t>6、主</w:t>
            </w:r>
            <w:r>
              <w:rPr>
                <w:rFonts w:hint="eastAsia" w:ascii="宋体" w:hAnsi="宋体" w:eastAsia="宋体" w:cs="宋体"/>
                <w:b/>
                <w:color w:val="auto"/>
                <w:kern w:val="0"/>
                <w:sz w:val="24"/>
                <w:szCs w:val="24"/>
              </w:rPr>
              <w:t>要原辅材料消耗</w:t>
            </w:r>
          </w:p>
          <w:p w14:paraId="6C9AE73D">
            <w:pPr>
              <w:spacing w:before="156" w:beforeLines="50" w:line="360" w:lineRule="auto"/>
              <w:ind w:firstLine="470" w:firstLineChars="196"/>
              <w:rPr>
                <w:rFonts w:hint="eastAsia" w:ascii="宋体" w:hAnsi="宋体" w:eastAsia="宋体" w:cs="宋体"/>
                <w:color w:val="auto"/>
                <w:sz w:val="24"/>
                <w:szCs w:val="24"/>
              </w:rPr>
            </w:pPr>
            <w:r>
              <w:rPr>
                <w:rFonts w:hint="eastAsia" w:ascii="宋体" w:hAnsi="宋体" w:eastAsia="宋体" w:cs="宋体"/>
                <w:bCs/>
                <w:color w:val="auto"/>
                <w:kern w:val="0"/>
                <w:sz w:val="24"/>
                <w:szCs w:val="24"/>
              </w:rPr>
              <w:t>本项目生产所需的主要原料为</w:t>
            </w:r>
            <w:r>
              <w:rPr>
                <w:rFonts w:hint="eastAsia" w:ascii="宋体" w:hAnsi="宋体" w:eastAsia="宋体" w:cs="宋体"/>
                <w:bCs/>
                <w:color w:val="auto"/>
                <w:kern w:val="0"/>
                <w:sz w:val="24"/>
                <w:szCs w:val="24"/>
                <w:lang w:eastAsia="zh-CN"/>
              </w:rPr>
              <w:t>茶叶鲜叶</w:t>
            </w:r>
            <w:r>
              <w:rPr>
                <w:rFonts w:hint="eastAsia" w:ascii="宋体" w:hAnsi="宋体" w:eastAsia="宋体" w:cs="宋体"/>
                <w:bCs/>
                <w:color w:val="auto"/>
                <w:kern w:val="0"/>
                <w:sz w:val="24"/>
                <w:szCs w:val="24"/>
              </w:rPr>
              <w:t>，制作红茶原料需要选择嫩一点的鲜叶，一般在春季采摘原料</w:t>
            </w:r>
            <w:r>
              <w:rPr>
                <w:rFonts w:hint="eastAsia" w:ascii="宋体" w:hAnsi="宋体" w:eastAsia="宋体" w:cs="宋体"/>
                <w:bCs/>
                <w:color w:val="auto"/>
                <w:kern w:val="0"/>
                <w:sz w:val="24"/>
                <w:szCs w:val="24"/>
                <w:lang w:eastAsia="zh-CN"/>
              </w:rPr>
              <w:t>；主要来</w:t>
            </w:r>
            <w:r>
              <w:rPr>
                <w:rFonts w:hint="eastAsia" w:ascii="宋体" w:hAnsi="宋体" w:cs="宋体"/>
                <w:bCs/>
                <w:color w:val="auto"/>
                <w:kern w:val="0"/>
                <w:sz w:val="24"/>
                <w:szCs w:val="24"/>
                <w:lang w:eastAsia="zh-CN"/>
              </w:rPr>
              <w:t>自</w:t>
            </w:r>
            <w:r>
              <w:rPr>
                <w:rFonts w:hint="eastAsia" w:ascii="宋体" w:hAnsi="宋体" w:eastAsia="宋体" w:cs="宋体"/>
                <w:bCs/>
                <w:color w:val="auto"/>
                <w:kern w:val="0"/>
                <w:sz w:val="24"/>
                <w:szCs w:val="24"/>
                <w:lang w:eastAsia="zh-CN"/>
              </w:rPr>
              <w:t>芒市轩岗乡</w:t>
            </w:r>
            <w:r>
              <w:rPr>
                <w:rFonts w:hint="eastAsia" w:ascii="宋体" w:hAnsi="宋体" w:eastAsia="宋体" w:cs="宋体"/>
                <w:color w:val="auto"/>
                <w:sz w:val="24"/>
                <w:szCs w:val="24"/>
                <w:lang w:val="en-US" w:eastAsia="zh-CN"/>
              </w:rPr>
              <w:t>周边茶园</w:t>
            </w:r>
            <w:r>
              <w:rPr>
                <w:rFonts w:hint="eastAsia" w:ascii="宋体" w:hAnsi="宋体" w:eastAsia="宋体" w:cs="宋体"/>
                <w:bCs/>
                <w:color w:val="auto"/>
                <w:kern w:val="0"/>
                <w:sz w:val="24"/>
                <w:szCs w:val="24"/>
              </w:rPr>
              <w:t>，项目所需用水由</w:t>
            </w:r>
            <w:r>
              <w:rPr>
                <w:rFonts w:hint="eastAsia" w:ascii="宋体" w:hAnsi="宋体" w:eastAsia="宋体" w:cs="宋体"/>
                <w:color w:val="auto"/>
                <w:sz w:val="24"/>
                <w:szCs w:val="24"/>
                <w:lang w:eastAsia="zh-CN"/>
              </w:rPr>
              <w:t>当地自来水管网</w:t>
            </w:r>
            <w:r>
              <w:rPr>
                <w:rFonts w:hint="eastAsia" w:ascii="宋体" w:hAnsi="宋体" w:eastAsia="宋体" w:cs="宋体"/>
                <w:bCs/>
                <w:color w:val="auto"/>
                <w:kern w:val="0"/>
                <w:sz w:val="24"/>
                <w:szCs w:val="24"/>
              </w:rPr>
              <w:t>提供，用电由当地供电局供应，项目生产所需原辅材料市场供应充足，完全能够满足项目生产需求。</w:t>
            </w:r>
            <w:r>
              <w:rPr>
                <w:rFonts w:hint="eastAsia" w:ascii="宋体" w:hAnsi="宋体" w:eastAsia="宋体" w:cs="宋体"/>
                <w:color w:val="auto"/>
                <w:sz w:val="24"/>
                <w:szCs w:val="24"/>
              </w:rPr>
              <w:t>企业主要的原材料、动力消耗定额、消耗量见表1-3。</w:t>
            </w:r>
          </w:p>
          <w:p w14:paraId="2B9BE5C9">
            <w:pPr>
              <w:spacing w:line="360" w:lineRule="auto"/>
              <w:ind w:firstLine="482" w:firstLineChars="200"/>
              <w:jc w:val="center"/>
              <w:rPr>
                <w:rFonts w:hint="eastAsia" w:ascii="Times New Roman" w:hAnsi="Times New Roman"/>
                <w:b/>
                <w:bCs/>
                <w:color w:val="auto"/>
                <w:sz w:val="24"/>
                <w:szCs w:val="24"/>
              </w:rPr>
            </w:pPr>
            <w:r>
              <w:rPr>
                <w:rFonts w:hint="eastAsia" w:ascii="Times New Roman" w:hAnsi="Times New Roman"/>
                <w:b/>
                <w:bCs/>
                <w:color w:val="auto"/>
                <w:sz w:val="24"/>
                <w:szCs w:val="24"/>
              </w:rPr>
              <w:t xml:space="preserve">表1-3  </w:t>
            </w:r>
            <w:r>
              <w:rPr>
                <w:rFonts w:hint="eastAsia" w:ascii="Times New Roman" w:hAnsi="Times New Roman"/>
                <w:b/>
                <w:bCs/>
                <w:color w:val="auto"/>
                <w:sz w:val="24"/>
                <w:szCs w:val="24"/>
                <w:lang w:eastAsia="zh-CN"/>
              </w:rPr>
              <w:t>项目</w:t>
            </w:r>
            <w:r>
              <w:rPr>
                <w:rFonts w:hint="eastAsia" w:ascii="Times New Roman" w:hAnsi="Times New Roman"/>
                <w:b/>
                <w:bCs/>
                <w:color w:val="auto"/>
                <w:sz w:val="24"/>
                <w:szCs w:val="24"/>
              </w:rPr>
              <w:t>主要原</w:t>
            </w:r>
            <w:r>
              <w:rPr>
                <w:rFonts w:hint="eastAsia" w:ascii="Times New Roman" w:hAnsi="Times New Roman"/>
                <w:b/>
                <w:bCs/>
                <w:color w:val="auto"/>
                <w:sz w:val="24"/>
                <w:szCs w:val="24"/>
                <w:lang w:eastAsia="zh-CN"/>
              </w:rPr>
              <w:t>辅</w:t>
            </w:r>
            <w:r>
              <w:rPr>
                <w:rFonts w:hint="eastAsia" w:ascii="Times New Roman" w:hAnsi="Times New Roman"/>
                <w:b/>
                <w:bCs/>
                <w:color w:val="auto"/>
                <w:sz w:val="24"/>
                <w:szCs w:val="24"/>
              </w:rPr>
              <w:t>料及用量情况</w:t>
            </w:r>
          </w:p>
          <w:tbl>
            <w:tblPr>
              <w:tblStyle w:val="2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098"/>
              <w:gridCol w:w="1770"/>
              <w:gridCol w:w="1607"/>
              <w:gridCol w:w="1793"/>
            </w:tblGrid>
            <w:tr w14:paraId="53BD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028" w:type="dxa"/>
                  <w:vAlign w:val="center"/>
                </w:tcPr>
                <w:p w14:paraId="1991A0D7">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098" w:type="dxa"/>
                  <w:vAlign w:val="center"/>
                </w:tcPr>
                <w:p w14:paraId="6EADCDE0">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物料名称</w:t>
                  </w:r>
                </w:p>
              </w:tc>
              <w:tc>
                <w:tcPr>
                  <w:tcW w:w="1770" w:type="dxa"/>
                  <w:vAlign w:val="center"/>
                </w:tcPr>
                <w:p w14:paraId="335CC01A">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1607" w:type="dxa"/>
                  <w:vAlign w:val="center"/>
                </w:tcPr>
                <w:p w14:paraId="261AC704">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年消耗量</w:t>
                  </w:r>
                </w:p>
              </w:tc>
              <w:tc>
                <w:tcPr>
                  <w:tcW w:w="1793" w:type="dxa"/>
                  <w:vAlign w:val="center"/>
                </w:tcPr>
                <w:p w14:paraId="0BD16C1A">
                  <w:pPr>
                    <w:adjustRightInd w:val="0"/>
                    <w:snapToGrid w:val="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备注</w:t>
                  </w:r>
                </w:p>
              </w:tc>
            </w:tr>
            <w:tr w14:paraId="5473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8" w:type="dxa"/>
                  <w:vAlign w:val="center"/>
                </w:tcPr>
                <w:p w14:paraId="02BA37E4">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98" w:type="dxa"/>
                  <w:vAlign w:val="center"/>
                </w:tcPr>
                <w:p w14:paraId="6DDD13D6">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茶叶鲜叶</w:t>
                  </w:r>
                </w:p>
              </w:tc>
              <w:tc>
                <w:tcPr>
                  <w:tcW w:w="1770" w:type="dxa"/>
                  <w:vAlign w:val="center"/>
                </w:tcPr>
                <w:p w14:paraId="537A2A46">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t</w:t>
                  </w:r>
                </w:p>
              </w:tc>
              <w:tc>
                <w:tcPr>
                  <w:tcW w:w="1607" w:type="dxa"/>
                  <w:vAlign w:val="center"/>
                </w:tcPr>
                <w:p w14:paraId="38880605">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1750</w:t>
                  </w:r>
                </w:p>
              </w:tc>
              <w:tc>
                <w:tcPr>
                  <w:tcW w:w="1793" w:type="dxa"/>
                  <w:vAlign w:val="center"/>
                </w:tcPr>
                <w:p w14:paraId="3531D3FF">
                  <w:pPr>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鲜叶：成品=5:1</w:t>
                  </w:r>
                </w:p>
              </w:tc>
            </w:tr>
            <w:tr w14:paraId="320A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8" w:type="dxa"/>
                  <w:vAlign w:val="center"/>
                </w:tcPr>
                <w:p w14:paraId="0F0B5BC3">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098" w:type="dxa"/>
                  <w:vAlign w:val="center"/>
                </w:tcPr>
                <w:p w14:paraId="2C5657A5">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成品包装袋</w:t>
                  </w:r>
                </w:p>
              </w:tc>
              <w:tc>
                <w:tcPr>
                  <w:tcW w:w="1770" w:type="dxa"/>
                  <w:vAlign w:val="center"/>
                </w:tcPr>
                <w:p w14:paraId="7ECE024F">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个</w:t>
                  </w:r>
                </w:p>
              </w:tc>
              <w:tc>
                <w:tcPr>
                  <w:tcW w:w="1607" w:type="dxa"/>
                  <w:vAlign w:val="center"/>
                </w:tcPr>
                <w:p w14:paraId="47E5D3C4">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10500</w:t>
                  </w:r>
                </w:p>
              </w:tc>
              <w:tc>
                <w:tcPr>
                  <w:tcW w:w="1793" w:type="dxa"/>
                  <w:vAlign w:val="center"/>
                </w:tcPr>
                <w:p w14:paraId="12E2DFE2">
                  <w:pPr>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当地市场购买</w:t>
                  </w:r>
                </w:p>
              </w:tc>
            </w:tr>
            <w:tr w14:paraId="0CD1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8" w:type="dxa"/>
                  <w:vAlign w:val="center"/>
                </w:tcPr>
                <w:p w14:paraId="1FAB2033">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098" w:type="dxa"/>
                  <w:vAlign w:val="center"/>
                </w:tcPr>
                <w:p w14:paraId="0A8C7D1B">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生物质燃料</w:t>
                  </w:r>
                </w:p>
              </w:tc>
              <w:tc>
                <w:tcPr>
                  <w:tcW w:w="1770" w:type="dxa"/>
                  <w:vAlign w:val="center"/>
                </w:tcPr>
                <w:p w14:paraId="1803B6FE">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w:t>
                  </w:r>
                </w:p>
              </w:tc>
              <w:tc>
                <w:tcPr>
                  <w:tcW w:w="1607" w:type="dxa"/>
                  <w:vAlign w:val="center"/>
                </w:tcPr>
                <w:p w14:paraId="1AAB5F0A">
                  <w:pPr>
                    <w:adjustRightInd w:val="0"/>
                    <w:snapToGri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lang w:val="en-US" w:eastAsia="zh-CN"/>
                    </w:rPr>
                    <w:t>0</w:t>
                  </w:r>
                </w:p>
              </w:tc>
              <w:tc>
                <w:tcPr>
                  <w:tcW w:w="1793" w:type="dxa"/>
                  <w:vAlign w:val="center"/>
                </w:tcPr>
                <w:p w14:paraId="2BC6EE59">
                  <w:pPr>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当地市场购买</w:t>
                  </w:r>
                </w:p>
              </w:tc>
            </w:tr>
            <w:tr w14:paraId="2F2A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28" w:type="dxa"/>
                  <w:vAlign w:val="center"/>
                </w:tcPr>
                <w:p w14:paraId="01843E92">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2098" w:type="dxa"/>
                  <w:vAlign w:val="center"/>
                </w:tcPr>
                <w:p w14:paraId="7ABD36B0">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w:t>
                  </w:r>
                </w:p>
              </w:tc>
              <w:tc>
                <w:tcPr>
                  <w:tcW w:w="1770" w:type="dxa"/>
                  <w:vAlign w:val="center"/>
                </w:tcPr>
                <w:p w14:paraId="029DFA4D">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Kw</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h</w:t>
                  </w:r>
                </w:p>
              </w:tc>
              <w:tc>
                <w:tcPr>
                  <w:tcW w:w="1607" w:type="dxa"/>
                  <w:vAlign w:val="center"/>
                </w:tcPr>
                <w:p w14:paraId="384DFDD6">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75000</w:t>
                  </w:r>
                </w:p>
              </w:tc>
              <w:tc>
                <w:tcPr>
                  <w:tcW w:w="1793" w:type="dxa"/>
                  <w:vAlign w:val="center"/>
                </w:tcPr>
                <w:p w14:paraId="00103A13">
                  <w:pPr>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当地供电局供应</w:t>
                  </w:r>
                </w:p>
              </w:tc>
            </w:tr>
            <w:tr w14:paraId="7AD1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28" w:type="dxa"/>
                  <w:vAlign w:val="center"/>
                </w:tcPr>
                <w:p w14:paraId="27AF3A7B">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2098" w:type="dxa"/>
                  <w:vAlign w:val="center"/>
                </w:tcPr>
                <w:p w14:paraId="2C0DE4AB">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水</w:t>
                  </w:r>
                </w:p>
              </w:tc>
              <w:tc>
                <w:tcPr>
                  <w:tcW w:w="1770" w:type="dxa"/>
                  <w:vAlign w:val="center"/>
                </w:tcPr>
                <w:p w14:paraId="456765F0">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t</w:t>
                  </w:r>
                </w:p>
              </w:tc>
              <w:tc>
                <w:tcPr>
                  <w:tcW w:w="1607" w:type="dxa"/>
                  <w:vAlign w:val="center"/>
                </w:tcPr>
                <w:p w14:paraId="4DCE8BEC">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376</w:t>
                  </w:r>
                </w:p>
              </w:tc>
              <w:tc>
                <w:tcPr>
                  <w:tcW w:w="1793" w:type="dxa"/>
                  <w:vAlign w:val="center"/>
                </w:tcPr>
                <w:p w14:paraId="0BCC84E7">
                  <w:pPr>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当地自来水管网</w:t>
                  </w:r>
                </w:p>
              </w:tc>
            </w:tr>
          </w:tbl>
          <w:p w14:paraId="4527A2F8">
            <w:pPr>
              <w:numPr>
                <w:ilvl w:val="0"/>
                <w:numId w:val="0"/>
              </w:numPr>
              <w:spacing w:line="240" w:lineRule="auto"/>
              <w:rPr>
                <w:rFonts w:hint="eastAsia" w:ascii="宋体" w:hAnsi="宋体" w:cs="宋体"/>
                <w:b/>
                <w:color w:val="auto"/>
                <w:sz w:val="24"/>
                <w:szCs w:val="24"/>
                <w:lang w:val="en-US" w:eastAsia="zh-CN"/>
              </w:rPr>
            </w:pPr>
          </w:p>
          <w:p w14:paraId="5D5F9AE0">
            <w:pPr>
              <w:spacing w:line="360" w:lineRule="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7</w:t>
            </w:r>
            <w:r>
              <w:rPr>
                <w:rFonts w:hint="eastAsia" w:ascii="宋体" w:hAnsi="宋体" w:eastAsia="宋体" w:cs="宋体"/>
                <w:b/>
                <w:color w:val="auto"/>
                <w:sz w:val="24"/>
                <w:szCs w:val="24"/>
              </w:rPr>
              <w:t>、劳动定员与生产制度</w:t>
            </w:r>
          </w:p>
          <w:p w14:paraId="3D0DC52F">
            <w:pPr>
              <w:shd w:val="clear" w:color="auto" w:fill="FFFFFF"/>
              <w:spacing w:line="360" w:lineRule="auto"/>
              <w:ind w:firstLine="558" w:firstLineChars="225"/>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lang w:eastAsia="zh-CN"/>
              </w:rPr>
              <w:t>劳动定员：</w:t>
            </w:r>
            <w:r>
              <w:rPr>
                <w:rFonts w:hint="eastAsia" w:ascii="宋体" w:hAnsi="宋体" w:eastAsia="宋体" w:cs="宋体"/>
                <w:color w:val="auto"/>
                <w:spacing w:val="4"/>
                <w:sz w:val="24"/>
                <w:szCs w:val="24"/>
              </w:rPr>
              <w:t>项目</w:t>
            </w:r>
            <w:r>
              <w:rPr>
                <w:rFonts w:hint="eastAsia" w:ascii="宋体" w:hAnsi="宋体" w:eastAsia="宋体" w:cs="宋体"/>
                <w:color w:val="auto"/>
                <w:spacing w:val="4"/>
                <w:sz w:val="24"/>
                <w:szCs w:val="24"/>
                <w:lang w:eastAsia="zh-CN"/>
              </w:rPr>
              <w:t>劳动</w:t>
            </w:r>
            <w:r>
              <w:rPr>
                <w:rFonts w:hint="eastAsia" w:ascii="宋体" w:hAnsi="宋体" w:eastAsia="宋体" w:cs="宋体"/>
                <w:color w:val="auto"/>
                <w:spacing w:val="4"/>
                <w:sz w:val="24"/>
                <w:szCs w:val="24"/>
              </w:rPr>
              <w:t>定员</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人</w:t>
            </w:r>
            <w:r>
              <w:rPr>
                <w:rFonts w:hint="eastAsia" w:ascii="宋体" w:hAnsi="宋体" w:eastAsia="宋体" w:cs="宋体"/>
                <w:bCs/>
                <w:color w:val="auto"/>
                <w:sz w:val="24"/>
                <w:szCs w:val="24"/>
                <w:lang w:eastAsia="zh-CN"/>
              </w:rPr>
              <w:t>，</w:t>
            </w:r>
            <w:r>
              <w:rPr>
                <w:rFonts w:hint="eastAsia" w:ascii="宋体" w:hAnsi="宋体" w:eastAsia="宋体" w:cs="宋体"/>
                <w:color w:val="auto"/>
                <w:kern w:val="0"/>
                <w:sz w:val="24"/>
                <w:szCs w:val="24"/>
              </w:rPr>
              <w:t>项目员工均在厂区食宿</w:t>
            </w:r>
            <w:r>
              <w:rPr>
                <w:rFonts w:hint="eastAsia" w:ascii="宋体" w:hAnsi="宋体" w:eastAsia="宋体" w:cs="宋体"/>
                <w:bCs/>
                <w:color w:val="auto"/>
                <w:sz w:val="24"/>
                <w:szCs w:val="24"/>
              </w:rPr>
              <w:t>。</w:t>
            </w:r>
          </w:p>
          <w:p w14:paraId="1E067E0D">
            <w:pPr>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工作制度：项目</w:t>
            </w:r>
            <w:r>
              <w:rPr>
                <w:rFonts w:hint="eastAsia" w:ascii="宋体" w:hAnsi="宋体" w:eastAsia="宋体" w:cs="宋体"/>
                <w:color w:val="auto"/>
                <w:sz w:val="24"/>
                <w:szCs w:val="24"/>
              </w:rPr>
              <w:t>年运营</w:t>
            </w:r>
            <w:r>
              <w:rPr>
                <w:rFonts w:hint="eastAsia" w:ascii="宋体" w:hAnsi="宋体" w:eastAsia="宋体" w:cs="宋体"/>
                <w:color w:val="auto"/>
                <w:sz w:val="24"/>
                <w:szCs w:val="24"/>
                <w:lang w:val="en-US" w:eastAsia="zh-CN"/>
              </w:rPr>
              <w:t>240</w:t>
            </w:r>
            <w:r>
              <w:rPr>
                <w:rFonts w:hint="eastAsia" w:ascii="宋体" w:hAnsi="宋体" w:eastAsia="宋体" w:cs="宋体"/>
                <w:color w:val="auto"/>
                <w:sz w:val="24"/>
                <w:szCs w:val="24"/>
              </w:rPr>
              <w:t>天，每年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月，每日一班，每班</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小时工作制。</w:t>
            </w:r>
          </w:p>
          <w:p w14:paraId="5AF0542E">
            <w:pPr>
              <w:spacing w:line="360" w:lineRule="auto"/>
              <w:jc w:val="left"/>
              <w:rPr>
                <w:rFonts w:hint="eastAsia" w:ascii="宋体" w:hAnsi="宋体" w:eastAsia="宋体" w:cs="宋体"/>
                <w:color w:val="auto"/>
                <w:sz w:val="24"/>
                <w:szCs w:val="24"/>
              </w:rPr>
            </w:pPr>
            <w:r>
              <w:rPr>
                <w:rFonts w:hint="eastAsia" w:ascii="宋体" w:hAnsi="宋体" w:cs="宋体"/>
                <w:b/>
                <w:color w:val="auto"/>
                <w:sz w:val="24"/>
                <w:szCs w:val="24"/>
                <w:lang w:val="en-US" w:eastAsia="zh-CN"/>
              </w:rPr>
              <w:t>8</w:t>
            </w:r>
            <w:r>
              <w:rPr>
                <w:rFonts w:hint="eastAsia" w:ascii="宋体" w:hAnsi="宋体" w:eastAsia="宋体" w:cs="宋体"/>
                <w:b/>
                <w:color w:val="auto"/>
                <w:sz w:val="24"/>
                <w:szCs w:val="24"/>
              </w:rPr>
              <w:t>、产品方案</w:t>
            </w:r>
          </w:p>
          <w:p w14:paraId="6F05268E">
            <w:pPr>
              <w:spacing w:line="360" w:lineRule="auto"/>
              <w:ind w:firstLine="480" w:firstLineChars="200"/>
              <w:jc w:val="left"/>
              <w:rPr>
                <w:rFonts w:hint="eastAsia" w:ascii="Times New Roman" w:hAnsi="Times New Roman" w:eastAsia="宋体" w:cs="宋体"/>
                <w:b w:val="0"/>
                <w:bCs w:val="0"/>
                <w:color w:val="auto"/>
                <w:sz w:val="24"/>
                <w:szCs w:val="24"/>
                <w:lang w:val="en-US" w:eastAsia="zh-CN"/>
              </w:rPr>
            </w:pPr>
            <w:r>
              <w:rPr>
                <w:rFonts w:hint="eastAsia" w:ascii="Times New Roman" w:hAnsi="Times New Roman" w:cs="宋体"/>
                <w:b w:val="0"/>
                <w:bCs w:val="0"/>
                <w:color w:val="auto"/>
                <w:sz w:val="24"/>
                <w:szCs w:val="24"/>
                <w:lang w:eastAsia="zh-CN"/>
              </w:rPr>
              <w:t>本</w:t>
            </w:r>
            <w:r>
              <w:rPr>
                <w:rFonts w:hint="eastAsia" w:ascii="宋体" w:hAnsi="宋体" w:eastAsia="宋体" w:cs="宋体"/>
                <w:b w:val="0"/>
                <w:bCs w:val="0"/>
                <w:color w:val="auto"/>
                <w:sz w:val="24"/>
                <w:szCs w:val="24"/>
                <w:lang w:eastAsia="zh-CN"/>
              </w:rPr>
              <w:t>项目生产产品主要为红茶，年生产规模为</w:t>
            </w:r>
            <w:r>
              <w:rPr>
                <w:rFonts w:hint="eastAsia" w:ascii="宋体" w:hAnsi="宋体" w:eastAsia="宋体" w:cs="宋体"/>
                <w:b w:val="0"/>
                <w:bCs w:val="0"/>
                <w:color w:val="auto"/>
                <w:sz w:val="24"/>
                <w:szCs w:val="24"/>
                <w:lang w:val="en-US" w:eastAsia="zh-CN"/>
              </w:rPr>
              <w:t>350t/a,</w:t>
            </w:r>
            <w:r>
              <w:rPr>
                <w:rFonts w:hint="eastAsia" w:ascii="宋体" w:hAnsi="宋体" w:eastAsia="宋体" w:cs="宋体"/>
                <w:b w:val="0"/>
                <w:bCs w:val="0"/>
                <w:color w:val="auto"/>
                <w:sz w:val="24"/>
                <w:szCs w:val="24"/>
                <w:lang w:eastAsia="zh-CN"/>
              </w:rPr>
              <w:t>另向外年收购量约为</w:t>
            </w:r>
            <w:r>
              <w:rPr>
                <w:rFonts w:hint="eastAsia" w:ascii="宋体" w:hAnsi="宋体" w:eastAsia="宋体" w:cs="宋体"/>
                <w:b w:val="0"/>
                <w:bCs w:val="0"/>
                <w:color w:val="auto"/>
                <w:sz w:val="24"/>
                <w:szCs w:val="24"/>
                <w:lang w:val="en-US" w:eastAsia="zh-CN"/>
              </w:rPr>
              <w:t>45t/a,</w:t>
            </w:r>
            <w:r>
              <w:rPr>
                <w:rFonts w:hint="eastAsia" w:ascii="宋体" w:hAnsi="宋体" w:cs="宋体"/>
                <w:b w:val="0"/>
                <w:bCs w:val="0"/>
                <w:color w:val="auto"/>
                <w:sz w:val="24"/>
                <w:szCs w:val="24"/>
                <w:lang w:val="en-US" w:eastAsia="zh-CN"/>
              </w:rPr>
              <w:t>（经简单筛分、捡梗后于厂区内包装后外售）,</w:t>
            </w:r>
            <w:r>
              <w:rPr>
                <w:rFonts w:hint="eastAsia" w:ascii="宋体" w:hAnsi="宋体" w:eastAsia="宋体" w:cs="宋体"/>
                <w:b w:val="0"/>
                <w:bCs w:val="0"/>
                <w:color w:val="auto"/>
                <w:sz w:val="24"/>
                <w:szCs w:val="24"/>
                <w:lang w:eastAsia="zh-CN"/>
              </w:rPr>
              <w:t>具体加工量和收购量视市场需求而变动。</w:t>
            </w:r>
            <w:r>
              <w:rPr>
                <w:rFonts w:hint="eastAsia" w:ascii="宋体" w:hAnsi="宋体" w:eastAsia="宋体" w:cs="宋体"/>
                <w:b w:val="0"/>
                <w:bCs w:val="0"/>
                <w:color w:val="auto"/>
                <w:sz w:val="24"/>
                <w:szCs w:val="24"/>
              </w:rPr>
              <w:t>项目产品方案</w:t>
            </w:r>
            <w:r>
              <w:rPr>
                <w:rFonts w:hint="eastAsia" w:ascii="宋体" w:hAnsi="宋体" w:eastAsia="宋体" w:cs="宋体"/>
                <w:b w:val="0"/>
                <w:bCs w:val="0"/>
                <w:color w:val="auto"/>
                <w:sz w:val="24"/>
                <w:szCs w:val="24"/>
                <w:lang w:eastAsia="zh-CN"/>
              </w:rPr>
              <w:t>见下表。</w:t>
            </w:r>
          </w:p>
          <w:p w14:paraId="34A6C986">
            <w:pPr>
              <w:spacing w:line="360" w:lineRule="auto"/>
              <w:ind w:firstLine="2891" w:firstLineChars="1200"/>
              <w:jc w:val="both"/>
              <w:rPr>
                <w:rFonts w:hint="eastAsia" w:ascii="Times New Roman" w:hAnsi="Times New Roman" w:cs="宋体"/>
                <w:b/>
                <w:bCs/>
                <w:color w:val="auto"/>
                <w:sz w:val="24"/>
                <w:szCs w:val="24"/>
              </w:rPr>
            </w:pPr>
            <w:r>
              <w:rPr>
                <w:rFonts w:hint="eastAsia" w:ascii="Times New Roman" w:hAnsi="Times New Roman" w:cs="宋体"/>
                <w:b/>
                <w:bCs/>
                <w:color w:val="auto"/>
                <w:sz w:val="24"/>
                <w:szCs w:val="24"/>
              </w:rPr>
              <w:t>表1-4  项目产品方案</w:t>
            </w:r>
          </w:p>
          <w:tbl>
            <w:tblPr>
              <w:tblStyle w:val="2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20"/>
              <w:gridCol w:w="1964"/>
              <w:gridCol w:w="3739"/>
            </w:tblGrid>
            <w:tr w14:paraId="242A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873" w:type="dxa"/>
                  <w:tcBorders>
                    <w:bottom w:val="single" w:color="auto" w:sz="4" w:space="0"/>
                  </w:tcBorders>
                  <w:vAlign w:val="center"/>
                </w:tcPr>
                <w:p w14:paraId="63045B34">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720" w:type="dxa"/>
                  <w:tcBorders>
                    <w:bottom w:val="single" w:color="auto" w:sz="4" w:space="0"/>
                  </w:tcBorders>
                  <w:vAlign w:val="center"/>
                </w:tcPr>
                <w:p w14:paraId="204A5663">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工程名称</w:t>
                  </w:r>
                </w:p>
              </w:tc>
              <w:tc>
                <w:tcPr>
                  <w:tcW w:w="1964" w:type="dxa"/>
                  <w:tcBorders>
                    <w:bottom w:val="single" w:color="auto" w:sz="4" w:space="0"/>
                  </w:tcBorders>
                  <w:vAlign w:val="center"/>
                </w:tcPr>
                <w:p w14:paraId="227D7FC6">
                  <w:pPr>
                    <w:pStyle w:val="49"/>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产品名称及规格</w:t>
                  </w:r>
                </w:p>
              </w:tc>
              <w:tc>
                <w:tcPr>
                  <w:tcW w:w="3739" w:type="dxa"/>
                  <w:tcBorders>
                    <w:bottom w:val="single" w:color="auto" w:sz="4" w:space="0"/>
                  </w:tcBorders>
                  <w:vAlign w:val="center"/>
                </w:tcPr>
                <w:p w14:paraId="688B42CD">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设计能力</w:t>
                  </w:r>
                </w:p>
              </w:tc>
            </w:tr>
            <w:tr w14:paraId="71EF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873" w:type="dxa"/>
                  <w:vAlign w:val="center"/>
                </w:tcPr>
                <w:p w14:paraId="07553C1A">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720" w:type="dxa"/>
                  <w:vAlign w:val="center"/>
                </w:tcPr>
                <w:p w14:paraId="0B42E8EC">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lang w:eastAsia="zh-CN"/>
                    </w:rPr>
                    <w:t>加工</w:t>
                  </w:r>
                  <w:r>
                    <w:rPr>
                      <w:rFonts w:hint="eastAsia" w:ascii="宋体" w:hAnsi="宋体" w:eastAsia="宋体" w:cs="宋体"/>
                      <w:color w:val="auto"/>
                      <w:szCs w:val="21"/>
                    </w:rPr>
                    <w:t>车间</w:t>
                  </w:r>
                </w:p>
              </w:tc>
              <w:tc>
                <w:tcPr>
                  <w:tcW w:w="1964" w:type="dxa"/>
                  <w:vAlign w:val="center"/>
                </w:tcPr>
                <w:p w14:paraId="06EBCBAB">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红碎茶（</w:t>
                  </w:r>
                  <w:r>
                    <w:rPr>
                      <w:rFonts w:hint="eastAsia" w:ascii="宋体" w:hAnsi="宋体" w:eastAsia="宋体" w:cs="宋体"/>
                      <w:color w:val="auto"/>
                      <w:szCs w:val="21"/>
                      <w:lang w:val="en-US" w:eastAsia="zh-CN"/>
                    </w:rPr>
                    <w:t>CTC</w:t>
                  </w:r>
                  <w:r>
                    <w:rPr>
                      <w:rFonts w:hint="eastAsia" w:ascii="宋体" w:hAnsi="宋体" w:eastAsia="宋体" w:cs="宋体"/>
                      <w:color w:val="auto"/>
                      <w:szCs w:val="21"/>
                      <w:lang w:eastAsia="zh-CN"/>
                    </w:rPr>
                    <w:t>）</w:t>
                  </w:r>
                </w:p>
              </w:tc>
              <w:tc>
                <w:tcPr>
                  <w:tcW w:w="3739" w:type="dxa"/>
                  <w:vAlign w:val="center"/>
                </w:tcPr>
                <w:p w14:paraId="6BFEFCC1">
                  <w:pPr>
                    <w:adjustRightInd w:val="0"/>
                    <w:snapToGrid w:val="0"/>
                    <w:jc w:val="center"/>
                    <w:rPr>
                      <w:rFonts w:hint="eastAsia" w:ascii="宋体" w:hAnsi="宋体" w:eastAsia="宋体" w:cs="宋体"/>
                      <w:color w:val="auto"/>
                      <w:spacing w:val="-10"/>
                      <w:szCs w:val="21"/>
                    </w:rPr>
                  </w:pPr>
                  <w:r>
                    <w:rPr>
                      <w:rFonts w:hint="eastAsia" w:ascii="宋体" w:hAnsi="宋体" w:eastAsia="宋体" w:cs="宋体"/>
                      <w:color w:val="auto"/>
                      <w:spacing w:val="-10"/>
                      <w:szCs w:val="21"/>
                      <w:lang w:eastAsia="zh-CN"/>
                    </w:rPr>
                    <w:t>共</w:t>
                  </w:r>
                  <w:r>
                    <w:rPr>
                      <w:rFonts w:hint="eastAsia" w:ascii="宋体" w:hAnsi="宋体" w:eastAsia="宋体" w:cs="宋体"/>
                      <w:b w:val="0"/>
                      <w:bCs w:val="0"/>
                      <w:color w:val="auto"/>
                      <w:spacing w:val="-10"/>
                      <w:szCs w:val="21"/>
                      <w:lang w:eastAsia="zh-CN"/>
                    </w:rPr>
                    <w:t>计</w:t>
                  </w:r>
                  <w:r>
                    <w:rPr>
                      <w:rFonts w:hint="eastAsia" w:ascii="宋体" w:hAnsi="宋体" w:eastAsia="宋体" w:cs="宋体"/>
                      <w:b w:val="0"/>
                      <w:bCs w:val="0"/>
                      <w:color w:val="auto"/>
                      <w:spacing w:val="-10"/>
                      <w:szCs w:val="21"/>
                      <w:lang w:val="en-US" w:eastAsia="zh-CN"/>
                    </w:rPr>
                    <w:t>350</w:t>
                  </w:r>
                  <w:r>
                    <w:rPr>
                      <w:rFonts w:hint="eastAsia" w:ascii="宋体" w:hAnsi="宋体" w:eastAsia="宋体" w:cs="宋体"/>
                      <w:b w:val="0"/>
                      <w:bCs w:val="0"/>
                      <w:color w:val="auto"/>
                      <w:szCs w:val="21"/>
                    </w:rPr>
                    <w:t>t/a</w:t>
                  </w:r>
                  <w:r>
                    <w:rPr>
                      <w:rFonts w:hint="eastAsia" w:ascii="宋体" w:hAnsi="宋体" w:eastAsia="宋体" w:cs="宋体"/>
                      <w:b w:val="0"/>
                      <w:bCs w:val="0"/>
                      <w:color w:val="auto"/>
                      <w:szCs w:val="21"/>
                      <w:lang w:eastAsia="zh-CN"/>
                    </w:rPr>
                    <w:t>，具体加工量视市场需求而变动</w:t>
                  </w:r>
                </w:p>
              </w:tc>
            </w:tr>
            <w:tr w14:paraId="62AA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873" w:type="dxa"/>
                  <w:vAlign w:val="center"/>
                </w:tcPr>
                <w:p w14:paraId="31F8DD79">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720" w:type="dxa"/>
                  <w:vAlign w:val="center"/>
                </w:tcPr>
                <w:p w14:paraId="62134722">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外购</w:t>
                  </w:r>
                </w:p>
              </w:tc>
              <w:tc>
                <w:tcPr>
                  <w:tcW w:w="1964" w:type="dxa"/>
                  <w:vAlign w:val="center"/>
                </w:tcPr>
                <w:p w14:paraId="09E051F5">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红茶</w:t>
                  </w:r>
                </w:p>
              </w:tc>
              <w:tc>
                <w:tcPr>
                  <w:tcW w:w="3739" w:type="dxa"/>
                  <w:vAlign w:val="center"/>
                </w:tcPr>
                <w:p w14:paraId="3F8DF699">
                  <w:pPr>
                    <w:adjustRightInd w:val="0"/>
                    <w:snapToGrid w:val="0"/>
                    <w:spacing w:line="240" w:lineRule="auto"/>
                    <w:jc w:val="center"/>
                    <w:rPr>
                      <w:rFonts w:hint="eastAsia" w:ascii="宋体" w:hAnsi="宋体" w:eastAsia="宋体" w:cs="宋体"/>
                      <w:color w:val="auto"/>
                      <w:spacing w:val="-10"/>
                      <w:szCs w:val="21"/>
                      <w:lang w:eastAsia="zh-CN"/>
                    </w:rPr>
                  </w:pPr>
                  <w:r>
                    <w:rPr>
                      <w:rFonts w:hint="eastAsia" w:ascii="宋体" w:hAnsi="宋体" w:eastAsia="宋体" w:cs="宋体"/>
                      <w:color w:val="auto"/>
                      <w:spacing w:val="-10"/>
                      <w:szCs w:val="21"/>
                      <w:lang w:eastAsia="zh-CN"/>
                    </w:rPr>
                    <w:t>共</w:t>
                  </w:r>
                  <w:r>
                    <w:rPr>
                      <w:rFonts w:hint="eastAsia" w:ascii="宋体" w:hAnsi="宋体" w:eastAsia="宋体" w:cs="宋体"/>
                      <w:b w:val="0"/>
                      <w:bCs w:val="0"/>
                      <w:color w:val="auto"/>
                      <w:spacing w:val="-10"/>
                      <w:szCs w:val="21"/>
                      <w:lang w:eastAsia="zh-CN"/>
                    </w:rPr>
                    <w:t>计</w:t>
                  </w:r>
                  <w:r>
                    <w:rPr>
                      <w:rFonts w:hint="eastAsia" w:ascii="宋体" w:hAnsi="宋体" w:eastAsia="宋体" w:cs="宋体"/>
                      <w:b w:val="0"/>
                      <w:bCs w:val="0"/>
                      <w:color w:val="auto"/>
                      <w:spacing w:val="-10"/>
                      <w:szCs w:val="21"/>
                      <w:lang w:val="en-US" w:eastAsia="zh-CN"/>
                    </w:rPr>
                    <w:t>45</w:t>
                  </w:r>
                  <w:r>
                    <w:rPr>
                      <w:rFonts w:hint="eastAsia" w:ascii="宋体" w:hAnsi="宋体" w:eastAsia="宋体" w:cs="宋体"/>
                      <w:b w:val="0"/>
                      <w:bCs w:val="0"/>
                      <w:color w:val="auto"/>
                      <w:szCs w:val="21"/>
                    </w:rPr>
                    <w:t>t/a</w:t>
                  </w:r>
                  <w:r>
                    <w:rPr>
                      <w:rFonts w:hint="eastAsia" w:ascii="宋体" w:hAnsi="宋体" w:eastAsia="宋体" w:cs="宋体"/>
                      <w:b w:val="0"/>
                      <w:bCs w:val="0"/>
                      <w:color w:val="auto"/>
                      <w:szCs w:val="21"/>
                      <w:lang w:eastAsia="zh-CN"/>
                    </w:rPr>
                    <w:t>，具体收购量视市场需求而变动</w:t>
                  </w:r>
                </w:p>
              </w:tc>
            </w:tr>
          </w:tbl>
          <w:p w14:paraId="5E8D1836">
            <w:pPr>
              <w:spacing w:line="360" w:lineRule="auto"/>
              <w:rPr>
                <w:rFonts w:hint="eastAsia" w:ascii="Times New Roman" w:hAnsi="Times New Roman"/>
                <w:b/>
                <w:bCs/>
                <w:color w:val="auto"/>
                <w:spacing w:val="8"/>
                <w:sz w:val="24"/>
                <w:lang w:val="en-US" w:eastAsia="zh-CN"/>
              </w:rPr>
            </w:pPr>
            <w:r>
              <w:rPr>
                <w:rFonts w:hint="eastAsia"/>
                <w:b/>
                <w:bCs/>
                <w:color w:val="auto"/>
                <w:spacing w:val="8"/>
                <w:sz w:val="24"/>
                <w:lang w:val="en-US" w:eastAsia="zh-CN"/>
              </w:rPr>
              <w:t>9</w:t>
            </w:r>
            <w:r>
              <w:rPr>
                <w:rFonts w:hint="eastAsia" w:ascii="Times New Roman" w:hAnsi="Times New Roman"/>
                <w:b/>
                <w:bCs/>
                <w:color w:val="auto"/>
                <w:spacing w:val="8"/>
                <w:sz w:val="24"/>
                <w:lang w:val="en-US" w:eastAsia="zh-CN"/>
              </w:rPr>
              <w:t>、项目平面布置合理性分析</w:t>
            </w:r>
          </w:p>
          <w:p w14:paraId="2A2893F3">
            <w:pPr>
              <w:spacing w:line="360" w:lineRule="auto"/>
              <w:ind w:firstLine="512" w:firstLineChars="200"/>
              <w:jc w:val="left"/>
              <w:rPr>
                <w:rFonts w:hint="eastAsia" w:ascii="Times New Roman" w:hAnsi="Times New Roman"/>
                <w:b/>
                <w:bCs/>
                <w:color w:val="auto"/>
                <w:spacing w:val="8"/>
                <w:sz w:val="24"/>
                <w:lang w:val="en-US" w:eastAsia="zh-CN"/>
              </w:rPr>
            </w:pPr>
            <w:r>
              <w:rPr>
                <w:rFonts w:hint="eastAsia" w:ascii="宋体" w:hAnsi="宋体" w:eastAsia="宋体" w:cs="宋体"/>
                <w:b w:val="0"/>
                <w:bCs w:val="0"/>
                <w:color w:val="auto"/>
                <w:spacing w:val="8"/>
                <w:sz w:val="24"/>
                <w:lang w:val="en-US" w:eastAsia="zh-CN"/>
              </w:rPr>
              <w:t>项目场地分为生活区、生产区，主入口位于场地西北侧临路侧，出入便捷，生活区位于主入口东北侧，位于上方向，场地南侧为茶叶加工区，位于下方向，主要设备均布置于南侧，生产设备按照生产工艺依次布设，生活区与生产区距离较远，对生活区影响较小。功能分区明确，互不干扰，平面布置详见附图2。从总平布置来看，项目平面布置较合理。</w:t>
            </w:r>
          </w:p>
          <w:p w14:paraId="0EFD70C5">
            <w:pPr>
              <w:spacing w:line="360" w:lineRule="auto"/>
              <w:rPr>
                <w:rFonts w:hint="eastAsia" w:ascii="Times New Roman" w:hAnsi="Times New Roman" w:eastAsia="宋体"/>
                <w:b/>
                <w:bCs/>
                <w:color w:val="auto"/>
                <w:spacing w:val="8"/>
                <w:sz w:val="24"/>
                <w:lang w:val="en-US" w:eastAsia="zh-CN"/>
              </w:rPr>
            </w:pPr>
            <w:r>
              <w:rPr>
                <w:rFonts w:hint="eastAsia" w:ascii="Times New Roman" w:hAnsi="Times New Roman"/>
                <w:b/>
                <w:bCs/>
                <w:color w:val="auto"/>
                <w:spacing w:val="8"/>
                <w:sz w:val="24"/>
                <w:lang w:val="en-US" w:eastAsia="zh-CN"/>
              </w:rPr>
              <w:t>1</w:t>
            </w:r>
            <w:r>
              <w:rPr>
                <w:rFonts w:hint="eastAsia"/>
                <w:b/>
                <w:bCs/>
                <w:color w:val="auto"/>
                <w:spacing w:val="8"/>
                <w:sz w:val="24"/>
                <w:lang w:val="en-US" w:eastAsia="zh-CN"/>
              </w:rPr>
              <w:t>0</w:t>
            </w:r>
            <w:r>
              <w:rPr>
                <w:rFonts w:hint="eastAsia" w:ascii="Times New Roman" w:hAnsi="Times New Roman"/>
                <w:b/>
                <w:bCs/>
                <w:color w:val="auto"/>
                <w:spacing w:val="8"/>
                <w:sz w:val="24"/>
                <w:lang w:val="en-US" w:eastAsia="zh-CN"/>
              </w:rPr>
              <w:t>、项目产业政策符合性分析</w:t>
            </w:r>
          </w:p>
          <w:p w14:paraId="00476850">
            <w:pPr>
              <w:spacing w:line="360" w:lineRule="auto"/>
              <w:ind w:firstLine="512" w:firstLineChars="200"/>
              <w:rPr>
                <w:rFonts w:hint="eastAsia" w:ascii="Times New Roman" w:hAnsi="Times New Roman"/>
                <w:b/>
                <w:bCs/>
                <w:color w:val="auto"/>
                <w:spacing w:val="8"/>
                <w:sz w:val="24"/>
              </w:rPr>
            </w:pPr>
            <w:r>
              <w:rPr>
                <w:rFonts w:hint="eastAsia" w:ascii="宋体" w:hAnsi="宋体" w:eastAsia="宋体" w:cs="宋体"/>
                <w:b w:val="0"/>
                <w:bCs w:val="0"/>
                <w:color w:val="auto"/>
                <w:spacing w:val="8"/>
                <w:sz w:val="24"/>
              </w:rPr>
              <w:t>本项目属于茶叶加工、销售项目，根据2011年3月7日国家发展改革委令第9号文《产业结构调整指导目录(2011年本)》和2013年2月16日国家发展改革委令第21号文《国家发展改革委关于修改&lt;产业结构调整指导目录(2011年本)&gt;有关条款</w:t>
            </w:r>
            <w:r>
              <w:rPr>
                <w:rFonts w:hint="eastAsia" w:ascii="宋体" w:hAnsi="宋体" w:cs="宋体"/>
                <w:b w:val="0"/>
                <w:bCs w:val="0"/>
                <w:color w:val="auto"/>
                <w:spacing w:val="8"/>
                <w:sz w:val="24"/>
                <w:lang w:eastAsia="zh-CN"/>
              </w:rPr>
              <w:t>的</w:t>
            </w:r>
            <w:r>
              <w:rPr>
                <w:rFonts w:hint="eastAsia" w:ascii="宋体" w:hAnsi="宋体" w:eastAsia="宋体" w:cs="宋体"/>
                <w:b w:val="0"/>
                <w:bCs w:val="0"/>
                <w:color w:val="auto"/>
                <w:spacing w:val="8"/>
                <w:sz w:val="24"/>
              </w:rPr>
              <w:t>决定》(修正)》中的规定，本项目不属于其中规定的鼓励类限制类及淘汰类，依据 《促进产业结构调整暂行规定》 (国发( 2005)40号文)的相关规定:“不属于鼓励类，限制类和淘汰类，且符合国家有关法律、法规和政策规定的，为允许类因此本项目属于允许类。</w:t>
            </w:r>
          </w:p>
          <w:p w14:paraId="3435D8E7">
            <w:pPr>
              <w:spacing w:line="360" w:lineRule="auto"/>
              <w:rPr>
                <w:rFonts w:hint="eastAsia" w:ascii="宋体" w:hAnsi="宋体" w:eastAsia="宋体" w:cs="宋体"/>
                <w:b w:val="0"/>
                <w:bCs w:val="0"/>
                <w:color w:val="auto"/>
                <w:spacing w:val="8"/>
                <w:sz w:val="24"/>
              </w:rPr>
            </w:pPr>
            <w:r>
              <w:rPr>
                <w:rFonts w:hint="eastAsia" w:ascii="Times New Roman" w:hAnsi="Times New Roman"/>
                <w:b/>
                <w:bCs/>
                <w:color w:val="auto"/>
                <w:spacing w:val="8"/>
                <w:sz w:val="24"/>
              </w:rPr>
              <w:t xml:space="preserve">    </w:t>
            </w:r>
            <w:r>
              <w:rPr>
                <w:rFonts w:hint="eastAsia" w:ascii="宋体" w:hAnsi="宋体" w:eastAsia="宋体" w:cs="宋体"/>
                <w:b w:val="0"/>
                <w:bCs w:val="0"/>
                <w:color w:val="auto"/>
                <w:spacing w:val="8"/>
                <w:sz w:val="24"/>
              </w:rPr>
              <w:t>本项目生产生产设备主要</w:t>
            </w:r>
            <w:r>
              <w:rPr>
                <w:rFonts w:hint="eastAsia" w:ascii="宋体" w:hAnsi="宋体" w:cs="宋体"/>
                <w:b w:val="0"/>
                <w:bCs w:val="0"/>
                <w:color w:val="auto"/>
                <w:spacing w:val="8"/>
                <w:sz w:val="24"/>
                <w:lang w:eastAsia="zh-CN"/>
              </w:rPr>
              <w:t>有</w:t>
            </w:r>
            <w:r>
              <w:rPr>
                <w:rFonts w:hint="eastAsia" w:ascii="宋体" w:hAnsi="宋体" w:eastAsia="宋体" w:cs="宋体"/>
                <w:b w:val="0"/>
                <w:bCs w:val="0"/>
                <w:color w:val="auto"/>
                <w:spacing w:val="8"/>
                <w:sz w:val="24"/>
                <w:lang w:eastAsia="zh-CN"/>
              </w:rPr>
              <w:t>圆筛机、拣梗机、烘干机</w:t>
            </w:r>
            <w:r>
              <w:rPr>
                <w:rFonts w:hint="eastAsia" w:ascii="宋体" w:hAnsi="宋体" w:eastAsia="宋体" w:cs="宋体"/>
                <w:b w:val="0"/>
                <w:bCs w:val="0"/>
                <w:color w:val="auto"/>
                <w:spacing w:val="8"/>
                <w:sz w:val="24"/>
              </w:rPr>
              <w:t>等，不属于《产业结构调整指导目录(2011年本)》(2013年修订)中淘汰限制类设备，因此本项目拟用设备不属于淘汰限制类设备。</w:t>
            </w:r>
          </w:p>
          <w:p w14:paraId="4B178CD4">
            <w:pPr>
              <w:pStyle w:val="3"/>
              <w:spacing w:line="360" w:lineRule="auto"/>
              <w:outlineLvl w:val="0"/>
              <w:rPr>
                <w:rFonts w:hint="eastAsia" w:ascii="宋体" w:hAnsi="宋体" w:eastAsia="宋体" w:cs="宋体"/>
                <w:color w:val="auto"/>
                <w:sz w:val="24"/>
                <w:szCs w:val="24"/>
              </w:rPr>
            </w:pPr>
            <w:r>
              <w:rPr>
                <w:rFonts w:hint="eastAsia" w:ascii="宋体" w:hAnsi="宋体" w:eastAsia="宋体" w:cs="宋体"/>
                <w:b/>
                <w:bCs/>
                <w:color w:val="auto"/>
                <w:spacing w:val="8"/>
                <w:sz w:val="24"/>
                <w:szCs w:val="24"/>
                <w:lang w:val="en-US" w:eastAsia="zh-CN"/>
              </w:rPr>
              <w:t>1</w:t>
            </w:r>
            <w:r>
              <w:rPr>
                <w:rFonts w:hint="eastAsia" w:ascii="宋体" w:hAnsi="宋体" w:cs="宋体"/>
                <w:b/>
                <w:bCs/>
                <w:color w:val="auto"/>
                <w:spacing w:val="8"/>
                <w:sz w:val="24"/>
                <w:szCs w:val="24"/>
                <w:lang w:val="en-US" w:eastAsia="zh-CN"/>
              </w:rPr>
              <w:t>1</w:t>
            </w:r>
            <w:r>
              <w:rPr>
                <w:rFonts w:hint="eastAsia" w:ascii="宋体" w:hAnsi="宋体" w:eastAsia="宋体" w:cs="宋体"/>
                <w:b/>
                <w:bCs/>
                <w:color w:val="auto"/>
                <w:spacing w:val="8"/>
                <w:sz w:val="24"/>
                <w:szCs w:val="24"/>
                <w:lang w:val="en-US" w:eastAsia="zh-CN"/>
              </w:rPr>
              <w:t>、</w:t>
            </w:r>
            <w:r>
              <w:rPr>
                <w:rFonts w:hint="eastAsia" w:ascii="宋体" w:hAnsi="宋体" w:eastAsia="宋体" w:cs="宋体"/>
                <w:color w:val="auto"/>
                <w:sz w:val="24"/>
                <w:szCs w:val="24"/>
              </w:rPr>
              <w:t>项目选址合理性分析</w:t>
            </w:r>
          </w:p>
          <w:p w14:paraId="5CD9E2D5">
            <w:pPr>
              <w:spacing w:line="360" w:lineRule="auto"/>
              <w:ind w:firstLine="512" w:firstLineChars="200"/>
              <w:rPr>
                <w:rFonts w:hint="eastAsia" w:ascii="宋体" w:hAnsi="宋体" w:eastAsia="宋体" w:cs="宋体"/>
                <w:b w:val="0"/>
                <w:bCs w:val="0"/>
                <w:color w:val="auto"/>
                <w:sz w:val="24"/>
                <w:szCs w:val="24"/>
                <w:lang w:eastAsia="zh-CN"/>
              </w:rPr>
            </w:pPr>
            <w:r>
              <w:rPr>
                <w:rFonts w:hint="eastAsia" w:ascii="Times New Roman" w:hAnsi="Times New Roman"/>
                <w:b w:val="0"/>
                <w:bCs w:val="0"/>
                <w:color w:val="auto"/>
                <w:spacing w:val="8"/>
                <w:sz w:val="24"/>
                <w:szCs w:val="24"/>
                <w:lang w:val="en-US" w:eastAsia="zh-CN"/>
              </w:rPr>
              <w:t>本项目茶叶加工厂选址位于</w:t>
            </w:r>
            <w:r>
              <w:rPr>
                <w:rFonts w:hint="eastAsia" w:ascii="宋体" w:hAnsi="宋体" w:eastAsia="宋体" w:cs="宋体"/>
                <w:b w:val="0"/>
                <w:bCs w:val="0"/>
                <w:color w:val="auto"/>
                <w:sz w:val="24"/>
                <w:szCs w:val="24"/>
              </w:rPr>
              <w:t>德宏州芒市</w:t>
            </w:r>
            <w:r>
              <w:rPr>
                <w:rFonts w:hint="eastAsia" w:ascii="宋体" w:hAnsi="宋体" w:eastAsia="宋体" w:cs="宋体"/>
                <w:b w:val="0"/>
                <w:bCs w:val="0"/>
                <w:color w:val="auto"/>
                <w:sz w:val="24"/>
                <w:szCs w:val="24"/>
                <w:lang w:eastAsia="zh-CN"/>
              </w:rPr>
              <w:t>轩岗乡遮相居委会第一居民小组，目前该区域内已具备较强的基础承载力和产业配套能力，水、电、气通讯</w:t>
            </w:r>
            <w:r>
              <w:rPr>
                <w:rFonts w:hint="eastAsia" w:ascii="宋体" w:hAnsi="宋体" w:cs="宋体"/>
                <w:b w:val="0"/>
                <w:bCs w:val="0"/>
                <w:color w:val="auto"/>
                <w:sz w:val="24"/>
                <w:szCs w:val="24"/>
                <w:lang w:eastAsia="zh-CN"/>
              </w:rPr>
              <w:t>齐全</w:t>
            </w:r>
            <w:r>
              <w:rPr>
                <w:rFonts w:hint="eastAsia" w:ascii="宋体" w:hAnsi="宋体" w:eastAsia="宋体" w:cs="宋体"/>
                <w:b w:val="0"/>
                <w:bCs w:val="0"/>
                <w:color w:val="auto"/>
                <w:sz w:val="24"/>
                <w:szCs w:val="24"/>
                <w:lang w:eastAsia="zh-CN"/>
              </w:rPr>
              <w:t>，项目区出入口靠近轩岗乡乡村道路，交通便利，便于项目的建设与运营。</w:t>
            </w:r>
          </w:p>
          <w:p w14:paraId="5853186B">
            <w:pPr>
              <w:keepNext w:val="0"/>
              <w:keepLines w:val="0"/>
              <w:widowControl/>
              <w:suppressLineNumbers w:val="0"/>
              <w:spacing w:line="360" w:lineRule="auto"/>
              <w:jc w:val="left"/>
              <w:rPr>
                <w:color w:val="auto"/>
                <w:sz w:val="24"/>
                <w:szCs w:val="24"/>
              </w:rPr>
            </w:pPr>
            <w:r>
              <w:rPr>
                <w:rFonts w:hint="eastAsia" w:ascii="宋体" w:hAnsi="宋体" w:eastAsia="宋体" w:cs="宋体"/>
                <w:b w:val="0"/>
                <w:bCs w:val="0"/>
                <w:color w:val="auto"/>
                <w:sz w:val="24"/>
                <w:szCs w:val="24"/>
                <w:lang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本项目选址于农村区域，周边以居民为主，</w:t>
            </w:r>
            <w:r>
              <w:rPr>
                <w:rFonts w:hint="eastAsia" w:ascii="宋体" w:hAnsi="宋体" w:cs="宋体"/>
                <w:b w:val="0"/>
                <w:bCs w:val="0"/>
                <w:color w:val="auto"/>
                <w:sz w:val="24"/>
                <w:szCs w:val="24"/>
                <w:lang w:eastAsia="zh-CN"/>
              </w:rPr>
              <w:t>经业主向芒市自然资源局核实得知，项目区不涉及基本农田</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eastAsia="zh-CN"/>
              </w:rPr>
              <w:t>耕地和生态红线</w:t>
            </w:r>
            <w:r>
              <w:rPr>
                <w:rFonts w:hint="eastAsia" w:ascii="宋体" w:hAnsi="宋体" w:eastAsia="宋体" w:cs="宋体"/>
                <w:b w:val="0"/>
                <w:bCs w:val="0"/>
                <w:color w:val="auto"/>
                <w:sz w:val="24"/>
                <w:szCs w:val="24"/>
                <w:lang w:eastAsia="zh-CN"/>
              </w:rPr>
              <w:t>，</w:t>
            </w:r>
            <w:r>
              <w:rPr>
                <w:rFonts w:ascii="宋体" w:hAnsi="宋体" w:eastAsia="宋体" w:cs="宋体"/>
                <w:color w:val="auto"/>
                <w:kern w:val="0"/>
                <w:sz w:val="24"/>
                <w:szCs w:val="24"/>
                <w:lang w:val="en-US" w:eastAsia="zh-CN" w:bidi="ar"/>
              </w:rPr>
              <w:t>项目建设地外环境关系较为单一，周边200米范围内无名胜古迹和重点文物呆护单位，也无自然保护区、风景名胜区等特殊需要保护的对象，周边环境对项</w:t>
            </w:r>
            <w:r>
              <w:rPr>
                <w:rFonts w:hint="eastAsia" w:ascii="宋体" w:hAnsi="宋体" w:eastAsia="宋体" w:cs="宋体"/>
                <w:color w:val="auto"/>
                <w:kern w:val="0"/>
                <w:sz w:val="24"/>
                <w:szCs w:val="24"/>
                <w:lang w:val="en-US" w:eastAsia="zh-CN" w:bidi="ar"/>
              </w:rPr>
              <w:t>目</w:t>
            </w:r>
            <w:r>
              <w:rPr>
                <w:rFonts w:ascii="宋体" w:hAnsi="宋体" w:eastAsia="宋体" w:cs="宋体"/>
                <w:color w:val="auto"/>
                <w:kern w:val="0"/>
                <w:sz w:val="24"/>
                <w:szCs w:val="24"/>
                <w:lang w:val="en-US" w:eastAsia="zh-CN" w:bidi="ar"/>
              </w:rPr>
              <w:t>的建设无明显环境制约因素。</w:t>
            </w:r>
          </w:p>
          <w:p w14:paraId="153F4C84">
            <w:pPr>
              <w:spacing w:line="360" w:lineRule="auto"/>
              <w:ind w:firstLine="512" w:firstLineChars="200"/>
              <w:rPr>
                <w:rFonts w:hint="eastAsia" w:ascii="Times New Roman" w:hAnsi="Times New Roman" w:eastAsia="宋体"/>
                <w:b w:val="0"/>
                <w:bCs w:val="0"/>
                <w:color w:val="auto"/>
                <w:spacing w:val="8"/>
                <w:sz w:val="24"/>
                <w:lang w:val="en-US" w:eastAsia="zh-CN"/>
              </w:rPr>
            </w:pPr>
            <w:r>
              <w:rPr>
                <w:rFonts w:hint="eastAsia" w:ascii="Times New Roman" w:hAnsi="Times New Roman" w:eastAsia="宋体"/>
                <w:b w:val="0"/>
                <w:bCs w:val="0"/>
                <w:color w:val="auto"/>
                <w:spacing w:val="8"/>
                <w:sz w:val="24"/>
                <w:lang w:val="en-US" w:eastAsia="zh-CN"/>
              </w:rPr>
              <w:t>综上所述，本项目拟选地块周围无重大外环境制约因素，其所在地外环境相对简单，适宜项目建设，项目选址合理。</w:t>
            </w:r>
          </w:p>
          <w:p w14:paraId="53763CDC">
            <w:pPr>
              <w:spacing w:line="360" w:lineRule="auto"/>
              <w:rPr>
                <w:rFonts w:hint="eastAsia" w:ascii="Times New Roman" w:hAnsi="Times New Roman"/>
                <w:b/>
                <w:bCs/>
                <w:color w:val="auto"/>
                <w:sz w:val="24"/>
              </w:rPr>
            </w:pPr>
            <w:r>
              <w:rPr>
                <w:rFonts w:hint="eastAsia" w:ascii="Times New Roman" w:hAnsi="Times New Roman"/>
                <w:b/>
                <w:bCs/>
                <w:color w:val="auto"/>
                <w:spacing w:val="8"/>
                <w:sz w:val="24"/>
                <w:lang w:val="en-US" w:eastAsia="zh-CN"/>
              </w:rPr>
              <w:t>1</w:t>
            </w:r>
            <w:r>
              <w:rPr>
                <w:rFonts w:hint="eastAsia"/>
                <w:b/>
                <w:bCs/>
                <w:color w:val="auto"/>
                <w:spacing w:val="8"/>
                <w:sz w:val="24"/>
                <w:lang w:val="en-US" w:eastAsia="zh-CN"/>
              </w:rPr>
              <w:t>2</w:t>
            </w:r>
            <w:r>
              <w:rPr>
                <w:rFonts w:hint="eastAsia" w:ascii="Times New Roman" w:hAnsi="Times New Roman"/>
                <w:b/>
                <w:bCs/>
                <w:color w:val="auto"/>
                <w:spacing w:val="8"/>
                <w:sz w:val="24"/>
              </w:rPr>
              <w:t>、</w:t>
            </w:r>
            <w:r>
              <w:rPr>
                <w:rFonts w:hint="eastAsia" w:ascii="Times New Roman" w:hAnsi="Times New Roman"/>
                <w:b/>
                <w:bCs/>
                <w:color w:val="auto"/>
                <w:sz w:val="24"/>
              </w:rPr>
              <w:t>项目环保投资</w:t>
            </w:r>
          </w:p>
          <w:p w14:paraId="1901080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项目总投资</w:t>
            </w:r>
            <w:r>
              <w:rPr>
                <w:rFonts w:hint="eastAsia" w:ascii="宋体" w:hAnsi="宋体" w:eastAsia="宋体" w:cs="宋体"/>
                <w:color w:val="auto"/>
                <w:sz w:val="24"/>
                <w:lang w:val="en-US" w:eastAsia="zh-CN"/>
              </w:rPr>
              <w:t>220</w:t>
            </w:r>
            <w:r>
              <w:rPr>
                <w:rFonts w:hint="eastAsia" w:ascii="宋体" w:hAnsi="宋体" w:eastAsia="宋体" w:cs="宋体"/>
                <w:color w:val="auto"/>
                <w:sz w:val="24"/>
              </w:rPr>
              <w:t>万元，环保投资</w:t>
            </w:r>
            <w:r>
              <w:rPr>
                <w:rFonts w:hint="eastAsia" w:ascii="宋体" w:hAnsi="宋体" w:cs="宋体"/>
                <w:color w:val="auto"/>
                <w:sz w:val="24"/>
                <w:lang w:val="en-US" w:eastAsia="zh-CN"/>
              </w:rPr>
              <w:t>8.48</w:t>
            </w:r>
            <w:r>
              <w:rPr>
                <w:rFonts w:hint="eastAsia" w:ascii="宋体" w:hAnsi="宋体" w:eastAsia="宋体" w:cs="宋体"/>
                <w:color w:val="auto"/>
                <w:sz w:val="24"/>
              </w:rPr>
              <w:t>万元，占总投资的</w:t>
            </w:r>
            <w:r>
              <w:rPr>
                <w:rFonts w:hint="eastAsia" w:ascii="宋体" w:hAnsi="宋体" w:cs="宋体"/>
                <w:color w:val="auto"/>
                <w:sz w:val="24"/>
                <w:lang w:val="en-US" w:eastAsia="zh-CN"/>
              </w:rPr>
              <w:t>3.85</w:t>
            </w:r>
            <w:r>
              <w:rPr>
                <w:rFonts w:hint="eastAsia" w:ascii="宋体" w:hAnsi="宋体" w:eastAsia="宋体" w:cs="宋体"/>
                <w:color w:val="auto"/>
                <w:sz w:val="24"/>
              </w:rPr>
              <w:t>%。项目环保投资详见表1-5所示：</w:t>
            </w:r>
          </w:p>
          <w:p w14:paraId="691C39BA">
            <w:pPr>
              <w:spacing w:line="360" w:lineRule="auto"/>
              <w:jc w:val="center"/>
              <w:rPr>
                <w:rFonts w:ascii="Times New Roman" w:hAnsi="Times New Roman"/>
                <w:b/>
                <w:color w:val="auto"/>
                <w:sz w:val="24"/>
              </w:rPr>
            </w:pPr>
            <w:r>
              <w:rPr>
                <w:rFonts w:ascii="Times New Roman" w:hAnsi="Times New Roman"/>
                <w:b/>
                <w:color w:val="auto"/>
                <w:sz w:val="24"/>
              </w:rPr>
              <w:t>表1-</w:t>
            </w:r>
            <w:r>
              <w:rPr>
                <w:rFonts w:hint="eastAsia" w:ascii="Times New Roman" w:hAnsi="Times New Roman"/>
                <w:b/>
                <w:color w:val="auto"/>
                <w:sz w:val="24"/>
              </w:rPr>
              <w:t xml:space="preserve">5 </w:t>
            </w:r>
            <w:r>
              <w:rPr>
                <w:rFonts w:ascii="Times New Roman" w:hAnsi="Times New Roman"/>
                <w:b/>
                <w:color w:val="auto"/>
                <w:sz w:val="24"/>
              </w:rPr>
              <w:t xml:space="preserve"> 项目环保投资一览表</w:t>
            </w:r>
          </w:p>
          <w:tbl>
            <w:tblPr>
              <w:tblStyle w:val="24"/>
              <w:tblW w:w="82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5"/>
              <w:gridCol w:w="1618"/>
              <w:gridCol w:w="2603"/>
              <w:gridCol w:w="1873"/>
              <w:gridCol w:w="1197"/>
            </w:tblGrid>
            <w:tr w14:paraId="79897A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exact"/>
                <w:jc w:val="center"/>
              </w:trPr>
              <w:tc>
                <w:tcPr>
                  <w:tcW w:w="995" w:type="dxa"/>
                  <w:vAlign w:val="center"/>
                </w:tcPr>
                <w:p w14:paraId="78C58B15">
                  <w:pPr>
                    <w:jc w:val="center"/>
                    <w:rPr>
                      <w:rFonts w:ascii="Times New Roman" w:hAnsi="Times New Roman"/>
                      <w:b/>
                      <w:color w:val="auto"/>
                      <w:szCs w:val="21"/>
                    </w:rPr>
                  </w:pPr>
                  <w:r>
                    <w:rPr>
                      <w:rFonts w:ascii="Times New Roman" w:hAnsi="Times New Roman"/>
                      <w:b/>
                      <w:color w:val="auto"/>
                      <w:szCs w:val="21"/>
                    </w:rPr>
                    <w:t>环保投资时段</w:t>
                  </w:r>
                </w:p>
              </w:tc>
              <w:tc>
                <w:tcPr>
                  <w:tcW w:w="1618" w:type="dxa"/>
                  <w:vAlign w:val="center"/>
                </w:tcPr>
                <w:p w14:paraId="56680585">
                  <w:pPr>
                    <w:jc w:val="center"/>
                    <w:rPr>
                      <w:rFonts w:hint="eastAsia" w:ascii="Times New Roman" w:hAnsi="Times New Roman"/>
                      <w:b/>
                      <w:color w:val="auto"/>
                      <w:szCs w:val="21"/>
                    </w:rPr>
                  </w:pPr>
                  <w:r>
                    <w:rPr>
                      <w:rFonts w:hint="eastAsia" w:ascii="Times New Roman" w:hAnsi="Times New Roman"/>
                      <w:b/>
                      <w:color w:val="auto"/>
                      <w:szCs w:val="21"/>
                    </w:rPr>
                    <w:t>投资项目</w:t>
                  </w:r>
                </w:p>
              </w:tc>
              <w:tc>
                <w:tcPr>
                  <w:tcW w:w="2603" w:type="dxa"/>
                  <w:vAlign w:val="center"/>
                </w:tcPr>
                <w:p w14:paraId="12615DC9">
                  <w:pPr>
                    <w:jc w:val="center"/>
                    <w:rPr>
                      <w:rFonts w:hint="eastAsia" w:ascii="Times New Roman" w:hAnsi="Times New Roman"/>
                      <w:b/>
                      <w:color w:val="auto"/>
                      <w:szCs w:val="21"/>
                    </w:rPr>
                  </w:pPr>
                  <w:r>
                    <w:rPr>
                      <w:rFonts w:hint="eastAsia" w:ascii="Times New Roman" w:hAnsi="Times New Roman"/>
                      <w:b/>
                      <w:color w:val="auto"/>
                      <w:szCs w:val="21"/>
                    </w:rPr>
                    <w:t>内容</w:t>
                  </w:r>
                </w:p>
              </w:tc>
              <w:tc>
                <w:tcPr>
                  <w:tcW w:w="1873" w:type="dxa"/>
                  <w:vAlign w:val="center"/>
                </w:tcPr>
                <w:p w14:paraId="193922A9">
                  <w:pPr>
                    <w:jc w:val="center"/>
                    <w:rPr>
                      <w:rFonts w:ascii="Times New Roman" w:hAnsi="Times New Roman"/>
                      <w:b/>
                      <w:color w:val="auto"/>
                      <w:szCs w:val="21"/>
                    </w:rPr>
                  </w:pPr>
                  <w:r>
                    <w:rPr>
                      <w:rFonts w:ascii="Times New Roman" w:hAnsi="Times New Roman"/>
                      <w:b/>
                      <w:color w:val="auto"/>
                      <w:szCs w:val="21"/>
                    </w:rPr>
                    <w:t>投资金额（万元）</w:t>
                  </w:r>
                </w:p>
              </w:tc>
              <w:tc>
                <w:tcPr>
                  <w:tcW w:w="1197" w:type="dxa"/>
                  <w:vAlign w:val="center"/>
                </w:tcPr>
                <w:p w14:paraId="649E4255">
                  <w:pPr>
                    <w:jc w:val="center"/>
                    <w:rPr>
                      <w:rFonts w:hint="eastAsia" w:ascii="Times New Roman" w:hAnsi="Times New Roman" w:eastAsia="宋体"/>
                      <w:b/>
                      <w:color w:val="auto"/>
                      <w:szCs w:val="21"/>
                      <w:lang w:eastAsia="zh-CN"/>
                    </w:rPr>
                  </w:pPr>
                  <w:r>
                    <w:rPr>
                      <w:rFonts w:hint="eastAsia" w:ascii="Times New Roman" w:hAnsi="Times New Roman"/>
                      <w:b/>
                      <w:color w:val="auto"/>
                      <w:szCs w:val="21"/>
                      <w:lang w:eastAsia="zh-CN"/>
                    </w:rPr>
                    <w:t>备注</w:t>
                  </w:r>
                </w:p>
              </w:tc>
            </w:tr>
            <w:tr w14:paraId="65B22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exact"/>
                <w:jc w:val="center"/>
              </w:trPr>
              <w:tc>
                <w:tcPr>
                  <w:tcW w:w="995" w:type="dxa"/>
                  <w:vMerge w:val="restart"/>
                  <w:vAlign w:val="center"/>
                </w:tcPr>
                <w:p w14:paraId="1CA4B76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施工期</w:t>
                  </w:r>
                </w:p>
              </w:tc>
              <w:tc>
                <w:tcPr>
                  <w:tcW w:w="1618" w:type="dxa"/>
                  <w:vAlign w:val="center"/>
                </w:tcPr>
                <w:p w14:paraId="38CD3CB5">
                  <w:pPr>
                    <w:widowControl/>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u w:val="none" w:color="auto"/>
                      <w:lang w:eastAsia="zh-CN"/>
                    </w:rPr>
                    <w:t>洒水降尘设施</w:t>
                  </w:r>
                </w:p>
              </w:tc>
              <w:tc>
                <w:tcPr>
                  <w:tcW w:w="2603" w:type="dxa"/>
                  <w:vAlign w:val="center"/>
                </w:tcPr>
                <w:p w14:paraId="7F4453B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873" w:type="dxa"/>
                  <w:vAlign w:val="center"/>
                </w:tcPr>
                <w:p w14:paraId="6D7D713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0.04</w:t>
                  </w:r>
                </w:p>
              </w:tc>
              <w:tc>
                <w:tcPr>
                  <w:tcW w:w="1197" w:type="dxa"/>
                  <w:vAlign w:val="center"/>
                </w:tcPr>
                <w:p w14:paraId="7800227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14:paraId="1DCA8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exact"/>
                <w:jc w:val="center"/>
              </w:trPr>
              <w:tc>
                <w:tcPr>
                  <w:tcW w:w="995" w:type="dxa"/>
                  <w:vMerge w:val="continue"/>
                  <w:tcBorders>
                    <w:bottom w:val="single" w:color="auto" w:sz="4" w:space="0"/>
                  </w:tcBorders>
                  <w:vAlign w:val="center"/>
                </w:tcPr>
                <w:p w14:paraId="4A3771D9">
                  <w:pPr>
                    <w:jc w:val="center"/>
                    <w:rPr>
                      <w:rFonts w:hint="eastAsia" w:ascii="宋体" w:hAnsi="宋体" w:eastAsia="宋体" w:cs="宋体"/>
                      <w:color w:val="auto"/>
                      <w:sz w:val="21"/>
                      <w:szCs w:val="21"/>
                    </w:rPr>
                  </w:pPr>
                </w:p>
              </w:tc>
              <w:tc>
                <w:tcPr>
                  <w:tcW w:w="1618" w:type="dxa"/>
                  <w:tcBorders>
                    <w:bottom w:val="single" w:color="auto" w:sz="4" w:space="0"/>
                  </w:tcBorders>
                  <w:vAlign w:val="center"/>
                </w:tcPr>
                <w:p w14:paraId="5B5BFC7E">
                  <w:pPr>
                    <w:widowControl/>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u w:val="none" w:color="auto"/>
                      <w:lang w:eastAsia="zh-CN"/>
                    </w:rPr>
                    <w:t>临时沉淀池</w:t>
                  </w:r>
                </w:p>
              </w:tc>
              <w:tc>
                <w:tcPr>
                  <w:tcW w:w="2603" w:type="dxa"/>
                  <w:vAlign w:val="center"/>
                </w:tcPr>
                <w:p w14:paraId="0984911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1m</w:t>
                  </w:r>
                  <w:r>
                    <w:rPr>
                      <w:rFonts w:hint="eastAsia" w:ascii="宋体" w:hAnsi="宋体" w:eastAsia="宋体" w:cs="宋体"/>
                      <w:color w:val="auto"/>
                      <w:sz w:val="21"/>
                      <w:szCs w:val="21"/>
                      <w:vertAlign w:val="superscript"/>
                      <w:lang w:val="en-US" w:eastAsia="zh-CN"/>
                    </w:rPr>
                    <w:t>3</w:t>
                  </w:r>
                </w:p>
              </w:tc>
              <w:tc>
                <w:tcPr>
                  <w:tcW w:w="1873" w:type="dxa"/>
                  <w:vAlign w:val="center"/>
                </w:tcPr>
                <w:p w14:paraId="6C4A988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p>
              </w:tc>
              <w:tc>
                <w:tcPr>
                  <w:tcW w:w="1197" w:type="dxa"/>
                  <w:vAlign w:val="center"/>
                </w:tcPr>
                <w:p w14:paraId="1CCBE0C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14:paraId="6B48DD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exact"/>
                <w:jc w:val="center"/>
              </w:trPr>
              <w:tc>
                <w:tcPr>
                  <w:tcW w:w="995" w:type="dxa"/>
                  <w:vMerge w:val="restart"/>
                  <w:tcBorders>
                    <w:top w:val="single" w:color="auto" w:sz="4" w:space="0"/>
                  </w:tcBorders>
                  <w:vAlign w:val="center"/>
                </w:tcPr>
                <w:p w14:paraId="58D62BA0">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营运期</w:t>
                  </w:r>
                </w:p>
              </w:tc>
              <w:tc>
                <w:tcPr>
                  <w:tcW w:w="1618" w:type="dxa"/>
                  <w:tcBorders>
                    <w:top w:val="single" w:color="auto" w:sz="4" w:space="0"/>
                  </w:tcBorders>
                  <w:vAlign w:val="center"/>
                </w:tcPr>
                <w:p w14:paraId="04805B76">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油烟净化器</w:t>
                  </w:r>
                </w:p>
              </w:tc>
              <w:tc>
                <w:tcPr>
                  <w:tcW w:w="2603" w:type="dxa"/>
                  <w:vAlign w:val="center"/>
                </w:tcPr>
                <w:p w14:paraId="2DDB0798">
                  <w:pPr>
                    <w:autoSpaceDE w:val="0"/>
                    <w:autoSpaceDN w:val="0"/>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1台，</w:t>
                  </w:r>
                  <w:r>
                    <w:rPr>
                      <w:rFonts w:hint="eastAsia" w:ascii="宋体" w:hAnsi="宋体" w:eastAsia="宋体" w:cs="宋体"/>
                      <w:color w:val="auto"/>
                      <w:kern w:val="0"/>
                      <w:sz w:val="21"/>
                      <w:szCs w:val="21"/>
                      <w:highlight w:val="none"/>
                      <w:u w:val="none" w:color="auto"/>
                    </w:rPr>
                    <w:t>去除效率≧</w:t>
                  </w:r>
                  <w:r>
                    <w:rPr>
                      <w:rFonts w:hint="eastAsia" w:ascii="宋体" w:hAnsi="宋体" w:eastAsia="宋体" w:cs="宋体"/>
                      <w:color w:val="auto"/>
                      <w:kern w:val="0"/>
                      <w:sz w:val="21"/>
                      <w:szCs w:val="21"/>
                      <w:highlight w:val="none"/>
                      <w:u w:val="none" w:color="auto"/>
                      <w:lang w:val="en-US" w:eastAsia="zh-CN"/>
                    </w:rPr>
                    <w:t>60</w:t>
                  </w:r>
                  <w:r>
                    <w:rPr>
                      <w:rFonts w:hint="eastAsia" w:ascii="宋体" w:hAnsi="宋体" w:eastAsia="宋体" w:cs="宋体"/>
                      <w:color w:val="auto"/>
                      <w:kern w:val="0"/>
                      <w:sz w:val="21"/>
                      <w:szCs w:val="21"/>
                      <w:highlight w:val="none"/>
                      <w:u w:val="none" w:color="auto"/>
                    </w:rPr>
                    <w:t>%</w:t>
                  </w:r>
                </w:p>
              </w:tc>
              <w:tc>
                <w:tcPr>
                  <w:tcW w:w="1873" w:type="dxa"/>
                  <w:vAlign w:val="center"/>
                </w:tcPr>
                <w:p w14:paraId="7265F5F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0.2</w:t>
                  </w:r>
                </w:p>
              </w:tc>
              <w:tc>
                <w:tcPr>
                  <w:tcW w:w="1197" w:type="dxa"/>
                  <w:vAlign w:val="center"/>
                </w:tcPr>
                <w:p w14:paraId="477D390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14:paraId="2454C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exact"/>
                <w:jc w:val="center"/>
              </w:trPr>
              <w:tc>
                <w:tcPr>
                  <w:tcW w:w="995" w:type="dxa"/>
                  <w:vMerge w:val="continue"/>
                  <w:vAlign w:val="center"/>
                </w:tcPr>
                <w:p w14:paraId="6274504D">
                  <w:pPr>
                    <w:jc w:val="center"/>
                    <w:rPr>
                      <w:rFonts w:hint="eastAsia" w:ascii="宋体" w:hAnsi="宋体" w:eastAsia="宋体" w:cs="宋体"/>
                      <w:color w:val="auto"/>
                      <w:sz w:val="21"/>
                      <w:szCs w:val="21"/>
                    </w:rPr>
                  </w:pPr>
                </w:p>
              </w:tc>
              <w:tc>
                <w:tcPr>
                  <w:tcW w:w="1618" w:type="dxa"/>
                  <w:vAlign w:val="center"/>
                </w:tcPr>
                <w:p w14:paraId="1284DCC1">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隔油池</w:t>
                  </w:r>
                </w:p>
              </w:tc>
              <w:tc>
                <w:tcPr>
                  <w:tcW w:w="2603" w:type="dxa"/>
                  <w:vAlign w:val="center"/>
                </w:tcPr>
                <w:p w14:paraId="37618104">
                  <w:pPr>
                    <w:autoSpaceDE w:val="0"/>
                    <w:autoSpaceDN w:val="0"/>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1个，容积</w:t>
                  </w:r>
                  <w:r>
                    <w:rPr>
                      <w:rFonts w:hint="eastAsia" w:ascii="宋体" w:hAnsi="宋体" w:cs="宋体"/>
                      <w:color w:val="auto"/>
                      <w:sz w:val="21"/>
                      <w:szCs w:val="21"/>
                      <w:lang w:val="en-US" w:eastAsia="zh-CN"/>
                    </w:rPr>
                    <w:t>0.1</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vertAlign w:val="superscript"/>
                      <w:lang w:val="en-US" w:eastAsia="zh-CN"/>
                    </w:rPr>
                    <w:t>3</w:t>
                  </w:r>
                </w:p>
              </w:tc>
              <w:tc>
                <w:tcPr>
                  <w:tcW w:w="1873" w:type="dxa"/>
                  <w:vAlign w:val="center"/>
                </w:tcPr>
                <w:p w14:paraId="660F8DF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p>
              </w:tc>
              <w:tc>
                <w:tcPr>
                  <w:tcW w:w="1197" w:type="dxa"/>
                  <w:vAlign w:val="center"/>
                </w:tcPr>
                <w:p w14:paraId="437A1AC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14:paraId="572CE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exact"/>
                <w:jc w:val="center"/>
              </w:trPr>
              <w:tc>
                <w:tcPr>
                  <w:tcW w:w="995" w:type="dxa"/>
                  <w:vMerge w:val="continue"/>
                  <w:vAlign w:val="center"/>
                </w:tcPr>
                <w:p w14:paraId="4C8D27AE">
                  <w:pPr>
                    <w:jc w:val="center"/>
                    <w:rPr>
                      <w:rFonts w:hint="eastAsia" w:ascii="宋体" w:hAnsi="宋体" w:eastAsia="宋体" w:cs="宋体"/>
                      <w:color w:val="auto"/>
                      <w:sz w:val="21"/>
                      <w:szCs w:val="21"/>
                    </w:rPr>
                  </w:pPr>
                  <w:bookmarkStart w:id="2" w:name="_Hlk321424549"/>
                  <w:bookmarkStart w:id="3" w:name="OLE_LINK4" w:colFirst="2" w:colLast="2"/>
                  <w:bookmarkStart w:id="4" w:name="OLE_LINK3" w:colFirst="2" w:colLast="2"/>
                </w:p>
              </w:tc>
              <w:tc>
                <w:tcPr>
                  <w:tcW w:w="1618" w:type="dxa"/>
                  <w:vAlign w:val="center"/>
                </w:tcPr>
                <w:p w14:paraId="4E12C854">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化粪池</w:t>
                  </w:r>
                </w:p>
              </w:tc>
              <w:tc>
                <w:tcPr>
                  <w:tcW w:w="2603" w:type="dxa"/>
                  <w:vAlign w:val="center"/>
                </w:tcPr>
                <w:p w14:paraId="1185C322">
                  <w:pPr>
                    <w:autoSpaceDE w:val="0"/>
                    <w:autoSpaceDN w:val="0"/>
                    <w:adjustRightInd w:val="0"/>
                    <w:snapToGrid w:val="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eastAsia="zh-CN"/>
                    </w:rPr>
                    <w:t>化粪池占地面积约</w:t>
                  </w:r>
                  <w:r>
                    <w:rPr>
                      <w:rFonts w:hint="eastAsia" w:ascii="宋体" w:hAnsi="宋体" w:eastAsia="宋体" w:cs="宋体"/>
                      <w:color w:val="auto"/>
                      <w:sz w:val="21"/>
                      <w:szCs w:val="21"/>
                      <w:lang w:val="en-US" w:eastAsia="zh-CN"/>
                    </w:rPr>
                    <w:t>15m</w:t>
                  </w:r>
                  <w:r>
                    <w:rPr>
                      <w:rFonts w:hint="eastAsia" w:ascii="宋体" w:hAnsi="宋体" w:eastAsia="宋体" w:cs="宋体"/>
                      <w:color w:val="auto"/>
                      <w:sz w:val="21"/>
                      <w:szCs w:val="21"/>
                      <w:vertAlign w:val="superscript"/>
                      <w:lang w:val="en-US" w:eastAsia="zh-CN"/>
                    </w:rPr>
                    <w:t>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池容积约6m</w:t>
                  </w:r>
                  <w:r>
                    <w:rPr>
                      <w:rFonts w:hint="eastAsia" w:ascii="宋体" w:hAnsi="宋体" w:cs="宋体"/>
                      <w:color w:val="auto"/>
                      <w:sz w:val="21"/>
                      <w:szCs w:val="21"/>
                      <w:vertAlign w:val="superscript"/>
                      <w:lang w:val="en-US" w:eastAsia="zh-CN"/>
                    </w:rPr>
                    <w:t>3</w:t>
                  </w:r>
                </w:p>
              </w:tc>
              <w:tc>
                <w:tcPr>
                  <w:tcW w:w="1873" w:type="dxa"/>
                  <w:vAlign w:val="center"/>
                </w:tcPr>
                <w:p w14:paraId="0C6FAE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4</w:t>
                  </w:r>
                </w:p>
              </w:tc>
              <w:tc>
                <w:tcPr>
                  <w:tcW w:w="1197" w:type="dxa"/>
                  <w:vAlign w:val="center"/>
                </w:tcPr>
                <w:p w14:paraId="206AC3C2">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环评提出</w:t>
                  </w:r>
                </w:p>
              </w:tc>
            </w:tr>
            <w:tr w14:paraId="66301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0" w:hRule="exact"/>
                <w:jc w:val="center"/>
              </w:trPr>
              <w:tc>
                <w:tcPr>
                  <w:tcW w:w="995" w:type="dxa"/>
                  <w:vMerge w:val="continue"/>
                  <w:vAlign w:val="center"/>
                </w:tcPr>
                <w:p w14:paraId="5A3251D5">
                  <w:pPr>
                    <w:jc w:val="center"/>
                    <w:rPr>
                      <w:rFonts w:hint="eastAsia" w:ascii="宋体" w:hAnsi="宋体" w:eastAsia="宋体" w:cs="宋体"/>
                      <w:color w:val="auto"/>
                      <w:sz w:val="21"/>
                      <w:szCs w:val="21"/>
                    </w:rPr>
                  </w:pPr>
                </w:p>
              </w:tc>
              <w:tc>
                <w:tcPr>
                  <w:tcW w:w="1618" w:type="dxa"/>
                  <w:vAlign w:val="center"/>
                </w:tcPr>
                <w:p w14:paraId="339DE3E7">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环卫设施</w:t>
                  </w:r>
                </w:p>
              </w:tc>
              <w:tc>
                <w:tcPr>
                  <w:tcW w:w="2603" w:type="dxa"/>
                  <w:vAlign w:val="center"/>
                </w:tcPr>
                <w:p w14:paraId="5F45C79A">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设置垃圾收集桶</w:t>
                  </w:r>
                </w:p>
              </w:tc>
              <w:tc>
                <w:tcPr>
                  <w:tcW w:w="1873" w:type="dxa"/>
                  <w:vAlign w:val="center"/>
                </w:tcPr>
                <w:p w14:paraId="0A3BE9D5">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04</w:t>
                  </w:r>
                </w:p>
              </w:tc>
              <w:tc>
                <w:tcPr>
                  <w:tcW w:w="1197" w:type="dxa"/>
                  <w:vAlign w:val="center"/>
                </w:tcPr>
                <w:p w14:paraId="3D78765E">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已投入</w:t>
                  </w:r>
                </w:p>
              </w:tc>
            </w:tr>
            <w:tr w14:paraId="456E0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0" w:hRule="exact"/>
                <w:jc w:val="center"/>
              </w:trPr>
              <w:tc>
                <w:tcPr>
                  <w:tcW w:w="995" w:type="dxa"/>
                  <w:vMerge w:val="continue"/>
                  <w:vAlign w:val="center"/>
                </w:tcPr>
                <w:p w14:paraId="40CD2BBB">
                  <w:pPr>
                    <w:jc w:val="center"/>
                    <w:rPr>
                      <w:rFonts w:hint="eastAsia" w:ascii="宋体" w:hAnsi="宋体" w:eastAsia="宋体" w:cs="宋体"/>
                      <w:color w:val="auto"/>
                      <w:sz w:val="21"/>
                      <w:szCs w:val="21"/>
                    </w:rPr>
                  </w:pPr>
                </w:p>
              </w:tc>
              <w:tc>
                <w:tcPr>
                  <w:tcW w:w="1618" w:type="dxa"/>
                  <w:vAlign w:val="center"/>
                </w:tcPr>
                <w:p w14:paraId="0261B842">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噪声防治</w:t>
                  </w:r>
                </w:p>
              </w:tc>
              <w:tc>
                <w:tcPr>
                  <w:tcW w:w="2603" w:type="dxa"/>
                  <w:vAlign w:val="center"/>
                </w:tcPr>
                <w:p w14:paraId="51432AC9">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安装设备减噪设施</w:t>
                  </w:r>
                </w:p>
              </w:tc>
              <w:tc>
                <w:tcPr>
                  <w:tcW w:w="1873" w:type="dxa"/>
                  <w:vAlign w:val="center"/>
                </w:tcPr>
                <w:p w14:paraId="7B308E14">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p>
              </w:tc>
              <w:tc>
                <w:tcPr>
                  <w:tcW w:w="1197" w:type="dxa"/>
                  <w:vAlign w:val="center"/>
                </w:tcPr>
                <w:p w14:paraId="73A22865">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环评提出</w:t>
                  </w:r>
                </w:p>
              </w:tc>
            </w:tr>
            <w:tr w14:paraId="4C74F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exact"/>
                <w:jc w:val="center"/>
              </w:trPr>
              <w:tc>
                <w:tcPr>
                  <w:tcW w:w="995" w:type="dxa"/>
                  <w:vMerge w:val="continue"/>
                  <w:vAlign w:val="center"/>
                </w:tcPr>
                <w:p w14:paraId="46717C7B">
                  <w:pPr>
                    <w:jc w:val="center"/>
                    <w:rPr>
                      <w:rFonts w:hint="eastAsia" w:ascii="宋体" w:hAnsi="宋体" w:eastAsia="宋体" w:cs="宋体"/>
                      <w:color w:val="auto"/>
                      <w:sz w:val="21"/>
                      <w:szCs w:val="21"/>
                    </w:rPr>
                  </w:pPr>
                </w:p>
              </w:tc>
              <w:tc>
                <w:tcPr>
                  <w:tcW w:w="1618" w:type="dxa"/>
                  <w:vAlign w:val="center"/>
                </w:tcPr>
                <w:p w14:paraId="4126EA7B">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废气治理</w:t>
                  </w:r>
                </w:p>
              </w:tc>
              <w:tc>
                <w:tcPr>
                  <w:tcW w:w="2603" w:type="dxa"/>
                  <w:vAlign w:val="center"/>
                </w:tcPr>
                <w:p w14:paraId="27086408">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旋风</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布袋除尘器</w:t>
                  </w:r>
                  <w:r>
                    <w:rPr>
                      <w:rFonts w:hint="eastAsia" w:ascii="宋体" w:hAnsi="宋体" w:eastAsia="宋体" w:cs="宋体"/>
                      <w:color w:val="auto"/>
                      <w:sz w:val="21"/>
                      <w:szCs w:val="21"/>
                      <w:lang w:val="en-US" w:eastAsia="zh-CN"/>
                    </w:rPr>
                    <w:t>1套+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5m烟囱</w:t>
                  </w:r>
                </w:p>
              </w:tc>
              <w:tc>
                <w:tcPr>
                  <w:tcW w:w="1873" w:type="dxa"/>
                  <w:vAlign w:val="center"/>
                </w:tcPr>
                <w:p w14:paraId="15E5DA10">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197" w:type="dxa"/>
                  <w:vAlign w:val="center"/>
                </w:tcPr>
                <w:p w14:paraId="1E24006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14:paraId="3B63FB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 w:hRule="exact"/>
                <w:jc w:val="center"/>
              </w:trPr>
              <w:tc>
                <w:tcPr>
                  <w:tcW w:w="995" w:type="dxa"/>
                  <w:vAlign w:val="center"/>
                </w:tcPr>
                <w:p w14:paraId="756DE7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1618" w:type="dxa"/>
                  <w:vAlign w:val="center"/>
                </w:tcPr>
                <w:p w14:paraId="4D3D18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绿化及景观</w:t>
                  </w:r>
                </w:p>
              </w:tc>
              <w:tc>
                <w:tcPr>
                  <w:tcW w:w="2603" w:type="dxa"/>
                  <w:vAlign w:val="center"/>
                </w:tcPr>
                <w:p w14:paraId="2F34A40B">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绿化面积</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1873" w:type="dxa"/>
                  <w:vAlign w:val="center"/>
                </w:tcPr>
                <w:p w14:paraId="73E00DB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1197" w:type="dxa"/>
                  <w:vAlign w:val="center"/>
                </w:tcPr>
                <w:p w14:paraId="2DD5557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已投入</w:t>
                  </w:r>
                </w:p>
              </w:tc>
            </w:tr>
            <w:bookmarkEnd w:id="2"/>
            <w:bookmarkEnd w:id="3"/>
            <w:bookmarkEnd w:id="4"/>
            <w:tr w14:paraId="3EC9D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exact"/>
                <w:jc w:val="center"/>
              </w:trPr>
              <w:tc>
                <w:tcPr>
                  <w:tcW w:w="5216" w:type="dxa"/>
                  <w:gridSpan w:val="3"/>
                  <w:vAlign w:val="center"/>
                </w:tcPr>
                <w:p w14:paraId="39AB5F5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3070" w:type="dxa"/>
                  <w:gridSpan w:val="2"/>
                  <w:vAlign w:val="center"/>
                </w:tcPr>
                <w:p w14:paraId="1881028D">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8.48</w:t>
                  </w:r>
                </w:p>
              </w:tc>
            </w:tr>
          </w:tbl>
          <w:p w14:paraId="3ED53B8B">
            <w:pPr>
              <w:spacing w:line="360" w:lineRule="auto"/>
              <w:rPr>
                <w:rFonts w:hint="eastAsia" w:ascii="Times New Roman" w:hAnsi="Times New Roman"/>
                <w:b/>
                <w:bCs/>
                <w:color w:val="auto"/>
                <w:sz w:val="24"/>
              </w:rPr>
            </w:pPr>
            <w:r>
              <w:rPr>
                <w:rFonts w:hint="eastAsia" w:ascii="Times New Roman" w:hAnsi="Times New Roman"/>
                <w:b/>
                <w:bCs/>
                <w:color w:val="auto"/>
                <w:sz w:val="24"/>
              </w:rPr>
              <w:t>与本项目有关的原有污染情况及主要环境问题</w:t>
            </w:r>
          </w:p>
          <w:p w14:paraId="2724567F">
            <w:pPr>
              <w:pStyle w:val="16"/>
              <w:spacing w:line="360" w:lineRule="auto"/>
              <w:ind w:firstLine="480" w:firstLineChars="200"/>
              <w:textAlignment w:val="baseline"/>
              <w:rPr>
                <w:rFonts w:hint="eastAsia" w:ascii="Times New Roman" w:hAnsi="Times New Roman" w:cs="Times New Roman"/>
                <w:b w:val="0"/>
                <w:bCs/>
                <w:color w:val="auto"/>
                <w:kern w:val="0"/>
                <w:sz w:val="24"/>
                <w:szCs w:val="24"/>
                <w:highlight w:val="none"/>
                <w:u w:val="none" w:color="auto"/>
                <w:lang w:val="en-US" w:eastAsia="zh-CN"/>
              </w:rPr>
            </w:pPr>
            <w:r>
              <w:rPr>
                <w:rFonts w:hint="eastAsia" w:ascii="Times New Roman" w:hAnsi="Times New Roman"/>
                <w:color w:val="auto"/>
                <w:sz w:val="24"/>
                <w:szCs w:val="24"/>
                <w:u w:val="none"/>
              </w:rPr>
              <w:t>本项目为新建项目</w:t>
            </w:r>
            <w:r>
              <w:rPr>
                <w:rFonts w:hint="eastAsia" w:ascii="Times New Roman" w:hAnsi="Times New Roman" w:cs="Times New Roman"/>
                <w:color w:val="auto"/>
                <w:sz w:val="24"/>
                <w:szCs w:val="24"/>
                <w:u w:val="none"/>
              </w:rPr>
              <w:t>，</w:t>
            </w:r>
            <w:r>
              <w:rPr>
                <w:rFonts w:hint="default" w:ascii="Times New Roman" w:hAnsi="Times New Roman" w:eastAsia="宋体" w:cs="Times New Roman"/>
                <w:b w:val="0"/>
                <w:bCs/>
                <w:snapToGrid/>
                <w:color w:val="auto"/>
                <w:sz w:val="24"/>
                <w:highlight w:val="none"/>
                <w:u w:val="none" w:color="auto"/>
              </w:rPr>
              <w:t>项目位于</w:t>
            </w:r>
            <w:r>
              <w:rPr>
                <w:rFonts w:hint="eastAsia" w:ascii="宋体" w:hAnsi="宋体" w:eastAsia="宋体" w:cs="宋体"/>
                <w:color w:val="auto"/>
                <w:sz w:val="24"/>
                <w:szCs w:val="24"/>
              </w:rPr>
              <w:t>芒市</w:t>
            </w:r>
            <w:r>
              <w:rPr>
                <w:rFonts w:hint="eastAsia" w:ascii="宋体" w:hAnsi="宋体" w:eastAsia="宋体" w:cs="宋体"/>
                <w:color w:val="auto"/>
                <w:sz w:val="24"/>
                <w:szCs w:val="24"/>
                <w:lang w:eastAsia="zh-CN"/>
              </w:rPr>
              <w:t>轩岗乡遮相居委会第一居民小组</w:t>
            </w:r>
            <w:r>
              <w:rPr>
                <w:rFonts w:hint="eastAsia" w:ascii="Times New Roman" w:hAnsi="Times New Roman" w:cs="Times New Roman"/>
                <w:b w:val="0"/>
                <w:bCs/>
                <w:color w:val="auto"/>
                <w:kern w:val="0"/>
                <w:sz w:val="24"/>
                <w:szCs w:val="24"/>
                <w:highlight w:val="none"/>
                <w:u w:val="none" w:color="auto"/>
                <w:lang w:val="en-US" w:eastAsia="zh-CN"/>
              </w:rPr>
              <w:t>。</w:t>
            </w:r>
            <w:r>
              <w:rPr>
                <w:rFonts w:hint="eastAsia" w:ascii="Times New Roman" w:hAnsi="Times New Roman" w:cs="Times New Roman"/>
                <w:color w:val="auto"/>
                <w:sz w:val="24"/>
                <w:szCs w:val="24"/>
                <w:u w:val="none"/>
              </w:rPr>
              <w:t>根据现场踏勘，项目存在的主要环境问题有</w:t>
            </w:r>
            <w:r>
              <w:rPr>
                <w:rFonts w:hint="eastAsia" w:ascii="Times New Roman" w:hAnsi="Times New Roman" w:cs="Times New Roman"/>
                <w:b w:val="0"/>
                <w:bCs/>
                <w:color w:val="auto"/>
                <w:kern w:val="0"/>
                <w:sz w:val="24"/>
                <w:szCs w:val="24"/>
                <w:highlight w:val="none"/>
                <w:u w:val="none" w:color="auto"/>
                <w:lang w:val="en-US" w:eastAsia="zh-CN"/>
              </w:rPr>
              <w:t>：项目未设置化粪池；项目食堂未设置隔油池，达不到食堂废水隔油效果；项目食堂未安装油烟净化器，食堂油烟无法达标排放；项目除尘设备不符合要求；本次项目改造后，依据环评内容进行环保设施改造，解决原有环保问题。</w:t>
            </w:r>
          </w:p>
          <w:p w14:paraId="2AC25890">
            <w:pPr>
              <w:pStyle w:val="16"/>
              <w:spacing w:line="360" w:lineRule="auto"/>
              <w:ind w:firstLine="480" w:firstLineChars="200"/>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539105C0">
            <w:pPr>
              <w:pStyle w:val="16"/>
              <w:spacing w:line="360" w:lineRule="auto"/>
              <w:ind w:firstLine="480" w:firstLineChars="200"/>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4166B171">
            <w:pPr>
              <w:pStyle w:val="16"/>
              <w:spacing w:line="360" w:lineRule="auto"/>
              <w:ind w:firstLine="480" w:firstLineChars="200"/>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3C88E449">
            <w:pPr>
              <w:pStyle w:val="16"/>
              <w:spacing w:line="360" w:lineRule="auto"/>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164517EB">
            <w:pPr>
              <w:pStyle w:val="16"/>
              <w:spacing w:line="360" w:lineRule="auto"/>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492E37D0">
            <w:pPr>
              <w:pStyle w:val="16"/>
              <w:spacing w:line="360" w:lineRule="auto"/>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7D698BAB">
            <w:pPr>
              <w:pStyle w:val="16"/>
              <w:spacing w:line="360" w:lineRule="auto"/>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27CAD088">
            <w:pPr>
              <w:pStyle w:val="16"/>
              <w:spacing w:line="360" w:lineRule="auto"/>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52715992">
            <w:pPr>
              <w:pStyle w:val="16"/>
              <w:spacing w:line="360" w:lineRule="auto"/>
              <w:textAlignment w:val="baseline"/>
              <w:rPr>
                <w:rFonts w:hint="eastAsia" w:ascii="Times New Roman" w:hAnsi="Times New Roman" w:cs="Times New Roman"/>
                <w:b w:val="0"/>
                <w:bCs/>
                <w:color w:val="auto"/>
                <w:kern w:val="0"/>
                <w:sz w:val="24"/>
                <w:szCs w:val="24"/>
                <w:highlight w:val="none"/>
                <w:u w:val="none" w:color="auto"/>
                <w:lang w:val="en-US" w:eastAsia="zh-CN"/>
              </w:rPr>
            </w:pPr>
          </w:p>
          <w:p w14:paraId="42EED12E">
            <w:pPr>
              <w:pStyle w:val="16"/>
              <w:spacing w:line="360" w:lineRule="auto"/>
              <w:textAlignment w:val="baseline"/>
              <w:rPr>
                <w:rFonts w:hint="eastAsia" w:ascii="Times New Roman" w:hAnsi="Times New Roman" w:cs="Times New Roman"/>
                <w:b w:val="0"/>
                <w:bCs/>
                <w:color w:val="auto"/>
                <w:kern w:val="0"/>
                <w:sz w:val="24"/>
                <w:szCs w:val="24"/>
                <w:highlight w:val="none"/>
                <w:u w:val="none" w:color="auto"/>
                <w:lang w:val="en-US" w:eastAsia="zh-CN"/>
              </w:rPr>
            </w:pPr>
          </w:p>
        </w:tc>
      </w:tr>
    </w:tbl>
    <w:p w14:paraId="5A6D8241">
      <w:pPr>
        <w:keepNext w:val="0"/>
        <w:keepLines w:val="0"/>
        <w:pageBreakBefore w:val="0"/>
        <w:widowControl w:val="0"/>
        <w:kinsoku/>
        <w:wordWrap/>
        <w:overflowPunct/>
        <w:topLinePunct w:val="0"/>
        <w:autoSpaceDE/>
        <w:autoSpaceDN/>
        <w:bidi w:val="0"/>
        <w:adjustRightInd/>
        <w:snapToGrid/>
        <w:textAlignment w:val="auto"/>
        <w:outlineLvl w:val="0"/>
        <w:rPr>
          <w:rFonts w:ascii="Times New Roman" w:hAnsi="Times New Roman"/>
          <w:b/>
          <w:bCs/>
          <w:color w:val="auto"/>
          <w:sz w:val="32"/>
          <w:szCs w:val="32"/>
        </w:rPr>
      </w:pPr>
      <w:r>
        <w:rPr>
          <w:rFonts w:hint="eastAsia" w:ascii="Times New Roman" w:hAnsi="Times New Roman"/>
          <w:b/>
          <w:bCs/>
          <w:color w:val="auto"/>
          <w:sz w:val="32"/>
          <w:szCs w:val="32"/>
        </w:rPr>
        <w:t>表</w:t>
      </w:r>
      <w:r>
        <w:rPr>
          <w:rFonts w:ascii="Times New Roman" w:hAnsi="Times New Roman"/>
          <w:b/>
          <w:bCs/>
          <w:color w:val="auto"/>
          <w:sz w:val="32"/>
          <w:szCs w:val="32"/>
        </w:rPr>
        <w:t>二、建设项目所在地自然环境社会环境简况</w:t>
      </w:r>
    </w:p>
    <w:tbl>
      <w:tblPr>
        <w:tblStyle w:val="24"/>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3"/>
      </w:tblGrid>
      <w:tr w14:paraId="3A73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6" w:hRule="atLeast"/>
          <w:jc w:val="center"/>
        </w:trPr>
        <w:tc>
          <w:tcPr>
            <w:tcW w:w="8913" w:type="dxa"/>
            <w:vAlign w:val="top"/>
          </w:tcPr>
          <w:p w14:paraId="0B4F8360">
            <w:pPr>
              <w:spacing w:line="360" w:lineRule="auto"/>
              <w:rPr>
                <w:rFonts w:hint="eastAsia" w:ascii="Times New Roman" w:hAnsi="Times New Roman" w:cs="宋体"/>
                <w:b/>
                <w:color w:val="auto"/>
                <w:spacing w:val="-12"/>
                <w:sz w:val="24"/>
                <w:szCs w:val="24"/>
              </w:rPr>
            </w:pPr>
            <w:r>
              <w:rPr>
                <w:rFonts w:hint="eastAsia" w:ascii="Times New Roman" w:hAnsi="Times New Roman" w:cs="宋体"/>
                <w:b/>
                <w:color w:val="auto"/>
                <w:spacing w:val="-12"/>
                <w:sz w:val="24"/>
                <w:szCs w:val="24"/>
              </w:rPr>
              <w:t>自然环境简况（地形、地貌、地质、气候、气象、水文、植被、生物多样性等）：</w:t>
            </w:r>
          </w:p>
          <w:p w14:paraId="7FD951AE">
            <w:pPr>
              <w:spacing w:line="360" w:lineRule="auto"/>
              <w:rPr>
                <w:rFonts w:hint="eastAsia" w:ascii="Times New Roman" w:hAnsi="Times New Roman" w:cs="宋体"/>
                <w:b/>
                <w:bCs/>
                <w:color w:val="auto"/>
                <w:sz w:val="24"/>
                <w:szCs w:val="24"/>
              </w:rPr>
            </w:pPr>
            <w:r>
              <w:rPr>
                <w:rFonts w:hint="eastAsia" w:ascii="Times New Roman" w:hAnsi="Times New Roman" w:cs="宋体"/>
                <w:b/>
                <w:bCs/>
                <w:color w:val="auto"/>
                <w:sz w:val="24"/>
                <w:szCs w:val="24"/>
              </w:rPr>
              <w:t>1、地理位置</w:t>
            </w:r>
          </w:p>
          <w:p w14:paraId="14A8E2FD">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芒市位于云南省西南部，其经纬位置介于东经98°05′~98°44′、北纬24°05′~24°39′之间。东部和东北部与保山市龙陵县接壤，西南部与瑞丽市、畹町经济开发区相连，西、西北部与陇川县隔龙江（陇川江）相望，南部与缅甸毗邻，国境线长68.3㎞。市政府驻地芒市镇，同时是州府驻地，陆距省会昆明679km，空距427km。芒市冬无严寒、夏无酷暑，花开四季、果结终年，具有良好的生态环境，是典型的南亚热带季风气候。近年来，云南省政府将芒市列入全省47个县域经济试点县、30个省级重点工业园区、40个省级重点工业强县和25个“兴边富民”县之一。</w:t>
            </w:r>
          </w:p>
          <w:p w14:paraId="7E3330A0">
            <w:pPr>
              <w:pStyle w:val="50"/>
              <w:adjustRightInd w:val="0"/>
              <w:snapToGrid w:val="0"/>
              <w:spacing w:line="360" w:lineRule="auto"/>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项目区位于云南省德宏州芒市</w:t>
            </w:r>
            <w:r>
              <w:rPr>
                <w:rFonts w:hint="eastAsia" w:ascii="宋体" w:hAnsi="宋体" w:eastAsia="宋体" w:cs="宋体"/>
                <w:color w:val="auto"/>
                <w:sz w:val="24"/>
                <w:szCs w:val="24"/>
                <w:lang w:eastAsia="zh-CN"/>
              </w:rPr>
              <w:t>轩岗乡遮相居委会第一居民小组，</w:t>
            </w:r>
            <w:r>
              <w:rPr>
                <w:rFonts w:hint="eastAsia" w:ascii="宋体" w:hAnsi="宋体" w:eastAsia="宋体" w:cs="宋体"/>
                <w:color w:val="auto"/>
                <w:sz w:val="24"/>
                <w:szCs w:val="24"/>
              </w:rPr>
              <w:t>项目建设场地交通便利，供排水设施完善，水电供应有保障。</w:t>
            </w:r>
            <w:r>
              <w:rPr>
                <w:rFonts w:hint="eastAsia" w:ascii="宋体" w:hAnsi="宋体" w:eastAsia="宋体" w:cs="宋体"/>
                <w:color w:val="auto"/>
                <w:sz w:val="24"/>
                <w:szCs w:val="24"/>
                <w:lang w:val="en-US" w:eastAsia="zh-CN"/>
              </w:rPr>
              <w:t>详见附图2项目地理位置图。</w:t>
            </w:r>
          </w:p>
          <w:p w14:paraId="60D4BD3E">
            <w:pPr>
              <w:widowControl/>
              <w:shd w:val="clear" w:color="auto" w:fill="FFFFFF"/>
              <w:spacing w:line="360" w:lineRule="auto"/>
              <w:jc w:val="left"/>
              <w:rPr>
                <w:rFonts w:hint="eastAsia" w:ascii="Times New Roman" w:hAnsi="Times New Roman" w:cs="宋体"/>
                <w:b/>
                <w:bCs/>
                <w:color w:val="auto"/>
                <w:sz w:val="24"/>
                <w:szCs w:val="24"/>
              </w:rPr>
            </w:pPr>
            <w:r>
              <w:rPr>
                <w:rFonts w:hint="eastAsia" w:ascii="Times New Roman" w:hAnsi="Times New Roman" w:cs="宋体"/>
                <w:b/>
                <w:bCs/>
                <w:color w:val="auto"/>
                <w:sz w:val="24"/>
                <w:szCs w:val="24"/>
              </w:rPr>
              <w:t>2、地形、地貌</w:t>
            </w:r>
          </w:p>
          <w:p w14:paraId="59E6275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芒市是云南省土地资源最为丰富多样的县（市）之一。其区位条件独特，处于德宏州对外开放的咽喉位置，是我国连接东南亚南亚的重要纽带和桥梁中的关键环节，优势明显；地貌上属中低山宽谷盆地区，拥有芒市坝、遮放坝等著名的坝子（盆地）。</w:t>
            </w:r>
          </w:p>
          <w:p w14:paraId="118D19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位于德宏州芒市，项目区属山间盆地地貌。芒市全境是以中、低山山地为主的低纬山原地区。最高海拔2377m（背阴山主峰），最低海拔807m（广母村）。山地面积占89%，盆坝平地河谷占11%；海拔210.0m至3404.6m，山脊线多在海拔2000m上下，山体多为东北至西南走向，东北高而峻峭，西南低而宽缓，向西南倾斜展布，河谷与断裂带走向一致，甚至发育在断裂带上。</w:t>
            </w:r>
          </w:p>
          <w:p w14:paraId="3877B67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芒市海拔高差悬殊很大，山谷、河流、盆谷走向一致，并呈相间平行排列势态，展现了两山夹一峡谷、一条河、一个盆坝的地貌特征。以溶蚀槽谷、溶蚀洼地、漏斗、溶洞、落水洞、溶牙、溶峰等地貌较为显著。</w:t>
            </w:r>
          </w:p>
          <w:p w14:paraId="5B75CE3E">
            <w:pPr>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项目区位于云南省德宏州芒市</w:t>
            </w:r>
            <w:r>
              <w:rPr>
                <w:rFonts w:hint="eastAsia" w:ascii="宋体" w:hAnsi="宋体" w:eastAsia="宋体" w:cs="宋体"/>
                <w:color w:val="auto"/>
                <w:sz w:val="24"/>
                <w:szCs w:val="24"/>
                <w:lang w:eastAsia="zh-CN"/>
              </w:rPr>
              <w:t>轩岗乡遮相居委会第一居民小组</w:t>
            </w:r>
            <w:r>
              <w:rPr>
                <w:rFonts w:hint="eastAsia" w:ascii="宋体" w:hAnsi="宋体" w:eastAsia="宋体" w:cs="宋体"/>
                <w:color w:val="auto"/>
                <w:sz w:val="24"/>
                <w:szCs w:val="24"/>
              </w:rPr>
              <w:t>，项目建设地点</w:t>
            </w:r>
            <w:r>
              <w:rPr>
                <w:rFonts w:hint="eastAsia" w:ascii="宋体" w:hAnsi="宋体" w:eastAsia="宋体" w:cs="宋体"/>
                <w:color w:val="auto"/>
                <w:kern w:val="0"/>
                <w:sz w:val="24"/>
                <w:szCs w:val="24"/>
                <w:lang w:val="zh-CN"/>
              </w:rPr>
              <w:t>附近无不良物理地质情况</w:t>
            </w:r>
            <w:r>
              <w:rPr>
                <w:rFonts w:hint="eastAsia" w:ascii="宋体" w:hAnsi="宋体" w:eastAsia="宋体" w:cs="宋体"/>
                <w:color w:val="auto"/>
                <w:sz w:val="24"/>
                <w:szCs w:val="24"/>
              </w:rPr>
              <w:t>，符合建设用地要求。</w:t>
            </w:r>
          </w:p>
          <w:p w14:paraId="21ABBC41">
            <w:pPr>
              <w:spacing w:line="360" w:lineRule="auto"/>
              <w:rPr>
                <w:rFonts w:hint="eastAsia" w:ascii="Times New Roman" w:hAnsi="Times New Roman" w:cs="宋体"/>
                <w:b/>
                <w:bCs/>
                <w:color w:val="auto"/>
                <w:sz w:val="24"/>
                <w:szCs w:val="24"/>
              </w:rPr>
            </w:pPr>
            <w:r>
              <w:rPr>
                <w:rFonts w:hint="eastAsia" w:ascii="Times New Roman" w:hAnsi="Times New Roman" w:cs="宋体"/>
                <w:b/>
                <w:bCs/>
                <w:color w:val="auto"/>
                <w:sz w:val="24"/>
                <w:szCs w:val="24"/>
              </w:rPr>
              <w:t>3、水文水系</w:t>
            </w:r>
          </w:p>
          <w:p w14:paraId="4EC0006C">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芒市水系主要有“三江四河”。三江：大盈江、瑞丽江（陇川江）、怒江；四河：芒市河、南畹河、户撒河、芒东河（萝卜坝河）。芒市年平均总产水量31.8亿</w:t>
            </w:r>
            <w:r>
              <w:rPr>
                <w:rFonts w:hint="eastAsia" w:ascii="Times New Roman" w:hAnsi="Times New Roman"/>
                <w:color w:val="auto"/>
                <w:sz w:val="24"/>
                <w:szCs w:val="24"/>
              </w:rPr>
              <w:t>m³</w:t>
            </w:r>
            <w:r>
              <w:rPr>
                <w:rFonts w:ascii="Times New Roman" w:hAnsi="Times New Roman"/>
                <w:color w:val="auto"/>
                <w:sz w:val="24"/>
                <w:szCs w:val="24"/>
              </w:rPr>
              <w:t>，其中地表水23.11亿</w:t>
            </w:r>
            <w:r>
              <w:rPr>
                <w:rFonts w:hint="eastAsia" w:ascii="Times New Roman" w:hAnsi="Times New Roman"/>
                <w:color w:val="auto"/>
                <w:sz w:val="24"/>
                <w:szCs w:val="24"/>
              </w:rPr>
              <w:t>m³</w:t>
            </w:r>
            <w:r>
              <w:rPr>
                <w:rFonts w:ascii="Times New Roman" w:hAnsi="Times New Roman"/>
                <w:color w:val="auto"/>
                <w:sz w:val="24"/>
                <w:szCs w:val="24"/>
              </w:rPr>
              <w:t>，地下水8.69亿</w:t>
            </w:r>
            <w:r>
              <w:rPr>
                <w:rFonts w:hint="eastAsia" w:ascii="Times New Roman" w:hAnsi="Times New Roman"/>
                <w:color w:val="auto"/>
                <w:sz w:val="24"/>
                <w:szCs w:val="24"/>
              </w:rPr>
              <w:t>m³</w:t>
            </w:r>
            <w:r>
              <w:rPr>
                <w:rFonts w:ascii="Times New Roman" w:hAnsi="Times New Roman"/>
                <w:color w:val="auto"/>
                <w:sz w:val="24"/>
                <w:szCs w:val="24"/>
              </w:rPr>
              <w:t>。</w:t>
            </w:r>
          </w:p>
          <w:p w14:paraId="4551BF9B">
            <w:pPr>
              <w:widowControl/>
              <w:adjustRightInd w:val="0"/>
              <w:snapToGrid w:val="0"/>
              <w:spacing w:line="360" w:lineRule="auto"/>
              <w:ind w:firstLine="480" w:firstLineChars="200"/>
              <w:jc w:val="left"/>
              <w:rPr>
                <w:rFonts w:ascii="Times New Roman" w:hAnsi="Times New Roman"/>
                <w:color w:val="auto"/>
                <w:sz w:val="24"/>
                <w:szCs w:val="24"/>
              </w:rPr>
            </w:pPr>
            <w:r>
              <w:rPr>
                <w:rFonts w:ascii="Times New Roman" w:hAnsi="Times New Roman"/>
                <w:color w:val="auto"/>
                <w:sz w:val="24"/>
                <w:szCs w:val="24"/>
              </w:rPr>
              <w:t>芒市年均地表水量为23.11亿m</w:t>
            </w:r>
            <w:r>
              <w:rPr>
                <w:rFonts w:ascii="Times New Roman" w:hAnsi="Times New Roman"/>
                <w:color w:val="auto"/>
                <w:sz w:val="24"/>
                <w:szCs w:val="24"/>
                <w:vertAlign w:val="superscript"/>
              </w:rPr>
              <w:t>3</w:t>
            </w:r>
            <w:r>
              <w:rPr>
                <w:rFonts w:ascii="Times New Roman" w:hAnsi="Times New Roman"/>
                <w:color w:val="auto"/>
                <w:sz w:val="24"/>
                <w:szCs w:val="24"/>
              </w:rPr>
              <w:t>，河流分别属于伊洛瓦底江和怒江水系。其中伊洛瓦底江流域面积为2360km</w:t>
            </w:r>
            <w:r>
              <w:rPr>
                <w:rFonts w:ascii="Times New Roman" w:hAnsi="Times New Roman"/>
                <w:color w:val="auto"/>
                <w:sz w:val="24"/>
                <w:szCs w:val="24"/>
                <w:vertAlign w:val="superscript"/>
              </w:rPr>
              <w:t>2</w:t>
            </w:r>
            <w:r>
              <w:rPr>
                <w:rFonts w:ascii="Times New Roman" w:hAnsi="Times New Roman"/>
                <w:color w:val="auto"/>
                <w:sz w:val="24"/>
                <w:szCs w:val="24"/>
              </w:rPr>
              <w:t>，占全市总流域面积的80.5%，流域内水系发育呈叶脉状，有大小河流139条，主要河流有南乃河、芒岗河、户阳河、邵址河、板过河、二级支流主要有放马桥河、中河、户养河、轩岗河等；怒江流域面积为570.7km</w:t>
            </w:r>
            <w:r>
              <w:rPr>
                <w:rFonts w:ascii="Times New Roman" w:hAnsi="Times New Roman"/>
                <w:color w:val="auto"/>
                <w:sz w:val="24"/>
                <w:szCs w:val="24"/>
                <w:vertAlign w:val="superscript"/>
              </w:rPr>
              <w:t>2</w:t>
            </w:r>
            <w:r>
              <w:rPr>
                <w:rFonts w:ascii="Times New Roman" w:hAnsi="Times New Roman"/>
                <w:color w:val="auto"/>
                <w:sz w:val="24"/>
                <w:szCs w:val="24"/>
              </w:rPr>
              <w:t>，占全市总流域面积的19.5%，流域内水系发育呈叶脉状，有大小河流90条，主要支流有：朗油河、即毕河、万马河、清水河和芒辛河等。本项目建设区周边的河流主要为板过河，汇至贯穿城市南北方向的瑞丽江流域上游芒市大河。</w:t>
            </w:r>
          </w:p>
          <w:p w14:paraId="5B7AACB1">
            <w:pPr>
              <w:widowControl/>
              <w:adjustRightInd w:val="0"/>
              <w:snapToGrid w:val="0"/>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项目区</w:t>
            </w:r>
            <w:r>
              <w:rPr>
                <w:rFonts w:hint="eastAsia" w:ascii="宋体" w:hAnsi="宋体" w:eastAsia="宋体" w:cs="宋体"/>
                <w:color w:val="auto"/>
                <w:sz w:val="24"/>
                <w:szCs w:val="24"/>
                <w:lang w:eastAsia="zh-CN"/>
              </w:rPr>
              <w:t>南面</w:t>
            </w: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km处为芒市</w:t>
            </w:r>
            <w:r>
              <w:rPr>
                <w:rFonts w:hint="eastAsia" w:ascii="宋体" w:hAnsi="宋体" w:cs="宋体"/>
                <w:color w:val="auto"/>
                <w:sz w:val="24"/>
                <w:szCs w:val="24"/>
                <w:lang w:eastAsia="zh-CN"/>
              </w:rPr>
              <w:t>大</w:t>
            </w:r>
            <w:r>
              <w:rPr>
                <w:rFonts w:hint="eastAsia" w:ascii="宋体" w:hAnsi="宋体" w:eastAsia="宋体" w:cs="宋体"/>
                <w:color w:val="auto"/>
                <w:sz w:val="24"/>
                <w:szCs w:val="24"/>
              </w:rPr>
              <w:t>河，项目区具体水文水系情况详见附图3项目区水文水系图。</w:t>
            </w:r>
          </w:p>
          <w:p w14:paraId="7286540E">
            <w:pPr>
              <w:adjustRightInd w:val="0"/>
              <w:snapToGrid w:val="0"/>
              <w:spacing w:line="360" w:lineRule="auto"/>
              <w:rPr>
                <w:rFonts w:ascii="Times New Roman" w:hAnsi="Times New Roman"/>
                <w:b/>
                <w:color w:val="auto"/>
                <w:sz w:val="24"/>
                <w:szCs w:val="24"/>
              </w:rPr>
            </w:pPr>
            <w:r>
              <w:rPr>
                <w:rFonts w:hint="eastAsia" w:ascii="Times New Roman" w:hAnsi="Times New Roman" w:cs="宋体"/>
                <w:b/>
                <w:bCs/>
                <w:color w:val="auto"/>
                <w:sz w:val="24"/>
                <w:szCs w:val="24"/>
              </w:rPr>
              <w:t>4、</w:t>
            </w:r>
            <w:r>
              <w:rPr>
                <w:rFonts w:ascii="Times New Roman" w:hAnsi="Times New Roman"/>
                <w:b/>
                <w:color w:val="auto"/>
                <w:sz w:val="24"/>
                <w:szCs w:val="24"/>
              </w:rPr>
              <w:t>气候气象</w:t>
            </w:r>
          </w:p>
          <w:p w14:paraId="2129A449">
            <w:pPr>
              <w:keepNext w:val="0"/>
              <w:keepLines w:val="0"/>
              <w:pageBreakBefore w:val="0"/>
              <w:kinsoku/>
              <w:wordWrap/>
              <w:overflowPunct/>
              <w:topLinePunct w:val="0"/>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rPr>
            </w:pPr>
            <w:bookmarkStart w:id="5" w:name="_Toc298142767"/>
            <w:bookmarkStart w:id="6" w:name="_Toc290970285"/>
            <w:r>
              <w:rPr>
                <w:rFonts w:hint="eastAsia" w:ascii="宋体" w:hAnsi="宋体" w:eastAsia="宋体" w:cs="宋体"/>
                <w:b w:val="0"/>
                <w:bCs w:val="0"/>
                <w:i w:val="0"/>
                <w:iCs w:val="0"/>
                <w:color w:val="auto"/>
                <w:sz w:val="24"/>
                <w:szCs w:val="24"/>
                <w:lang w:eastAsia="zh-CN"/>
              </w:rPr>
              <w:t>2018年</w:t>
            </w:r>
            <w:r>
              <w:rPr>
                <w:rFonts w:hint="eastAsia" w:ascii="宋体" w:hAnsi="宋体" w:eastAsia="宋体" w:cs="宋体"/>
                <w:b w:val="0"/>
                <w:bCs w:val="0"/>
                <w:i w:val="0"/>
                <w:iCs w:val="0"/>
                <w:color w:val="auto"/>
                <w:sz w:val="24"/>
                <w:szCs w:val="24"/>
              </w:rPr>
              <w:t>芒市</w:t>
            </w:r>
            <w:r>
              <w:rPr>
                <w:rFonts w:hint="eastAsia" w:ascii="宋体" w:hAnsi="宋体" w:eastAsia="宋体" w:cs="宋体"/>
                <w:b w:val="0"/>
                <w:bCs w:val="0"/>
                <w:i w:val="0"/>
                <w:iCs w:val="0"/>
                <w:color w:val="auto"/>
                <w:sz w:val="24"/>
                <w:szCs w:val="24"/>
                <w:lang w:eastAsia="zh-CN"/>
              </w:rPr>
              <w:t>气象观测站的</w:t>
            </w:r>
            <w:r>
              <w:rPr>
                <w:rFonts w:hint="eastAsia" w:ascii="宋体" w:hAnsi="宋体" w:eastAsia="宋体" w:cs="宋体"/>
                <w:b w:val="0"/>
                <w:bCs w:val="0"/>
                <w:i w:val="0"/>
                <w:iCs w:val="0"/>
                <w:color w:val="auto"/>
                <w:sz w:val="24"/>
                <w:szCs w:val="24"/>
              </w:rPr>
              <w:t>年平均气温为2</w:t>
            </w:r>
            <w:r>
              <w:rPr>
                <w:rFonts w:hint="eastAsia" w:ascii="宋体" w:hAnsi="宋体" w:eastAsia="宋体" w:cs="宋体"/>
                <w:b w:val="0"/>
                <w:bCs w:val="0"/>
                <w:i w:val="0"/>
                <w:iCs w:val="0"/>
                <w:color w:val="auto"/>
                <w:sz w:val="24"/>
                <w:szCs w:val="24"/>
                <w:lang w:val="en-US" w:eastAsia="zh-CN"/>
              </w:rPr>
              <w:t>0</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lang w:val="en-US" w:eastAsia="zh-CN"/>
              </w:rPr>
              <w:t>5</w:t>
            </w:r>
            <w:r>
              <w:rPr>
                <w:rFonts w:hint="eastAsia" w:ascii="宋体" w:hAnsi="宋体" w:eastAsia="宋体" w:cs="宋体"/>
                <w:b w:val="0"/>
                <w:bCs w:val="0"/>
                <w:i w:val="0"/>
                <w:iCs w:val="0"/>
                <w:color w:val="auto"/>
                <w:sz w:val="24"/>
                <w:szCs w:val="24"/>
              </w:rPr>
              <w:t>℃，比</w:t>
            </w:r>
            <w:r>
              <w:rPr>
                <w:rFonts w:hint="eastAsia" w:ascii="宋体" w:hAnsi="宋体" w:eastAsia="宋体" w:cs="宋体"/>
                <w:b w:val="0"/>
                <w:bCs w:val="0"/>
                <w:i w:val="0"/>
                <w:iCs w:val="0"/>
                <w:color w:val="auto"/>
                <w:sz w:val="24"/>
                <w:szCs w:val="24"/>
                <w:lang w:eastAsia="zh-CN"/>
              </w:rPr>
              <w:t>2017年</w:t>
            </w:r>
            <w:r>
              <w:rPr>
                <w:rFonts w:hint="eastAsia" w:ascii="宋体" w:hAnsi="宋体" w:eastAsia="宋体" w:cs="宋体"/>
                <w:b w:val="0"/>
                <w:bCs w:val="0"/>
                <w:i w:val="0"/>
                <w:iCs w:val="0"/>
                <w:color w:val="auto"/>
                <w:sz w:val="24"/>
                <w:szCs w:val="24"/>
              </w:rPr>
              <w:t>偏</w:t>
            </w:r>
            <w:r>
              <w:rPr>
                <w:rFonts w:hint="eastAsia" w:ascii="宋体" w:hAnsi="宋体" w:eastAsia="宋体" w:cs="宋体"/>
                <w:b w:val="0"/>
                <w:bCs w:val="0"/>
                <w:i w:val="0"/>
                <w:iCs w:val="0"/>
                <w:color w:val="auto"/>
                <w:sz w:val="24"/>
                <w:szCs w:val="24"/>
                <w:lang w:eastAsia="zh-CN"/>
              </w:rPr>
              <w:t>低</w:t>
            </w:r>
            <w:r>
              <w:rPr>
                <w:rFonts w:hint="eastAsia" w:ascii="宋体" w:hAnsi="宋体" w:eastAsia="宋体" w:cs="宋体"/>
                <w:b w:val="0"/>
                <w:bCs w:val="0"/>
                <w:i w:val="0"/>
                <w:iCs w:val="0"/>
                <w:color w:val="auto"/>
                <w:sz w:val="24"/>
                <w:szCs w:val="24"/>
              </w:rPr>
              <w:t>0.</w:t>
            </w:r>
            <w:r>
              <w:rPr>
                <w:rFonts w:hint="eastAsia" w:ascii="宋体" w:hAnsi="宋体" w:eastAsia="宋体" w:cs="宋体"/>
                <w:b w:val="0"/>
                <w:bCs w:val="0"/>
                <w:i w:val="0"/>
                <w:iCs w:val="0"/>
                <w:color w:val="auto"/>
                <w:sz w:val="24"/>
                <w:szCs w:val="24"/>
                <w:lang w:val="en-US" w:eastAsia="zh-CN"/>
              </w:rPr>
              <w:t>5</w:t>
            </w:r>
            <w:r>
              <w:rPr>
                <w:rFonts w:hint="eastAsia" w:ascii="宋体" w:hAnsi="宋体" w:eastAsia="宋体" w:cs="宋体"/>
                <w:b w:val="0"/>
                <w:bCs w:val="0"/>
                <w:i w:val="0"/>
                <w:iCs w:val="0"/>
                <w:color w:val="auto"/>
                <w:sz w:val="24"/>
                <w:szCs w:val="24"/>
              </w:rPr>
              <w:t>℃；比历年平均偏高</w:t>
            </w:r>
            <w:r>
              <w:rPr>
                <w:rFonts w:hint="eastAsia" w:ascii="宋体" w:hAnsi="宋体" w:eastAsia="宋体" w:cs="宋体"/>
                <w:b w:val="0"/>
                <w:bCs w:val="0"/>
                <w:i w:val="0"/>
                <w:iCs w:val="0"/>
                <w:color w:val="auto"/>
                <w:sz w:val="24"/>
                <w:szCs w:val="24"/>
                <w:lang w:val="en-US" w:eastAsia="zh-CN"/>
              </w:rPr>
              <w:t>0</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lang w:val="en-US" w:eastAsia="zh-CN"/>
              </w:rPr>
              <w:t>7</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lang w:eastAsia="zh-CN"/>
              </w:rPr>
              <w:t>为正常。</w:t>
            </w:r>
            <w:r>
              <w:rPr>
                <w:rFonts w:hint="eastAsia" w:ascii="宋体" w:hAnsi="宋体" w:eastAsia="宋体" w:cs="宋体"/>
                <w:b w:val="0"/>
                <w:bCs w:val="0"/>
                <w:color w:val="auto"/>
                <w:sz w:val="24"/>
                <w:szCs w:val="24"/>
                <w:lang w:eastAsia="zh-CN"/>
              </w:rPr>
              <w:t>2018年</w:t>
            </w:r>
            <w:r>
              <w:rPr>
                <w:rFonts w:hint="eastAsia" w:ascii="宋体" w:hAnsi="宋体" w:eastAsia="宋体" w:cs="宋体"/>
                <w:b w:val="0"/>
                <w:bCs w:val="0"/>
                <w:color w:val="auto"/>
                <w:sz w:val="24"/>
                <w:szCs w:val="24"/>
              </w:rPr>
              <w:t>冬季（</w:t>
            </w:r>
            <w:r>
              <w:rPr>
                <w:rFonts w:hint="eastAsia" w:ascii="宋体" w:hAnsi="宋体" w:eastAsia="宋体" w:cs="宋体"/>
                <w:b w:val="0"/>
                <w:bCs w:val="0"/>
                <w:color w:val="auto"/>
                <w:sz w:val="24"/>
                <w:szCs w:val="24"/>
                <w:lang w:eastAsia="zh-CN"/>
              </w:rPr>
              <w:t>2017年</w:t>
            </w:r>
            <w:r>
              <w:rPr>
                <w:rFonts w:hint="eastAsia" w:ascii="宋体" w:hAnsi="宋体" w:eastAsia="宋体" w:cs="宋体"/>
                <w:b w:val="0"/>
                <w:bCs w:val="0"/>
                <w:color w:val="auto"/>
                <w:sz w:val="24"/>
                <w:szCs w:val="24"/>
              </w:rPr>
              <w:t>12月～</w:t>
            </w:r>
            <w:r>
              <w:rPr>
                <w:rFonts w:hint="eastAsia" w:ascii="宋体" w:hAnsi="宋体" w:eastAsia="宋体" w:cs="宋体"/>
                <w:b w:val="0"/>
                <w:bCs w:val="0"/>
                <w:color w:val="auto"/>
                <w:sz w:val="24"/>
                <w:szCs w:val="24"/>
                <w:lang w:eastAsia="zh-CN"/>
              </w:rPr>
              <w:t>2018年</w:t>
            </w:r>
            <w:r>
              <w:rPr>
                <w:rFonts w:hint="eastAsia" w:ascii="宋体" w:hAnsi="宋体" w:eastAsia="宋体" w:cs="宋体"/>
                <w:b w:val="0"/>
                <w:bCs w:val="0"/>
                <w:color w:val="auto"/>
                <w:sz w:val="24"/>
                <w:szCs w:val="24"/>
              </w:rPr>
              <w:t>2月）芒市</w:t>
            </w:r>
            <w:r>
              <w:rPr>
                <w:rFonts w:hint="eastAsia" w:ascii="宋体" w:hAnsi="宋体" w:eastAsia="宋体" w:cs="宋体"/>
                <w:b w:val="0"/>
                <w:bCs w:val="0"/>
                <w:i w:val="0"/>
                <w:iCs w:val="0"/>
                <w:color w:val="auto"/>
                <w:sz w:val="24"/>
                <w:szCs w:val="24"/>
                <w:lang w:eastAsia="zh-CN"/>
              </w:rPr>
              <w:t>气象观测站的</w:t>
            </w:r>
            <w:r>
              <w:rPr>
                <w:rFonts w:hint="eastAsia" w:ascii="宋体" w:hAnsi="宋体" w:eastAsia="宋体" w:cs="宋体"/>
                <w:b w:val="0"/>
                <w:bCs w:val="0"/>
                <w:color w:val="auto"/>
                <w:sz w:val="24"/>
                <w:szCs w:val="24"/>
              </w:rPr>
              <w:t>平均气温为</w:t>
            </w:r>
            <w:r>
              <w:rPr>
                <w:rFonts w:hint="eastAsia" w:ascii="宋体" w:hAnsi="宋体" w:eastAsia="宋体" w:cs="宋体"/>
                <w:b w:val="0"/>
                <w:bCs w:val="0"/>
                <w:color w:val="auto"/>
                <w:sz w:val="24"/>
                <w:szCs w:val="24"/>
                <w:lang w:val="en-US" w:eastAsia="zh-CN"/>
              </w:rPr>
              <w:t>15.0</w:t>
            </w:r>
            <w:r>
              <w:rPr>
                <w:rFonts w:hint="eastAsia" w:ascii="宋体" w:hAnsi="宋体" w:eastAsia="宋体" w:cs="宋体"/>
                <w:b w:val="0"/>
                <w:bCs w:val="0"/>
                <w:color w:val="auto"/>
                <w:sz w:val="24"/>
                <w:szCs w:val="24"/>
              </w:rPr>
              <w:t>℃, 比</w:t>
            </w:r>
            <w:r>
              <w:rPr>
                <w:rFonts w:hint="eastAsia" w:ascii="宋体" w:hAnsi="宋体" w:eastAsia="宋体" w:cs="宋体"/>
                <w:b w:val="0"/>
                <w:bCs w:val="0"/>
                <w:color w:val="auto"/>
                <w:sz w:val="24"/>
                <w:szCs w:val="24"/>
                <w:lang w:eastAsia="zh-CN"/>
              </w:rPr>
              <w:t>2017年</w:t>
            </w:r>
            <w:r>
              <w:rPr>
                <w:rFonts w:hint="eastAsia" w:ascii="宋体" w:hAnsi="宋体" w:eastAsia="宋体" w:cs="宋体"/>
                <w:b w:val="0"/>
                <w:bCs w:val="0"/>
                <w:color w:val="auto"/>
                <w:sz w:val="24"/>
                <w:szCs w:val="24"/>
              </w:rPr>
              <w:t>同期偏</w:t>
            </w:r>
            <w:r>
              <w:rPr>
                <w:rFonts w:hint="eastAsia" w:ascii="宋体" w:hAnsi="宋体" w:eastAsia="宋体" w:cs="宋体"/>
                <w:b w:val="0"/>
                <w:bCs w:val="0"/>
                <w:color w:val="auto"/>
                <w:sz w:val="24"/>
                <w:szCs w:val="24"/>
                <w:lang w:eastAsia="zh-CN"/>
              </w:rPr>
              <w:t>低</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℃；比历年同期平均值偏高</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lang w:eastAsia="zh-CN"/>
              </w:rPr>
              <w:t>偏高</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春季</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2018年3月</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月）平均气温为</w:t>
            </w:r>
            <w:r>
              <w:rPr>
                <w:rFonts w:hint="eastAsia" w:ascii="宋体" w:hAnsi="宋体" w:eastAsia="宋体" w:cs="宋体"/>
                <w:b w:val="0"/>
                <w:bCs w:val="0"/>
                <w:color w:val="auto"/>
                <w:sz w:val="24"/>
                <w:szCs w:val="24"/>
                <w:lang w:val="en-US" w:eastAsia="zh-CN"/>
              </w:rPr>
              <w:t>21.0</w:t>
            </w:r>
            <w:r>
              <w:rPr>
                <w:rFonts w:hint="eastAsia" w:ascii="宋体" w:hAnsi="宋体" w:eastAsia="宋体" w:cs="宋体"/>
                <w:b w:val="0"/>
                <w:bCs w:val="0"/>
                <w:color w:val="auto"/>
                <w:sz w:val="24"/>
                <w:szCs w:val="24"/>
              </w:rPr>
              <w:t>℃, 比</w:t>
            </w:r>
            <w:r>
              <w:rPr>
                <w:rFonts w:hint="eastAsia" w:ascii="宋体" w:hAnsi="宋体" w:eastAsia="宋体" w:cs="宋体"/>
                <w:b w:val="0"/>
                <w:bCs w:val="0"/>
                <w:color w:val="auto"/>
                <w:sz w:val="24"/>
                <w:szCs w:val="24"/>
                <w:lang w:eastAsia="zh-CN"/>
              </w:rPr>
              <w:t>2017年</w:t>
            </w:r>
            <w:r>
              <w:rPr>
                <w:rFonts w:hint="eastAsia" w:ascii="宋体" w:hAnsi="宋体" w:eastAsia="宋体" w:cs="宋体"/>
                <w:b w:val="0"/>
                <w:bCs w:val="0"/>
                <w:color w:val="auto"/>
                <w:sz w:val="24"/>
                <w:szCs w:val="24"/>
              </w:rPr>
              <w:t>同期偏</w:t>
            </w:r>
            <w:r>
              <w:rPr>
                <w:rFonts w:hint="eastAsia" w:ascii="宋体" w:hAnsi="宋体" w:eastAsia="宋体" w:cs="宋体"/>
                <w:b w:val="0"/>
                <w:bCs w:val="0"/>
                <w:color w:val="auto"/>
                <w:sz w:val="24"/>
                <w:szCs w:val="24"/>
                <w:lang w:eastAsia="zh-CN"/>
              </w:rPr>
              <w:t>低</w:t>
            </w:r>
            <w:r>
              <w:rPr>
                <w:rFonts w:hint="eastAsia" w:ascii="宋体" w:hAnsi="宋体" w:eastAsia="宋体" w:cs="宋体"/>
                <w:b w:val="0"/>
                <w:bCs w:val="0"/>
                <w:color w:val="auto"/>
                <w:sz w:val="24"/>
                <w:szCs w:val="24"/>
                <w:lang w:val="en-US" w:eastAsia="zh-CN"/>
              </w:rPr>
              <w:t>0.1</w:t>
            </w:r>
            <w:r>
              <w:rPr>
                <w:rFonts w:hint="eastAsia" w:ascii="宋体" w:hAnsi="宋体" w:eastAsia="宋体" w:cs="宋体"/>
                <w:b w:val="0"/>
                <w:bCs w:val="0"/>
                <w:color w:val="auto"/>
                <w:sz w:val="24"/>
                <w:szCs w:val="24"/>
              </w:rPr>
              <w:t>℃；比历年同期平均值偏高</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lang w:eastAsia="zh-CN"/>
              </w:rPr>
              <w:t>正常</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夏季</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6月</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月）平均气温为</w:t>
            </w:r>
            <w:r>
              <w:rPr>
                <w:rFonts w:hint="eastAsia" w:ascii="宋体" w:hAnsi="宋体" w:eastAsia="宋体" w:cs="宋体"/>
                <w:b w:val="0"/>
                <w:bCs w:val="0"/>
                <w:color w:val="auto"/>
                <w:sz w:val="24"/>
                <w:szCs w:val="24"/>
                <w:lang w:val="en-US" w:eastAsia="zh-CN"/>
              </w:rPr>
              <w:t>24.6</w:t>
            </w:r>
            <w:r>
              <w:rPr>
                <w:rFonts w:hint="eastAsia" w:ascii="宋体" w:hAnsi="宋体" w:eastAsia="宋体" w:cs="宋体"/>
                <w:b w:val="0"/>
                <w:bCs w:val="0"/>
                <w:color w:val="auto"/>
                <w:sz w:val="24"/>
                <w:szCs w:val="24"/>
              </w:rPr>
              <w:t>℃, 比</w:t>
            </w:r>
            <w:r>
              <w:rPr>
                <w:rFonts w:hint="eastAsia" w:ascii="宋体" w:hAnsi="宋体" w:eastAsia="宋体" w:cs="宋体"/>
                <w:b w:val="0"/>
                <w:bCs w:val="0"/>
                <w:color w:val="auto"/>
                <w:sz w:val="24"/>
                <w:szCs w:val="24"/>
                <w:lang w:eastAsia="zh-CN"/>
              </w:rPr>
              <w:t>2017年</w:t>
            </w:r>
            <w:r>
              <w:rPr>
                <w:rFonts w:hint="eastAsia" w:ascii="宋体" w:hAnsi="宋体" w:eastAsia="宋体" w:cs="宋体"/>
                <w:b w:val="0"/>
                <w:bCs w:val="0"/>
                <w:color w:val="auto"/>
                <w:sz w:val="24"/>
                <w:szCs w:val="24"/>
              </w:rPr>
              <w:t>同期偏</w:t>
            </w:r>
            <w:r>
              <w:rPr>
                <w:rFonts w:hint="eastAsia" w:ascii="宋体" w:hAnsi="宋体" w:eastAsia="宋体" w:cs="宋体"/>
                <w:b w:val="0"/>
                <w:bCs w:val="0"/>
                <w:color w:val="auto"/>
                <w:sz w:val="24"/>
                <w:szCs w:val="24"/>
                <w:lang w:eastAsia="zh-CN"/>
              </w:rPr>
              <w:t>低</w:t>
            </w:r>
            <w:r>
              <w:rPr>
                <w:rFonts w:hint="eastAsia" w:ascii="宋体" w:hAnsi="宋体" w:eastAsia="宋体" w:cs="宋体"/>
                <w:b w:val="0"/>
                <w:bCs w:val="0"/>
                <w:color w:val="auto"/>
                <w:sz w:val="24"/>
                <w:szCs w:val="24"/>
                <w:lang w:val="en-US" w:eastAsia="zh-CN"/>
              </w:rPr>
              <w:t>0.1</w:t>
            </w:r>
            <w:r>
              <w:rPr>
                <w:rFonts w:hint="eastAsia" w:ascii="宋体" w:hAnsi="宋体" w:eastAsia="宋体" w:cs="宋体"/>
                <w:b w:val="0"/>
                <w:bCs w:val="0"/>
                <w:color w:val="auto"/>
                <w:sz w:val="24"/>
                <w:szCs w:val="24"/>
              </w:rPr>
              <w:t>℃；比历年同期平均值偏高</w:t>
            </w:r>
            <w:r>
              <w:rPr>
                <w:rFonts w:hint="eastAsia" w:ascii="宋体" w:hAnsi="宋体" w:eastAsia="宋体" w:cs="宋体"/>
                <w:b w:val="0"/>
                <w:bCs w:val="0"/>
                <w:color w:val="auto"/>
                <w:sz w:val="24"/>
                <w:szCs w:val="24"/>
                <w:lang w:val="en-US" w:eastAsia="zh-CN"/>
              </w:rPr>
              <w:t>0.5</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lang w:eastAsia="zh-CN"/>
              </w:rPr>
              <w:t>正常</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秋季</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9月</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月）平均气温为</w:t>
            </w:r>
            <w:r>
              <w:rPr>
                <w:rFonts w:hint="eastAsia" w:ascii="宋体" w:hAnsi="宋体" w:eastAsia="宋体" w:cs="宋体"/>
                <w:b w:val="0"/>
                <w:bCs w:val="0"/>
                <w:color w:val="auto"/>
                <w:sz w:val="24"/>
                <w:szCs w:val="24"/>
                <w:lang w:val="en-US" w:eastAsia="zh-CN"/>
              </w:rPr>
              <w:t>21.1</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eastAsia="zh-CN"/>
              </w:rPr>
              <w:t>比2017年</w:t>
            </w:r>
            <w:r>
              <w:rPr>
                <w:rFonts w:hint="eastAsia" w:ascii="宋体" w:hAnsi="宋体" w:eastAsia="宋体" w:cs="宋体"/>
                <w:b w:val="0"/>
                <w:bCs w:val="0"/>
                <w:color w:val="auto"/>
                <w:sz w:val="24"/>
                <w:szCs w:val="24"/>
              </w:rPr>
              <w:t>同期</w:t>
            </w:r>
            <w:r>
              <w:rPr>
                <w:rFonts w:hint="eastAsia" w:ascii="宋体" w:hAnsi="宋体" w:eastAsia="宋体" w:cs="宋体"/>
                <w:b w:val="0"/>
                <w:bCs w:val="0"/>
                <w:color w:val="auto"/>
                <w:sz w:val="24"/>
                <w:szCs w:val="24"/>
                <w:lang w:eastAsia="zh-CN"/>
              </w:rPr>
              <w:t>偏低</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℃；比历年同期平均值偏高</w:t>
            </w:r>
            <w:r>
              <w:rPr>
                <w:rFonts w:hint="eastAsia" w:ascii="宋体" w:hAnsi="宋体" w:eastAsia="宋体" w:cs="宋体"/>
                <w:b w:val="0"/>
                <w:bCs w:val="0"/>
                <w:color w:val="auto"/>
                <w:sz w:val="24"/>
                <w:szCs w:val="24"/>
                <w:lang w:val="en-US" w:eastAsia="zh-CN"/>
              </w:rPr>
              <w:t>0.3</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lang w:eastAsia="zh-CN"/>
              </w:rPr>
              <w:t>正常。</w:t>
            </w:r>
            <w:r>
              <w:rPr>
                <w:rFonts w:hint="eastAsia" w:ascii="宋体" w:hAnsi="宋体" w:eastAsia="宋体" w:cs="宋体"/>
                <w:b w:val="0"/>
                <w:bCs w:val="0"/>
                <w:color w:val="auto"/>
                <w:sz w:val="24"/>
                <w:szCs w:val="24"/>
                <w:lang w:val="en-US" w:eastAsia="zh-CN"/>
              </w:rPr>
              <w:t>1月、2月及9月偏高，3月</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8月及10月、11月正常，12月特高</w:t>
            </w:r>
            <w:r>
              <w:rPr>
                <w:rFonts w:hint="eastAsia" w:ascii="宋体" w:hAnsi="宋体" w:eastAsia="宋体" w:cs="宋体"/>
                <w:b w:val="0"/>
                <w:bCs w:val="0"/>
                <w:color w:val="auto"/>
                <w:sz w:val="24"/>
                <w:szCs w:val="24"/>
                <w:lang w:eastAsia="zh-CN"/>
              </w:rPr>
              <w:t>，其中</w:t>
            </w:r>
            <w:r>
              <w:rPr>
                <w:rFonts w:hint="eastAsia" w:ascii="宋体" w:hAnsi="宋体" w:eastAsia="宋体" w:cs="宋体"/>
                <w:b w:val="0"/>
                <w:bCs w:val="0"/>
                <w:color w:val="auto"/>
                <w:sz w:val="24"/>
                <w:szCs w:val="24"/>
                <w:lang w:val="en-US" w:eastAsia="zh-CN"/>
              </w:rPr>
              <w:t>12月平均气温突破自1954年</w:t>
            </w:r>
            <w:r>
              <w:rPr>
                <w:rFonts w:hint="eastAsia" w:ascii="宋体" w:hAnsi="宋体" w:eastAsia="宋体" w:cs="宋体"/>
                <w:b w:val="0"/>
                <w:bCs w:val="0"/>
                <w:i w:val="0"/>
                <w:iCs w:val="0"/>
                <w:color w:val="auto"/>
                <w:sz w:val="24"/>
                <w:szCs w:val="24"/>
                <w:lang w:eastAsia="zh-CN"/>
              </w:rPr>
              <w:t>建站以来的历史同期最高值</w:t>
            </w:r>
            <w:r>
              <w:rPr>
                <w:rFonts w:hint="eastAsia" w:ascii="宋体" w:hAnsi="宋体" w:eastAsia="宋体" w:cs="宋体"/>
                <w:b w:val="0"/>
                <w:bCs w:val="0"/>
                <w:i w:val="0"/>
                <w:iCs w:val="0"/>
                <w:color w:val="auto"/>
                <w:spacing w:val="2"/>
                <w:sz w:val="24"/>
                <w:szCs w:val="24"/>
              </w:rPr>
              <w:t>。</w:t>
            </w:r>
          </w:p>
          <w:p w14:paraId="5A6E77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2018年</w:t>
            </w:r>
            <w:r>
              <w:rPr>
                <w:rFonts w:hint="eastAsia" w:ascii="宋体" w:hAnsi="宋体" w:eastAsia="宋体" w:cs="宋体"/>
                <w:color w:val="auto"/>
                <w:sz w:val="24"/>
                <w:szCs w:val="24"/>
              </w:rPr>
              <w:t>芒市</w:t>
            </w:r>
            <w:r>
              <w:rPr>
                <w:rFonts w:hint="eastAsia" w:ascii="宋体" w:hAnsi="宋体" w:eastAsia="宋体" w:cs="宋体"/>
                <w:i w:val="0"/>
                <w:iCs w:val="0"/>
                <w:color w:val="auto"/>
                <w:sz w:val="24"/>
                <w:szCs w:val="24"/>
                <w:lang w:eastAsia="zh-CN"/>
              </w:rPr>
              <w:t>气象观测站的</w:t>
            </w:r>
            <w:r>
              <w:rPr>
                <w:rFonts w:hint="eastAsia" w:ascii="宋体" w:hAnsi="宋体" w:eastAsia="宋体" w:cs="宋体"/>
                <w:color w:val="auto"/>
                <w:sz w:val="24"/>
                <w:szCs w:val="24"/>
              </w:rPr>
              <w:t>年降雨量为</w:t>
            </w:r>
            <w:r>
              <w:rPr>
                <w:rFonts w:hint="eastAsia" w:ascii="宋体" w:hAnsi="宋体" w:eastAsia="宋体" w:cs="宋体"/>
                <w:color w:val="auto"/>
                <w:sz w:val="24"/>
                <w:szCs w:val="24"/>
                <w:lang w:val="en-US" w:eastAsia="zh-CN"/>
              </w:rPr>
              <w:t>1571.3</w:t>
            </w:r>
            <w:r>
              <w:rPr>
                <w:rFonts w:hint="eastAsia" w:ascii="宋体" w:hAnsi="宋体" w:eastAsia="宋体" w:cs="宋体"/>
                <w:color w:val="auto"/>
                <w:sz w:val="24"/>
                <w:szCs w:val="24"/>
              </w:rPr>
              <w:t>毫米</w:t>
            </w:r>
            <w:r>
              <w:rPr>
                <w:rFonts w:hint="eastAsia" w:ascii="宋体" w:hAnsi="宋体" w:eastAsia="宋体" w:cs="宋体"/>
                <w:color w:val="auto"/>
                <w:sz w:val="24"/>
                <w:szCs w:val="24"/>
                <w:lang w:eastAsia="zh-CN"/>
              </w:rPr>
              <w:t>，比2017年</w:t>
            </w:r>
            <w:r>
              <w:rPr>
                <w:rFonts w:hint="eastAsia" w:ascii="宋体" w:hAnsi="宋体" w:eastAsia="宋体" w:cs="宋体"/>
                <w:color w:val="auto"/>
                <w:sz w:val="24"/>
                <w:szCs w:val="24"/>
              </w:rPr>
              <w:t>偏</w:t>
            </w:r>
            <w:r>
              <w:rPr>
                <w:rFonts w:hint="eastAsia" w:ascii="宋体" w:hAnsi="宋体" w:eastAsia="宋体" w:cs="宋体"/>
                <w:color w:val="auto"/>
                <w:sz w:val="24"/>
                <w:szCs w:val="24"/>
                <w:lang w:eastAsia="zh-CN"/>
              </w:rPr>
              <w:t>少</w:t>
            </w:r>
            <w:r>
              <w:rPr>
                <w:rFonts w:hint="eastAsia" w:ascii="宋体" w:hAnsi="宋体" w:eastAsia="宋体" w:cs="宋体"/>
                <w:color w:val="auto"/>
                <w:sz w:val="24"/>
                <w:szCs w:val="24"/>
                <w:lang w:val="en-US" w:eastAsia="zh-CN"/>
              </w:rPr>
              <w:t>86.5</w:t>
            </w:r>
            <w:r>
              <w:rPr>
                <w:rFonts w:hint="eastAsia" w:ascii="宋体" w:hAnsi="宋体" w:eastAsia="宋体" w:cs="宋体"/>
                <w:color w:val="auto"/>
                <w:sz w:val="24"/>
                <w:szCs w:val="24"/>
              </w:rPr>
              <w:t>毫米；</w:t>
            </w:r>
            <w:r>
              <w:rPr>
                <w:rFonts w:hint="eastAsia" w:ascii="宋体" w:hAnsi="宋体" w:eastAsia="宋体" w:cs="宋体"/>
                <w:color w:val="auto"/>
                <w:sz w:val="24"/>
                <w:szCs w:val="24"/>
                <w:lang w:eastAsia="zh-CN"/>
              </w:rPr>
              <w:t>比</w:t>
            </w:r>
            <w:r>
              <w:rPr>
                <w:rFonts w:hint="eastAsia" w:ascii="宋体" w:hAnsi="宋体" w:eastAsia="宋体" w:cs="宋体"/>
                <w:color w:val="auto"/>
                <w:sz w:val="24"/>
                <w:szCs w:val="24"/>
              </w:rPr>
              <w:t>历年同期平均值</w:t>
            </w:r>
            <w:r>
              <w:rPr>
                <w:rFonts w:hint="eastAsia" w:ascii="宋体" w:hAnsi="宋体" w:eastAsia="宋体" w:cs="宋体"/>
                <w:color w:val="auto"/>
                <w:sz w:val="24"/>
                <w:szCs w:val="24"/>
                <w:lang w:eastAsia="zh-CN"/>
              </w:rPr>
              <w:t>偏少</w:t>
            </w:r>
            <w:r>
              <w:rPr>
                <w:rFonts w:hint="eastAsia" w:ascii="宋体" w:hAnsi="宋体" w:eastAsia="宋体" w:cs="宋体"/>
                <w:color w:val="auto"/>
                <w:sz w:val="24"/>
                <w:szCs w:val="24"/>
                <w:lang w:val="en-US" w:eastAsia="zh-CN"/>
              </w:rPr>
              <w:t>67.3毫米，偏少4%，为正常</w:t>
            </w:r>
            <w:r>
              <w:rPr>
                <w:rFonts w:hint="eastAsia" w:ascii="宋体" w:hAnsi="宋体" w:eastAsia="宋体" w:cs="宋体"/>
                <w:color w:val="auto"/>
                <w:sz w:val="24"/>
                <w:szCs w:val="24"/>
                <w:lang w:eastAsia="zh-CN"/>
              </w:rPr>
              <w:t>。</w:t>
            </w:r>
          </w:p>
          <w:p w14:paraId="7AD82C1D">
            <w:pPr>
              <w:keepNext w:val="0"/>
              <w:keepLines w:val="0"/>
              <w:pageBreakBefore w:val="0"/>
              <w:kinsoku/>
              <w:wordWrap/>
              <w:overflowPunct/>
              <w:topLinePunct w:val="0"/>
              <w:bidi w:val="0"/>
              <w:snapToGrid/>
              <w:spacing w:line="360" w:lineRule="auto"/>
              <w:ind w:left="0" w:leftChars="0" w:right="0" w:rightChars="0" w:firstLine="480" w:firstLineChars="200"/>
              <w:textAlignment w:val="auto"/>
              <w:outlineLvl w:val="9"/>
              <w:rPr>
                <w:rFonts w:hint="eastAsia" w:ascii="仿宋_GB2312" w:hAnsi="仿宋_GB2312" w:eastAsia="仿宋_GB2312" w:cs="仿宋_GB2312"/>
                <w:color w:val="auto"/>
                <w:sz w:val="32"/>
                <w:szCs w:val="32"/>
                <w:lang w:eastAsia="zh-CN"/>
              </w:rPr>
            </w:pPr>
            <w:r>
              <w:rPr>
                <w:rFonts w:hint="eastAsia" w:ascii="宋体" w:hAnsi="宋体" w:eastAsia="宋体" w:cs="宋体"/>
                <w:color w:val="auto"/>
                <w:sz w:val="24"/>
                <w:szCs w:val="24"/>
              </w:rPr>
              <w:t>2018年各乡镇</w:t>
            </w:r>
            <w:r>
              <w:rPr>
                <w:rFonts w:hint="eastAsia" w:ascii="宋体" w:hAnsi="宋体" w:eastAsia="宋体" w:cs="宋体"/>
                <w:color w:val="auto"/>
                <w:sz w:val="24"/>
                <w:szCs w:val="24"/>
                <w:lang w:eastAsia="zh-CN"/>
              </w:rPr>
              <w:t>自动气象观测站</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rPr>
              <w:t>降雨量为1</w:t>
            </w:r>
            <w:r>
              <w:rPr>
                <w:rFonts w:hint="eastAsia" w:ascii="宋体" w:hAnsi="宋体" w:eastAsia="宋体" w:cs="宋体"/>
                <w:color w:val="auto"/>
                <w:sz w:val="24"/>
                <w:szCs w:val="24"/>
                <w:lang w:val="en-US" w:eastAsia="zh-CN"/>
              </w:rPr>
              <w:t>184.9</w:t>
            </w:r>
            <w:r>
              <w:rPr>
                <w:rFonts w:hint="eastAsia" w:ascii="宋体" w:hAnsi="宋体" w:eastAsia="宋体" w:cs="宋体"/>
                <w:color w:val="auto"/>
                <w:sz w:val="24"/>
                <w:szCs w:val="24"/>
              </w:rPr>
              <w:t>毫米（</w:t>
            </w:r>
            <w:r>
              <w:rPr>
                <w:rFonts w:hint="eastAsia" w:ascii="宋体" w:hAnsi="宋体" w:eastAsia="宋体" w:cs="宋体"/>
                <w:color w:val="auto"/>
                <w:sz w:val="24"/>
                <w:szCs w:val="24"/>
                <w:lang w:eastAsia="zh-CN"/>
              </w:rPr>
              <w:t>芒棒</w:t>
            </w:r>
            <w:r>
              <w:rPr>
                <w:rFonts w:hint="eastAsia" w:ascii="宋体" w:hAnsi="宋体" w:eastAsia="宋体" w:cs="宋体"/>
                <w:color w:val="auto"/>
                <w:sz w:val="24"/>
                <w:szCs w:val="24"/>
              </w:rPr>
              <w:t>）～32</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毫米，最大值出现在黑河老坡，其次为平河29</w:t>
            </w:r>
            <w:r>
              <w:rPr>
                <w:rFonts w:hint="eastAsia" w:ascii="宋体" w:hAnsi="宋体" w:eastAsia="宋体" w:cs="宋体"/>
                <w:color w:val="auto"/>
                <w:sz w:val="24"/>
                <w:szCs w:val="24"/>
                <w:lang w:val="en-US" w:eastAsia="zh-CN"/>
              </w:rPr>
              <w:t>42.2</w:t>
            </w:r>
            <w:r>
              <w:rPr>
                <w:rFonts w:hint="eastAsia" w:ascii="宋体" w:hAnsi="宋体" w:eastAsia="宋体" w:cs="宋体"/>
                <w:color w:val="auto"/>
                <w:sz w:val="24"/>
                <w:szCs w:val="24"/>
              </w:rPr>
              <w:t>毫米，再次为黄家寨26</w:t>
            </w:r>
            <w:r>
              <w:rPr>
                <w:rFonts w:hint="eastAsia" w:ascii="宋体" w:hAnsi="宋体" w:eastAsia="宋体" w:cs="宋体"/>
                <w:color w:val="auto"/>
                <w:sz w:val="24"/>
                <w:szCs w:val="24"/>
                <w:lang w:val="en-US" w:eastAsia="zh-CN"/>
              </w:rPr>
              <w:t>77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毫米，第四为背阴山24</w:t>
            </w:r>
            <w:r>
              <w:rPr>
                <w:rFonts w:hint="eastAsia" w:ascii="宋体" w:hAnsi="宋体" w:eastAsia="宋体" w:cs="宋体"/>
                <w:color w:val="auto"/>
                <w:sz w:val="24"/>
                <w:szCs w:val="24"/>
                <w:lang w:val="en-US" w:eastAsia="zh-CN"/>
              </w:rPr>
              <w:t>93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毫米，第五为双坡22</w:t>
            </w:r>
            <w:r>
              <w:rPr>
                <w:rFonts w:hint="eastAsia" w:ascii="宋体" w:hAnsi="宋体" w:eastAsia="宋体" w:cs="宋体"/>
                <w:color w:val="auto"/>
                <w:sz w:val="24"/>
                <w:szCs w:val="24"/>
                <w:lang w:val="en-US" w:eastAsia="zh-CN"/>
              </w:rPr>
              <w:t>56.2</w:t>
            </w:r>
            <w:r>
              <w:rPr>
                <w:rFonts w:hint="eastAsia" w:ascii="宋体" w:hAnsi="宋体" w:eastAsia="宋体" w:cs="宋体"/>
                <w:color w:val="auto"/>
                <w:sz w:val="24"/>
                <w:szCs w:val="24"/>
              </w:rPr>
              <w:t>毫米。</w:t>
            </w:r>
          </w:p>
          <w:p w14:paraId="21EA58D2">
            <w:pPr>
              <w:spacing w:line="360" w:lineRule="auto"/>
              <w:rPr>
                <w:rFonts w:ascii="Times New Roman" w:hAnsi="Times New Roman"/>
                <w:color w:val="auto"/>
                <w:sz w:val="24"/>
                <w:szCs w:val="24"/>
              </w:rPr>
            </w:pPr>
            <w:r>
              <w:rPr>
                <w:rFonts w:ascii="Times New Roman" w:hAnsi="Times New Roman"/>
                <w:b/>
                <w:color w:val="auto"/>
                <w:sz w:val="24"/>
                <w:szCs w:val="24"/>
              </w:rPr>
              <w:t>5、</w:t>
            </w:r>
            <w:r>
              <w:rPr>
                <w:rFonts w:hint="eastAsia" w:ascii="Times New Roman" w:hAnsi="Times New Roman"/>
                <w:b/>
                <w:color w:val="auto"/>
                <w:kern w:val="0"/>
                <w:sz w:val="24"/>
                <w:szCs w:val="24"/>
                <w:lang w:eastAsia="zh-CN"/>
              </w:rPr>
              <w:t>土壤</w:t>
            </w:r>
            <w:r>
              <w:rPr>
                <w:rFonts w:ascii="Times New Roman" w:hAnsi="Times New Roman"/>
                <w:b/>
                <w:color w:val="auto"/>
                <w:kern w:val="0"/>
                <w:sz w:val="24"/>
                <w:szCs w:val="24"/>
              </w:rPr>
              <w:t>及生物多样性</w:t>
            </w:r>
            <w:bookmarkEnd w:id="5"/>
            <w:bookmarkEnd w:id="6"/>
          </w:p>
          <w:p w14:paraId="5065A965">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auto"/>
                <w:spacing w:val="8"/>
                <w:sz w:val="24"/>
              </w:rPr>
            </w:pPr>
            <w:r>
              <w:rPr>
                <w:rFonts w:hint="eastAsia" w:ascii="宋体" w:hAnsi="宋体" w:eastAsia="宋体" w:cs="宋体"/>
                <w:color w:val="auto"/>
                <w:spacing w:val="8"/>
                <w:sz w:val="24"/>
              </w:rPr>
              <w:t>芒市土壤受纬度、海拔高度及特殊气候条件的影响，具有种类多，分布复杂的特点。项目区的土壤为砖红壤和红壤。</w:t>
            </w:r>
          </w:p>
          <w:p w14:paraId="4E0EB7C5">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auto"/>
                <w:spacing w:val="8"/>
                <w:sz w:val="24"/>
              </w:rPr>
            </w:pPr>
            <w:r>
              <w:rPr>
                <w:rFonts w:hint="eastAsia" w:ascii="宋体" w:hAnsi="宋体" w:eastAsia="宋体" w:cs="宋体"/>
                <w:color w:val="auto"/>
                <w:spacing w:val="8"/>
                <w:sz w:val="24"/>
              </w:rPr>
              <w:t>芒市</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"http://baike.baidu.com/view/1195703.htm"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z w:val="24"/>
              </w:rPr>
              <w:t>林业用地面积</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211300hm</w:t>
            </w:r>
            <w:r>
              <w:rPr>
                <w:rFonts w:hint="eastAsia" w:ascii="宋体" w:hAnsi="宋体" w:eastAsia="宋体" w:cs="宋体"/>
                <w:color w:val="auto"/>
                <w:spacing w:val="8"/>
                <w:sz w:val="24"/>
                <w:vertAlign w:val="superscript"/>
              </w:rPr>
              <w:t>2</w:t>
            </w:r>
            <w:r>
              <w:rPr>
                <w:rFonts w:hint="eastAsia" w:ascii="宋体" w:hAnsi="宋体" w:eastAsia="宋体" w:cs="宋体"/>
                <w:color w:val="auto"/>
                <w:spacing w:val="8"/>
                <w:sz w:val="24"/>
              </w:rPr>
              <w:t>，其中：有林地172700hm</w:t>
            </w:r>
            <w:r>
              <w:rPr>
                <w:rFonts w:hint="eastAsia" w:ascii="宋体" w:hAnsi="宋体" w:eastAsia="宋体" w:cs="宋体"/>
                <w:color w:val="auto"/>
                <w:spacing w:val="8"/>
                <w:sz w:val="24"/>
                <w:vertAlign w:val="superscript"/>
              </w:rPr>
              <w:t>2</w:t>
            </w:r>
            <w:r>
              <w:rPr>
                <w:rFonts w:hint="eastAsia" w:ascii="宋体" w:hAnsi="宋体" w:eastAsia="宋体" w:cs="宋体"/>
                <w:color w:val="auto"/>
                <w:spacing w:val="8"/>
                <w:sz w:val="24"/>
              </w:rPr>
              <w:t>，蔬林地1800hm</w:t>
            </w:r>
            <w:r>
              <w:rPr>
                <w:rFonts w:hint="eastAsia" w:ascii="宋体" w:hAnsi="宋体" w:eastAsia="宋体" w:cs="宋体"/>
                <w:color w:val="auto"/>
                <w:spacing w:val="8"/>
                <w:sz w:val="24"/>
                <w:vertAlign w:val="superscript"/>
              </w:rPr>
              <w:t>2</w:t>
            </w:r>
            <w:r>
              <w:rPr>
                <w:rFonts w:hint="eastAsia" w:ascii="宋体" w:hAnsi="宋体" w:eastAsia="宋体" w:cs="宋体"/>
                <w:color w:val="auto"/>
                <w:spacing w:val="8"/>
                <w:sz w:val="24"/>
              </w:rPr>
              <w:t>，灌木林地920hm</w:t>
            </w:r>
            <w:r>
              <w:rPr>
                <w:rFonts w:hint="eastAsia" w:ascii="宋体" w:hAnsi="宋体" w:eastAsia="宋体" w:cs="宋体"/>
                <w:color w:val="auto"/>
                <w:spacing w:val="8"/>
                <w:sz w:val="24"/>
                <w:vertAlign w:val="superscript"/>
              </w:rPr>
              <w:t>2</w:t>
            </w:r>
            <w:r>
              <w:rPr>
                <w:rFonts w:hint="eastAsia" w:ascii="宋体" w:hAnsi="宋体" w:eastAsia="宋体" w:cs="宋体"/>
                <w:color w:val="auto"/>
                <w:spacing w:val="8"/>
                <w:sz w:val="24"/>
              </w:rPr>
              <w:t>，未成林造林地6500hm</w:t>
            </w:r>
            <w:r>
              <w:rPr>
                <w:rFonts w:hint="eastAsia" w:ascii="宋体" w:hAnsi="宋体" w:eastAsia="宋体" w:cs="宋体"/>
                <w:color w:val="auto"/>
                <w:spacing w:val="8"/>
                <w:sz w:val="24"/>
                <w:vertAlign w:val="superscript"/>
              </w:rPr>
              <w:t>2</w:t>
            </w:r>
            <w:r>
              <w:rPr>
                <w:rFonts w:hint="eastAsia" w:ascii="宋体" w:hAnsi="宋体" w:eastAsia="宋体" w:cs="宋体"/>
                <w:color w:val="auto"/>
                <w:spacing w:val="8"/>
                <w:sz w:val="24"/>
              </w:rPr>
              <w:t>，</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"http://baike.baidu.com/view/3628387.htm"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z w:val="24"/>
              </w:rPr>
              <w:t>无立木林地</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1900hm</w:t>
            </w:r>
            <w:r>
              <w:rPr>
                <w:rFonts w:hint="eastAsia" w:ascii="宋体" w:hAnsi="宋体" w:eastAsia="宋体" w:cs="宋体"/>
                <w:color w:val="auto"/>
                <w:spacing w:val="8"/>
                <w:sz w:val="24"/>
                <w:vertAlign w:val="superscript"/>
              </w:rPr>
              <w:t>2</w:t>
            </w:r>
            <w:r>
              <w:rPr>
                <w:rFonts w:hint="eastAsia" w:ascii="宋体" w:hAnsi="宋体" w:eastAsia="宋体" w:cs="宋体"/>
                <w:color w:val="auto"/>
                <w:spacing w:val="8"/>
                <w:sz w:val="24"/>
              </w:rPr>
              <w:t>，宜林荒山荒地1920hm</w:t>
            </w:r>
            <w:r>
              <w:rPr>
                <w:rFonts w:hint="eastAsia" w:ascii="宋体" w:hAnsi="宋体" w:eastAsia="宋体" w:cs="宋体"/>
                <w:color w:val="auto"/>
                <w:spacing w:val="8"/>
                <w:sz w:val="24"/>
                <w:vertAlign w:val="superscript"/>
              </w:rPr>
              <w:t>2</w:t>
            </w:r>
            <w:r>
              <w:rPr>
                <w:rFonts w:hint="eastAsia" w:ascii="宋体" w:hAnsi="宋体" w:eastAsia="宋体" w:cs="宋体"/>
                <w:color w:val="auto"/>
                <w:spacing w:val="8"/>
                <w:sz w:val="24"/>
              </w:rPr>
              <w:t>，森林覆盖率61.2%。活立木总蓄1707.07万</w:t>
            </w:r>
            <w:r>
              <w:rPr>
                <w:rFonts w:hint="eastAsia" w:ascii="宋体" w:hAnsi="宋体" w:eastAsia="宋体" w:cs="宋体"/>
                <w:color w:val="auto"/>
                <w:spacing w:val="8"/>
                <w:sz w:val="24"/>
                <w:lang w:val="en-US" w:eastAsia="zh-CN"/>
              </w:rPr>
              <w:t>m</w:t>
            </w:r>
            <w:r>
              <w:rPr>
                <w:rFonts w:hint="eastAsia" w:ascii="宋体" w:hAnsi="宋体" w:eastAsia="宋体" w:cs="宋体"/>
                <w:color w:val="auto"/>
                <w:spacing w:val="8"/>
                <w:sz w:val="24"/>
                <w:vertAlign w:val="superscript"/>
                <w:lang w:val="en-US" w:eastAsia="zh-CN"/>
              </w:rPr>
              <w:t>3</w:t>
            </w:r>
            <w:r>
              <w:rPr>
                <w:rFonts w:hint="eastAsia" w:ascii="宋体" w:hAnsi="宋体" w:eastAsia="宋体" w:cs="宋体"/>
                <w:color w:val="auto"/>
                <w:spacing w:val="8"/>
                <w:sz w:val="24"/>
              </w:rPr>
              <w:t>（不包括经济林橡胶），其中：有林地蓄积1600.2万</w:t>
            </w:r>
            <w:r>
              <w:rPr>
                <w:rFonts w:hint="eastAsia" w:ascii="宋体" w:hAnsi="宋体" w:eastAsia="宋体" w:cs="宋体"/>
                <w:color w:val="auto"/>
                <w:spacing w:val="8"/>
                <w:sz w:val="24"/>
                <w:lang w:val="en-US" w:eastAsia="zh-CN"/>
              </w:rPr>
              <w:t>m</w:t>
            </w:r>
            <w:r>
              <w:rPr>
                <w:rFonts w:hint="eastAsia" w:ascii="宋体" w:hAnsi="宋体" w:eastAsia="宋体" w:cs="宋体"/>
                <w:color w:val="auto"/>
                <w:spacing w:val="8"/>
                <w:sz w:val="24"/>
                <w:vertAlign w:val="superscript"/>
                <w:lang w:val="en-US" w:eastAsia="zh-CN"/>
              </w:rPr>
              <w:t>3</w:t>
            </w:r>
            <w:r>
              <w:rPr>
                <w:rFonts w:hint="eastAsia" w:ascii="宋体" w:hAnsi="宋体" w:eastAsia="宋体" w:cs="宋体"/>
                <w:color w:val="auto"/>
                <w:spacing w:val="8"/>
                <w:sz w:val="24"/>
              </w:rPr>
              <w:t>，蔬林地蓄积3.7万</w:t>
            </w:r>
            <w:r>
              <w:rPr>
                <w:rFonts w:hint="eastAsia" w:ascii="宋体" w:hAnsi="宋体" w:eastAsia="宋体" w:cs="宋体"/>
                <w:color w:val="auto"/>
                <w:spacing w:val="8"/>
                <w:sz w:val="24"/>
                <w:lang w:val="en-US" w:eastAsia="zh-CN"/>
              </w:rPr>
              <w:t>m</w:t>
            </w:r>
            <w:r>
              <w:rPr>
                <w:rFonts w:hint="eastAsia" w:ascii="宋体" w:hAnsi="宋体" w:eastAsia="宋体" w:cs="宋体"/>
                <w:color w:val="auto"/>
                <w:spacing w:val="8"/>
                <w:sz w:val="24"/>
                <w:vertAlign w:val="superscript"/>
                <w:lang w:val="en-US" w:eastAsia="zh-CN"/>
              </w:rPr>
              <w:t>3</w:t>
            </w:r>
            <w:r>
              <w:rPr>
                <w:rFonts w:hint="eastAsia" w:ascii="宋体" w:hAnsi="宋体" w:eastAsia="宋体" w:cs="宋体"/>
                <w:color w:val="auto"/>
                <w:spacing w:val="8"/>
                <w:sz w:val="24"/>
              </w:rPr>
              <w:t>，散生木蓄积84.44万</w:t>
            </w:r>
            <w:r>
              <w:rPr>
                <w:rFonts w:hint="eastAsia" w:ascii="宋体" w:hAnsi="宋体" w:eastAsia="宋体" w:cs="宋体"/>
                <w:color w:val="auto"/>
                <w:spacing w:val="8"/>
                <w:sz w:val="24"/>
                <w:lang w:val="en-US" w:eastAsia="zh-CN"/>
              </w:rPr>
              <w:t>m</w:t>
            </w:r>
            <w:r>
              <w:rPr>
                <w:rFonts w:hint="eastAsia" w:ascii="宋体" w:hAnsi="宋体" w:eastAsia="宋体" w:cs="宋体"/>
                <w:color w:val="auto"/>
                <w:spacing w:val="8"/>
                <w:sz w:val="24"/>
                <w:vertAlign w:val="superscript"/>
                <w:lang w:val="en-US" w:eastAsia="zh-CN"/>
              </w:rPr>
              <w:t>3</w:t>
            </w:r>
            <w:r>
              <w:rPr>
                <w:rFonts w:hint="eastAsia" w:ascii="宋体" w:hAnsi="宋体" w:eastAsia="宋体" w:cs="宋体"/>
                <w:color w:val="auto"/>
                <w:spacing w:val="8"/>
                <w:sz w:val="24"/>
              </w:rPr>
              <w:t>，四旁树蓄积18.41万</w:t>
            </w:r>
            <w:r>
              <w:rPr>
                <w:rFonts w:hint="eastAsia" w:ascii="宋体" w:hAnsi="宋体" w:eastAsia="宋体" w:cs="宋体"/>
                <w:color w:val="auto"/>
                <w:spacing w:val="8"/>
                <w:sz w:val="24"/>
                <w:lang w:val="en-US" w:eastAsia="zh-CN"/>
              </w:rPr>
              <w:t>m</w:t>
            </w:r>
            <w:r>
              <w:rPr>
                <w:rFonts w:hint="eastAsia" w:ascii="宋体" w:hAnsi="宋体" w:eastAsia="宋体" w:cs="宋体"/>
                <w:color w:val="auto"/>
                <w:spacing w:val="8"/>
                <w:sz w:val="24"/>
                <w:vertAlign w:val="superscript"/>
                <w:lang w:val="en-US" w:eastAsia="zh-CN"/>
              </w:rPr>
              <w:t>3</w:t>
            </w:r>
            <w:r>
              <w:rPr>
                <w:rFonts w:hint="eastAsia" w:ascii="宋体" w:hAnsi="宋体" w:eastAsia="宋体" w:cs="宋体"/>
                <w:color w:val="auto"/>
                <w:spacing w:val="8"/>
                <w:sz w:val="24"/>
              </w:rPr>
              <w:t>。市境内有高等植物257科，2564种，主要优势树种为思茅松、</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"http://baike.baidu.com/view/1020351.htm"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z w:val="24"/>
              </w:rPr>
              <w:t>西南桦</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、旱冬瓜、木荷、栎类。</w:t>
            </w:r>
          </w:p>
          <w:p w14:paraId="75C40343">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auto"/>
                <w:spacing w:val="8"/>
                <w:sz w:val="24"/>
              </w:rPr>
            </w:pPr>
            <w:r>
              <w:rPr>
                <w:rFonts w:hint="eastAsia" w:ascii="宋体" w:hAnsi="宋体" w:eastAsia="宋体" w:cs="宋体"/>
                <w:color w:val="auto"/>
                <w:spacing w:val="8"/>
                <w:sz w:val="24"/>
              </w:rPr>
              <w:t>芒市地处</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"http://baike.baidu.com/view/4445232.htm"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亚热带地区</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终年丰富的热量和充沛的降雨量形成了复杂的植被类型。据1999年高等植物调查统计，全市高等植物257科，2564种。属国家级重点保护植物39种，其中国家Ⅰ级保护植物4种，国家Ⅱ级保护植物17种，国家Ⅲ级保护植物18种。主要是：南方红豆杉、银杏、</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"http://baike.baidu.com/view/7242.htm"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云南</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苏铁、长蕊</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"http://baike.baidu.com/view/21477.htm"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木兰</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、水青树、</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"http://baike.baidu.com/view/133677.htm"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云南石梓</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、荔枝、杜仲、红椿、桫椤、滇桐、云南梧桐、云南樟、</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"http://baike.baidu.com/view/20535.htm"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铁力木</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、合果木、董棕、普洱茶、金毛狗、翠柏、</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"http://baike.baidu.com/view/127004.htm"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云南拟单性木兰</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、干果榄仁、</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"http://baike.baidu.com/view/140501.htm"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林生芒果</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、云南七叶树、龙眼、顶果木、云南菠萝蜜、琴叶风吹楠、红花木莲、蒟蒻薯、假山龙眼、瑞丽山龙眼、</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"http://baike.baidu.com/view/133715.htm"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盈江龙脑香</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14:paraId="4751D874">
            <w:pPr>
              <w:keepNext w:val="0"/>
              <w:keepLines w:val="0"/>
              <w:pageBreakBefore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color w:val="auto"/>
                <w:spacing w:val="8"/>
                <w:sz w:val="24"/>
              </w:rPr>
            </w:pPr>
            <w:r>
              <w:rPr>
                <w:rFonts w:hint="eastAsia" w:ascii="宋体" w:hAnsi="宋体" w:eastAsia="宋体" w:cs="宋体"/>
                <w:color w:val="auto"/>
                <w:spacing w:val="8"/>
                <w:sz w:val="24"/>
              </w:rPr>
              <w:t>省级重点保护植物19种，其中省Ⅱ级保护植物5种，省Ⅲ保护植物14种，包括：</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"http://baike.baidu.com/view/800701.htm"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常春木</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"http://baike.baidu.com/view/802383.htm"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大叶崖角藤</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、云南核桃茶、沧江新樟、冬樱桃、细毛润楠、长柄油丹、</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"http://baike.baidu.com/view/795474.htm"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云南萝芙木</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、小花使君子、大萼葵、</w:t>
            </w:r>
            <w:r>
              <w:rPr>
                <w:rFonts w:hint="eastAsia" w:ascii="宋体" w:hAnsi="宋体" w:eastAsia="宋体" w:cs="宋体"/>
                <w:color w:val="auto"/>
                <w:spacing w:val="8"/>
                <w:sz w:val="24"/>
              </w:rPr>
              <w:fldChar w:fldCharType="begin"/>
            </w:r>
            <w:r>
              <w:rPr>
                <w:rFonts w:hint="eastAsia" w:ascii="宋体" w:hAnsi="宋体" w:eastAsia="宋体" w:cs="宋体"/>
                <w:color w:val="auto"/>
                <w:spacing w:val="8"/>
                <w:sz w:val="24"/>
              </w:rPr>
              <w:instrText xml:space="preserve"> HYPERLINK "http://baike.baidu.com/view/316681.htm" \t "_blank" </w:instrText>
            </w:r>
            <w:r>
              <w:rPr>
                <w:rFonts w:hint="eastAsia" w:ascii="宋体" w:hAnsi="宋体" w:eastAsia="宋体" w:cs="宋体"/>
                <w:color w:val="auto"/>
                <w:spacing w:val="8"/>
                <w:sz w:val="24"/>
              </w:rPr>
              <w:fldChar w:fldCharType="separate"/>
            </w:r>
            <w:r>
              <w:rPr>
                <w:rFonts w:hint="eastAsia" w:ascii="宋体" w:hAnsi="宋体" w:eastAsia="宋体" w:cs="宋体"/>
                <w:color w:val="auto"/>
                <w:spacing w:val="8"/>
                <w:sz w:val="24"/>
              </w:rPr>
              <w:t>勐腊</w:t>
            </w:r>
            <w:r>
              <w:rPr>
                <w:rFonts w:hint="eastAsia" w:ascii="宋体" w:hAnsi="宋体" w:eastAsia="宋体" w:cs="宋体"/>
                <w:color w:val="auto"/>
                <w:spacing w:val="8"/>
                <w:sz w:val="24"/>
              </w:rPr>
              <w:fldChar w:fldCharType="end"/>
            </w:r>
            <w:r>
              <w:rPr>
                <w:rFonts w:hint="eastAsia" w:ascii="宋体" w:hAnsi="宋体" w:eastAsia="宋体" w:cs="宋体"/>
                <w:color w:val="auto"/>
                <w:spacing w:val="8"/>
                <w:sz w:val="24"/>
              </w:rPr>
              <w:t>新木姜子、云南崖摩、镰叶扁担杆、毛尖树、大花大角，潞西小龙眼、厚果鸡血藤、紫铆树、萝芙木等。</w:t>
            </w:r>
          </w:p>
          <w:p w14:paraId="1DEF7EE3">
            <w:pPr>
              <w:tabs>
                <w:tab w:val="left" w:pos="8820"/>
              </w:tabs>
              <w:snapToGrid w:val="0"/>
              <w:spacing w:line="360" w:lineRule="auto"/>
              <w:ind w:firstLine="512" w:firstLineChars="200"/>
              <w:outlineLvl w:val="0"/>
              <w:rPr>
                <w:rFonts w:hint="eastAsia" w:ascii="宋体" w:hAnsi="宋体" w:eastAsia="宋体" w:cs="宋体"/>
                <w:color w:val="auto"/>
                <w:sz w:val="24"/>
              </w:rPr>
            </w:pPr>
            <w:r>
              <w:rPr>
                <w:rFonts w:hint="eastAsia" w:ascii="宋体" w:hAnsi="宋体" w:eastAsia="宋体" w:cs="宋体"/>
                <w:color w:val="auto"/>
                <w:spacing w:val="8"/>
                <w:sz w:val="24"/>
              </w:rPr>
              <w:t>根据现场调查，建设项目所在地用地为</w:t>
            </w:r>
            <w:r>
              <w:rPr>
                <w:rFonts w:hint="eastAsia" w:ascii="宋体" w:hAnsi="宋体" w:eastAsia="宋体" w:cs="宋体"/>
                <w:color w:val="auto"/>
                <w:spacing w:val="8"/>
                <w:sz w:val="24"/>
                <w:lang w:eastAsia="zh-CN"/>
              </w:rPr>
              <w:t>城乡</w:t>
            </w:r>
            <w:r>
              <w:rPr>
                <w:rFonts w:hint="eastAsia" w:ascii="宋体" w:hAnsi="宋体" w:eastAsia="宋体" w:cs="宋体"/>
                <w:color w:val="auto"/>
                <w:spacing w:val="8"/>
                <w:sz w:val="24"/>
              </w:rPr>
              <w:t>建设用地，区域内</w:t>
            </w:r>
            <w:r>
              <w:rPr>
                <w:rFonts w:hint="eastAsia" w:ascii="宋体" w:hAnsi="宋体" w:cs="宋体"/>
                <w:color w:val="auto"/>
                <w:spacing w:val="8"/>
                <w:sz w:val="24"/>
                <w:lang w:val="en-US" w:eastAsia="zh-CN"/>
              </w:rPr>
              <w:t>无原生</w:t>
            </w:r>
            <w:r>
              <w:rPr>
                <w:rFonts w:hint="eastAsia" w:ascii="宋体" w:hAnsi="宋体" w:eastAsia="宋体" w:cs="宋体"/>
                <w:color w:val="auto"/>
                <w:spacing w:val="8"/>
                <w:sz w:val="24"/>
              </w:rPr>
              <w:t>天然植被</w:t>
            </w:r>
            <w:r>
              <w:rPr>
                <w:rFonts w:hint="eastAsia" w:ascii="宋体" w:hAnsi="宋体" w:cs="宋体"/>
                <w:color w:val="auto"/>
                <w:spacing w:val="8"/>
                <w:sz w:val="24"/>
                <w:lang w:val="en-US" w:eastAsia="zh-CN"/>
              </w:rPr>
              <w:t>主要为人工植被及次生性灌草丛</w:t>
            </w:r>
            <w:r>
              <w:rPr>
                <w:rFonts w:hint="eastAsia" w:ascii="宋体" w:hAnsi="宋体" w:eastAsia="宋体" w:cs="宋体"/>
                <w:color w:val="auto"/>
                <w:spacing w:val="8"/>
                <w:sz w:val="24"/>
              </w:rPr>
              <w:t>，</w:t>
            </w:r>
            <w:r>
              <w:rPr>
                <w:rFonts w:hint="eastAsia" w:ascii="宋体" w:hAnsi="宋体" w:eastAsia="宋体" w:cs="宋体"/>
                <w:color w:val="auto"/>
                <w:sz w:val="24"/>
              </w:rPr>
              <w:t>无国家级和云南省级保护植物物种，以及地方狭域植物种类分布，也无珍稀和保护类野生动植物及名木古树分布，生物多样性一般，生态自我调节能力一般。</w:t>
            </w:r>
          </w:p>
          <w:p w14:paraId="650A2BD7">
            <w:pPr>
              <w:tabs>
                <w:tab w:val="left" w:pos="8820"/>
              </w:tabs>
              <w:snapToGrid w:val="0"/>
              <w:spacing w:line="360" w:lineRule="auto"/>
              <w:outlineLvl w:val="0"/>
              <w:rPr>
                <w:rFonts w:hint="eastAsia" w:ascii="宋体" w:hAnsi="宋体" w:eastAsia="宋体" w:cs="宋体"/>
                <w:b/>
                <w:color w:val="auto"/>
                <w:kern w:val="0"/>
                <w:sz w:val="24"/>
              </w:rPr>
            </w:pPr>
            <w:r>
              <w:rPr>
                <w:rFonts w:hint="eastAsia" w:ascii="宋体" w:hAnsi="宋体" w:cs="宋体"/>
                <w:b/>
                <w:color w:val="auto"/>
                <w:kern w:val="0"/>
                <w:sz w:val="24"/>
                <w:lang w:val="en-US" w:eastAsia="zh-CN"/>
              </w:rPr>
              <w:t>6</w:t>
            </w:r>
            <w:r>
              <w:rPr>
                <w:rFonts w:hint="eastAsia" w:ascii="宋体" w:hAnsi="宋体" w:eastAsia="宋体" w:cs="宋体"/>
                <w:b/>
                <w:color w:val="auto"/>
                <w:kern w:val="0"/>
                <w:sz w:val="24"/>
              </w:rPr>
              <w:t>、文物保护单位</w:t>
            </w:r>
          </w:p>
          <w:p w14:paraId="3BC7C99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芒市文物单位主要为遮放毛主席请示牌、邦外佛爷墓群、滇缅公路南天门段等单位。经现场调查项目区内未发现文物，且项目占地不涉及国务院、国家有关部门、省（自治区、直辖市）人民政府、市（州）人民政府、县（区、市）人民政府规定的生态保护区、自然保护区、风景名胜区、文化遗产保护区、水源保护区。</w:t>
            </w:r>
          </w:p>
          <w:p w14:paraId="02E7EFD0">
            <w:pPr>
              <w:numPr>
                <w:ilvl w:val="0"/>
                <w:numId w:val="0"/>
              </w:num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根据现场踏勘，项目区内无地质遗迹分布，不属于地质遗迹保护区，项目所在地不属于自然保护区，周围</w:t>
            </w:r>
            <w:r>
              <w:rPr>
                <w:rFonts w:hint="eastAsia" w:ascii="宋体" w:hAnsi="宋体" w:eastAsia="宋体" w:cs="宋体"/>
                <w:color w:val="auto"/>
                <w:kern w:val="0"/>
                <w:sz w:val="24"/>
                <w:lang w:val="en-US" w:eastAsia="zh-CN"/>
              </w:rPr>
              <w:t>300</w:t>
            </w:r>
            <w:r>
              <w:rPr>
                <w:rFonts w:hint="eastAsia" w:ascii="宋体" w:hAnsi="宋体" w:eastAsia="宋体" w:cs="宋体"/>
                <w:color w:val="auto"/>
                <w:kern w:val="0"/>
                <w:sz w:val="24"/>
              </w:rPr>
              <w:t>m内没有国家、省、市级保护文物以及学校、医院等，项目所在区域无古树名树，无需保护的野生动物。</w:t>
            </w:r>
          </w:p>
          <w:p w14:paraId="33546283">
            <w:pPr>
              <w:numPr>
                <w:ilvl w:val="0"/>
                <w:numId w:val="0"/>
              </w:numPr>
              <w:spacing w:line="360" w:lineRule="auto"/>
              <w:rPr>
                <w:rFonts w:hint="eastAsia" w:ascii="宋体" w:hAnsi="宋体" w:eastAsia="宋体" w:cs="宋体"/>
                <w:b/>
                <w:bCs/>
                <w:color w:val="auto"/>
                <w:kern w:val="0"/>
                <w:sz w:val="24"/>
                <w:lang w:eastAsia="zh-CN"/>
              </w:rPr>
            </w:pPr>
            <w:r>
              <w:rPr>
                <w:rFonts w:hint="eastAsia" w:ascii="宋体" w:hAnsi="宋体" w:cs="宋体"/>
                <w:b/>
                <w:bCs/>
                <w:color w:val="auto"/>
                <w:kern w:val="0"/>
                <w:sz w:val="24"/>
                <w:lang w:val="en-US" w:eastAsia="zh-CN"/>
              </w:rPr>
              <w:t>7</w:t>
            </w:r>
            <w:r>
              <w:rPr>
                <w:rFonts w:hint="eastAsia" w:ascii="宋体" w:hAnsi="宋体" w:eastAsia="宋体" w:cs="宋体"/>
                <w:b/>
                <w:bCs/>
                <w:color w:val="auto"/>
                <w:kern w:val="0"/>
                <w:sz w:val="24"/>
                <w:lang w:eastAsia="zh-CN"/>
              </w:rPr>
              <w:t>、矿产资源</w:t>
            </w:r>
          </w:p>
          <w:p w14:paraId="5783AA7A">
            <w:pPr>
              <w:numPr>
                <w:ilvl w:val="0"/>
                <w:numId w:val="0"/>
              </w:numPr>
              <w:spacing w:line="360" w:lineRule="auto"/>
              <w:ind w:firstLine="480" w:firstLineChars="200"/>
              <w:rPr>
                <w:rFonts w:hint="eastAsia" w:ascii="宋体" w:hAnsi="宋体" w:eastAsia="宋体" w:cs="宋体"/>
                <w:b/>
                <w:bCs/>
                <w:color w:val="auto"/>
                <w:kern w:val="0"/>
                <w:sz w:val="24"/>
                <w:lang w:eastAsia="zh-CN"/>
              </w:rPr>
            </w:pPr>
            <w:r>
              <w:rPr>
                <w:rFonts w:hint="eastAsia" w:ascii="宋体" w:hAnsi="宋体" w:eastAsia="宋体" w:cs="宋体"/>
                <w:b w:val="0"/>
                <w:i w:val="0"/>
                <w:caps w:val="0"/>
                <w:color w:val="auto"/>
                <w:spacing w:val="0"/>
                <w:sz w:val="24"/>
                <w:szCs w:val="24"/>
                <w:shd w:val="clear" w:color="auto" w:fill="FFFFFF"/>
              </w:rPr>
              <w:t>芒市境内蕴藏着丰富的矿产资源，有色金属有铅、锌、银、铜、锡、金、钨、镍、锑、镉等;黑色金属属矿有铁;能源矿产有褐煤;稀有金属有铀、钴土;特种金属、建筑材料和其它非金属矿有硅石、水晶、大理石、黄石、硫酸钡、石灰石等。2003年底，已发现国内矿产104处，其中最具有开发价值的是硅石、黄金、铜、铅、锌矿。</w:t>
            </w:r>
          </w:p>
          <w:p w14:paraId="659E0CE2">
            <w:pPr>
              <w:spacing w:line="360" w:lineRule="auto"/>
              <w:rPr>
                <w:rFonts w:hint="eastAsia" w:ascii="Times New Roman" w:hAnsi="Times New Roman" w:cs="宋体"/>
                <w:color w:val="auto"/>
                <w:sz w:val="24"/>
                <w:szCs w:val="24"/>
              </w:rPr>
            </w:pPr>
          </w:p>
          <w:p w14:paraId="44B00104">
            <w:pPr>
              <w:spacing w:line="360" w:lineRule="auto"/>
              <w:rPr>
                <w:rFonts w:hint="eastAsia" w:ascii="Times New Roman" w:hAnsi="Times New Roman" w:cs="宋体"/>
                <w:color w:val="auto"/>
                <w:sz w:val="24"/>
                <w:szCs w:val="24"/>
              </w:rPr>
            </w:pPr>
          </w:p>
          <w:p w14:paraId="2D2B7F94">
            <w:pPr>
              <w:spacing w:line="360" w:lineRule="auto"/>
              <w:rPr>
                <w:rFonts w:hint="eastAsia" w:ascii="Times New Roman" w:hAnsi="Times New Roman" w:cs="宋体"/>
                <w:color w:val="auto"/>
                <w:sz w:val="24"/>
                <w:szCs w:val="24"/>
              </w:rPr>
            </w:pPr>
          </w:p>
          <w:p w14:paraId="6A76BE4D">
            <w:pPr>
              <w:spacing w:line="360" w:lineRule="auto"/>
              <w:rPr>
                <w:rFonts w:hint="eastAsia" w:ascii="Times New Roman" w:hAnsi="Times New Roman" w:cs="宋体"/>
                <w:color w:val="auto"/>
                <w:sz w:val="24"/>
                <w:szCs w:val="24"/>
              </w:rPr>
            </w:pPr>
          </w:p>
          <w:p w14:paraId="75063D4B">
            <w:pPr>
              <w:spacing w:line="360" w:lineRule="auto"/>
              <w:rPr>
                <w:rFonts w:hint="eastAsia" w:ascii="Times New Roman" w:hAnsi="Times New Roman" w:cs="宋体"/>
                <w:color w:val="auto"/>
                <w:sz w:val="24"/>
                <w:szCs w:val="24"/>
              </w:rPr>
            </w:pPr>
          </w:p>
        </w:tc>
      </w:tr>
    </w:tbl>
    <w:p w14:paraId="6EAEBAC3">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olor w:val="auto"/>
          <w:sz w:val="32"/>
          <w:szCs w:val="32"/>
        </w:rPr>
      </w:pPr>
      <w:r>
        <w:rPr>
          <w:rFonts w:hint="eastAsia" w:ascii="Times New Roman" w:hAnsi="Times New Roman"/>
          <w:color w:val="auto"/>
          <w:sz w:val="32"/>
          <w:szCs w:val="32"/>
        </w:rPr>
        <w:t>表</w:t>
      </w:r>
      <w:r>
        <w:rPr>
          <w:rFonts w:ascii="Times New Roman" w:hAnsi="Times New Roman"/>
          <w:color w:val="auto"/>
          <w:sz w:val="32"/>
          <w:szCs w:val="32"/>
        </w:rPr>
        <w:t>三、环境质量状况</w:t>
      </w:r>
    </w:p>
    <w:tbl>
      <w:tblPr>
        <w:tblStyle w:val="24"/>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2"/>
      </w:tblGrid>
      <w:tr w14:paraId="74AB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9" w:hRule="atLeast"/>
          <w:jc w:val="center"/>
        </w:trPr>
        <w:tc>
          <w:tcPr>
            <w:tcW w:w="9022" w:type="dxa"/>
            <w:vAlign w:val="top"/>
          </w:tcPr>
          <w:p w14:paraId="39A07A0A">
            <w:pPr>
              <w:numPr>
                <w:ilvl w:val="0"/>
                <w:numId w:val="6"/>
              </w:numPr>
              <w:spacing w:before="156" w:beforeLines="50" w:after="156" w:afterLines="50"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空气环境质量</w:t>
            </w:r>
          </w:p>
          <w:p w14:paraId="185EDD1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本项目位于云南省德宏州芒市</w:t>
            </w:r>
            <w:r>
              <w:rPr>
                <w:rFonts w:hint="eastAsia" w:ascii="宋体" w:hAnsi="宋体" w:eastAsia="宋体" w:cs="宋体"/>
                <w:color w:val="auto"/>
                <w:sz w:val="24"/>
                <w:szCs w:val="24"/>
                <w:lang w:eastAsia="zh-CN"/>
              </w:rPr>
              <w:t>轩岗乡遮相居委会第一居民小组</w:t>
            </w:r>
            <w:r>
              <w:rPr>
                <w:rFonts w:hint="eastAsia" w:ascii="宋体" w:hAnsi="宋体" w:eastAsia="宋体" w:cs="宋体"/>
                <w:color w:val="auto"/>
                <w:sz w:val="24"/>
                <w:szCs w:val="24"/>
              </w:rPr>
              <w:t>，根据《德宏州2016年环境质量公报》，德宏州州府所在地芒市环境空气质量基本稳定，空气质量良好，可达到二级标准。区域内环境空气质量较好能够满足《环境空气质量标准》（GB3095-2012）二级标准要求。</w:t>
            </w:r>
          </w:p>
          <w:p w14:paraId="0ECFC094">
            <w:pPr>
              <w:adjustRightInd w:val="0"/>
              <w:snapToGrid w:val="0"/>
              <w:spacing w:line="360" w:lineRule="auto"/>
              <w:ind w:firstLine="480"/>
              <w:outlineLvl w:val="0"/>
              <w:rPr>
                <w:rFonts w:hint="eastAsia" w:ascii="宋体" w:hAnsi="宋体" w:eastAsia="宋体" w:cs="宋体"/>
                <w:color w:val="auto"/>
                <w:sz w:val="24"/>
                <w:szCs w:val="24"/>
              </w:rPr>
            </w:pPr>
            <w:r>
              <w:rPr>
                <w:rFonts w:hint="eastAsia" w:ascii="宋体" w:hAnsi="宋体" w:eastAsia="宋体" w:cs="宋体"/>
                <w:color w:val="auto"/>
                <w:sz w:val="24"/>
                <w:szCs w:val="24"/>
              </w:rPr>
              <w:t>根据现场踏勘及走访调查，项目所在地周围没有大的污染型企业，项目所在区域环境空气质量可达到《环境空气质量标准》(GB3095-2012)二级标准。</w:t>
            </w:r>
          </w:p>
          <w:p w14:paraId="2EAD0878">
            <w:pPr>
              <w:adjustRightInd w:val="0"/>
              <w:snapToGrid w:val="0"/>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二、水环境质量</w:t>
            </w:r>
          </w:p>
          <w:p w14:paraId="7AB2521D">
            <w:pPr>
              <w:pStyle w:val="21"/>
              <w:numPr>
                <w:ilvl w:val="0"/>
                <w:numId w:val="0"/>
              </w:numPr>
              <w:shd w:val="clear" w:color="auto" w:fill="FFFFFF"/>
              <w:spacing w:after="1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项目最终的纳污水体为芒市大河，</w:t>
            </w:r>
            <w:r>
              <w:rPr>
                <w:rFonts w:hint="eastAsia" w:ascii="宋体" w:hAnsi="宋体" w:eastAsia="宋体" w:cs="宋体"/>
                <w:color w:val="auto"/>
                <w:sz w:val="24"/>
                <w:szCs w:val="24"/>
              </w:rPr>
              <w:t>根据《云南省地表水水环境功能区划》（2010-2020），芒市大河属于伊洛瓦底江流域，一级支流为瑞丽江，本项目涉及河段为木康至入瑞丽江口，水环境功能类别为Ⅲ类水，功能为工业用水，项目区域按《地表水环境质量标准》（GB3838－2002）Ⅲ类标准进行保护。芒市大河位于项目</w:t>
            </w:r>
            <w:r>
              <w:rPr>
                <w:rFonts w:hint="eastAsia" w:ascii="宋体" w:hAnsi="宋体" w:eastAsia="宋体" w:cs="宋体"/>
                <w:color w:val="auto"/>
                <w:sz w:val="24"/>
                <w:szCs w:val="24"/>
                <w:lang w:eastAsia="zh-CN"/>
              </w:rPr>
              <w:t>南</w:t>
            </w:r>
            <w:r>
              <w:rPr>
                <w:rFonts w:hint="eastAsia" w:ascii="宋体" w:hAnsi="宋体" w:eastAsia="宋体" w:cs="宋体"/>
                <w:color w:val="auto"/>
                <w:sz w:val="24"/>
                <w:szCs w:val="24"/>
              </w:rPr>
              <w:t>面，距离项目区直线距离约</w:t>
            </w:r>
            <w:r>
              <w:rPr>
                <w:rFonts w:hint="eastAsia" w:ascii="宋体" w:hAnsi="宋体" w:eastAsia="宋体" w:cs="宋体"/>
                <w:color w:val="auto"/>
                <w:sz w:val="24"/>
                <w:szCs w:val="24"/>
                <w:lang w:val="en-US" w:eastAsia="zh-CN"/>
              </w:rPr>
              <w:t>3.8K</w:t>
            </w:r>
            <w:r>
              <w:rPr>
                <w:rFonts w:hint="eastAsia" w:ascii="宋体" w:hAnsi="宋体" w:eastAsia="宋体" w:cs="宋体"/>
                <w:color w:val="auto"/>
                <w:sz w:val="24"/>
                <w:szCs w:val="24"/>
              </w:rPr>
              <w:t>m。根据德宏州环境监测站提供的20</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年风平断面监测数据（见下表3-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），项目涉及河段水环境质量除粪大肠菌群有所超标外，原因是该河段居民放养牛羊产生的畜粪便排入水源所导致的，其余各项指标均满足《地表水环境质量标准》（GB3838－2002）Ⅲ类标准要求。</w:t>
            </w:r>
          </w:p>
          <w:p w14:paraId="61473C73">
            <w:pPr>
              <w:pStyle w:val="52"/>
              <w:numPr>
                <w:ilvl w:val="0"/>
                <w:numId w:val="0"/>
              </w:numPr>
              <w:ind w:left="718" w:right="105"/>
              <w:rPr>
                <w:rFonts w:hint="eastAsia" w:ascii="宋体" w:hAnsi="宋体" w:eastAsia="宋体" w:cs="宋体"/>
                <w:color w:val="auto"/>
              </w:rPr>
            </w:pPr>
            <w:r>
              <w:rPr>
                <w:rFonts w:hint="eastAsia" w:ascii="宋体" w:hAnsi="宋体" w:eastAsia="宋体" w:cs="宋体"/>
                <w:color w:val="auto"/>
              </w:rPr>
              <w:t>表3-</w:t>
            </w:r>
            <w:r>
              <w:rPr>
                <w:rFonts w:hint="eastAsia" w:ascii="宋体" w:hAnsi="宋体" w:eastAsia="宋体" w:cs="宋体"/>
                <w:color w:val="auto"/>
                <w:lang w:val="en-US" w:eastAsia="zh-CN"/>
              </w:rPr>
              <w:t>1</w:t>
            </w:r>
            <w:r>
              <w:rPr>
                <w:rFonts w:hint="eastAsia" w:ascii="宋体" w:hAnsi="宋体" w:eastAsia="宋体" w:cs="宋体"/>
                <w:color w:val="auto"/>
              </w:rPr>
              <w:t>德宏州环境监测站201</w:t>
            </w:r>
            <w:r>
              <w:rPr>
                <w:rFonts w:hint="eastAsia" w:ascii="宋体" w:hAnsi="宋体" w:eastAsia="宋体" w:cs="宋体"/>
                <w:color w:val="auto"/>
                <w:lang w:val="en-US" w:eastAsia="zh-CN"/>
              </w:rPr>
              <w:t>6</w:t>
            </w:r>
            <w:r>
              <w:rPr>
                <w:rFonts w:hint="eastAsia" w:ascii="宋体" w:hAnsi="宋体" w:eastAsia="宋体" w:cs="宋体"/>
                <w:color w:val="auto"/>
              </w:rPr>
              <w:t>年风平断面水质监测数据</w:t>
            </w:r>
          </w:p>
          <w:tbl>
            <w:tblPr>
              <w:tblStyle w:val="24"/>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3"/>
              <w:gridCol w:w="3342"/>
              <w:gridCol w:w="3341"/>
            </w:tblGrid>
            <w:tr w14:paraId="49002479">
              <w:tblPrEx>
                <w:tblCellMar>
                  <w:top w:w="0" w:type="dxa"/>
                  <w:left w:w="108" w:type="dxa"/>
                  <w:bottom w:w="0" w:type="dxa"/>
                  <w:right w:w="108" w:type="dxa"/>
                </w:tblCellMar>
              </w:tblPrEx>
              <w:trPr>
                <w:jc w:val="center"/>
              </w:trPr>
              <w:tc>
                <w:tcPr>
                  <w:tcW w:w="2113" w:type="dxa"/>
                  <w:tcBorders>
                    <w:top w:val="single" w:color="000000" w:sz="4" w:space="0"/>
                    <w:left w:val="single" w:color="000000" w:sz="4" w:space="0"/>
                    <w:bottom w:val="single" w:color="000000" w:sz="4" w:space="0"/>
                    <w:right w:val="single" w:color="000000" w:sz="4" w:space="0"/>
                  </w:tcBorders>
                </w:tcPr>
                <w:p w14:paraId="12FF9DDC">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序号</w:t>
                  </w:r>
                </w:p>
              </w:tc>
              <w:tc>
                <w:tcPr>
                  <w:tcW w:w="3342" w:type="dxa"/>
                  <w:tcBorders>
                    <w:top w:val="single" w:color="000000" w:sz="4" w:space="0"/>
                    <w:left w:val="single" w:color="000000" w:sz="4" w:space="0"/>
                    <w:bottom w:val="single" w:color="000000" w:sz="4" w:space="0"/>
                    <w:right w:val="single" w:color="000000" w:sz="4" w:space="0"/>
                  </w:tcBorders>
                </w:tcPr>
                <w:p w14:paraId="224C43FF">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项目</w:t>
                  </w:r>
                </w:p>
              </w:tc>
              <w:tc>
                <w:tcPr>
                  <w:tcW w:w="3341" w:type="dxa"/>
                  <w:tcBorders>
                    <w:top w:val="single" w:color="000000" w:sz="4" w:space="0"/>
                    <w:left w:val="single" w:color="000000" w:sz="4" w:space="0"/>
                    <w:bottom w:val="single" w:color="000000" w:sz="4" w:space="0"/>
                    <w:right w:val="single" w:color="000000" w:sz="4" w:space="0"/>
                  </w:tcBorders>
                </w:tcPr>
                <w:p w14:paraId="5B15267C">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监测值</w:t>
                  </w:r>
                </w:p>
              </w:tc>
            </w:tr>
            <w:tr w14:paraId="77C6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3" w:type="dxa"/>
                  <w:tcBorders>
                    <w:top w:val="single" w:color="000000" w:sz="4" w:space="0"/>
                    <w:left w:val="single" w:color="000000" w:sz="4" w:space="0"/>
                    <w:bottom w:val="single" w:color="000000" w:sz="4" w:space="0"/>
                    <w:right w:val="single" w:color="000000" w:sz="4" w:space="0"/>
                  </w:tcBorders>
                </w:tcPr>
                <w:p w14:paraId="0BCA3F23">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1</w:t>
                  </w:r>
                </w:p>
              </w:tc>
              <w:tc>
                <w:tcPr>
                  <w:tcW w:w="3342" w:type="dxa"/>
                  <w:tcBorders>
                    <w:top w:val="single" w:color="000000" w:sz="4" w:space="0"/>
                    <w:left w:val="single" w:color="000000" w:sz="4" w:space="0"/>
                    <w:bottom w:val="single" w:color="000000" w:sz="4" w:space="0"/>
                    <w:right w:val="single" w:color="000000" w:sz="4" w:space="0"/>
                  </w:tcBorders>
                </w:tcPr>
                <w:p w14:paraId="4A0300B7">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COD（mg/L）</w:t>
                  </w:r>
                </w:p>
              </w:tc>
              <w:tc>
                <w:tcPr>
                  <w:tcW w:w="3341" w:type="dxa"/>
                  <w:tcBorders>
                    <w:top w:val="single" w:color="000000" w:sz="4" w:space="0"/>
                    <w:left w:val="single" w:color="000000" w:sz="4" w:space="0"/>
                    <w:bottom w:val="single" w:color="000000" w:sz="4" w:space="0"/>
                    <w:right w:val="single" w:color="000000" w:sz="4" w:space="0"/>
                  </w:tcBorders>
                </w:tcPr>
                <w:p w14:paraId="4707F801">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14</w:t>
                  </w:r>
                </w:p>
              </w:tc>
            </w:tr>
            <w:tr w14:paraId="18279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3" w:type="dxa"/>
                  <w:tcBorders>
                    <w:top w:val="single" w:color="000000" w:sz="4" w:space="0"/>
                    <w:left w:val="single" w:color="000000" w:sz="4" w:space="0"/>
                    <w:bottom w:val="single" w:color="000000" w:sz="4" w:space="0"/>
                    <w:right w:val="single" w:color="000000" w:sz="4" w:space="0"/>
                  </w:tcBorders>
                </w:tcPr>
                <w:p w14:paraId="337B321E">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2</w:t>
                  </w:r>
                </w:p>
              </w:tc>
              <w:tc>
                <w:tcPr>
                  <w:tcW w:w="3342" w:type="dxa"/>
                  <w:tcBorders>
                    <w:top w:val="single" w:color="000000" w:sz="4" w:space="0"/>
                    <w:left w:val="single" w:color="000000" w:sz="4" w:space="0"/>
                    <w:bottom w:val="single" w:color="000000" w:sz="4" w:space="0"/>
                    <w:right w:val="single" w:color="000000" w:sz="4" w:space="0"/>
                  </w:tcBorders>
                </w:tcPr>
                <w:p w14:paraId="038BFAA2">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BOD5（mg/L）</w:t>
                  </w:r>
                </w:p>
              </w:tc>
              <w:tc>
                <w:tcPr>
                  <w:tcW w:w="3341" w:type="dxa"/>
                  <w:tcBorders>
                    <w:top w:val="single" w:color="000000" w:sz="4" w:space="0"/>
                    <w:left w:val="single" w:color="000000" w:sz="4" w:space="0"/>
                    <w:bottom w:val="single" w:color="000000" w:sz="4" w:space="0"/>
                    <w:right w:val="single" w:color="000000" w:sz="4" w:space="0"/>
                  </w:tcBorders>
                </w:tcPr>
                <w:p w14:paraId="5F69E101">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3</w:t>
                  </w:r>
                </w:p>
              </w:tc>
            </w:tr>
            <w:tr w14:paraId="51E63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3" w:type="dxa"/>
                  <w:tcBorders>
                    <w:top w:val="single" w:color="000000" w:sz="4" w:space="0"/>
                    <w:left w:val="single" w:color="000000" w:sz="4" w:space="0"/>
                    <w:bottom w:val="single" w:color="000000" w:sz="4" w:space="0"/>
                    <w:right w:val="single" w:color="000000" w:sz="4" w:space="0"/>
                  </w:tcBorders>
                </w:tcPr>
                <w:p w14:paraId="54B580C9">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3</w:t>
                  </w:r>
                </w:p>
              </w:tc>
              <w:tc>
                <w:tcPr>
                  <w:tcW w:w="3342" w:type="dxa"/>
                  <w:tcBorders>
                    <w:top w:val="single" w:color="000000" w:sz="4" w:space="0"/>
                    <w:left w:val="single" w:color="000000" w:sz="4" w:space="0"/>
                    <w:bottom w:val="single" w:color="000000" w:sz="4" w:space="0"/>
                    <w:right w:val="single" w:color="000000" w:sz="4" w:space="0"/>
                  </w:tcBorders>
                </w:tcPr>
                <w:p w14:paraId="2E7993FA">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NH3-N（mg/L）</w:t>
                  </w:r>
                </w:p>
              </w:tc>
              <w:tc>
                <w:tcPr>
                  <w:tcW w:w="3341" w:type="dxa"/>
                  <w:tcBorders>
                    <w:top w:val="single" w:color="000000" w:sz="4" w:space="0"/>
                    <w:left w:val="single" w:color="000000" w:sz="4" w:space="0"/>
                    <w:bottom w:val="single" w:color="000000" w:sz="4" w:space="0"/>
                    <w:right w:val="single" w:color="000000" w:sz="4" w:space="0"/>
                  </w:tcBorders>
                </w:tcPr>
                <w:p w14:paraId="7586D980">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0.553</w:t>
                  </w:r>
                </w:p>
              </w:tc>
            </w:tr>
            <w:tr w14:paraId="146D9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3" w:type="dxa"/>
                  <w:tcBorders>
                    <w:top w:val="single" w:color="000000" w:sz="4" w:space="0"/>
                    <w:left w:val="single" w:color="000000" w:sz="4" w:space="0"/>
                    <w:bottom w:val="single" w:color="000000" w:sz="4" w:space="0"/>
                    <w:right w:val="single" w:color="000000" w:sz="4" w:space="0"/>
                  </w:tcBorders>
                </w:tcPr>
                <w:p w14:paraId="65FD7D39">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4</w:t>
                  </w:r>
                </w:p>
              </w:tc>
              <w:tc>
                <w:tcPr>
                  <w:tcW w:w="3342" w:type="dxa"/>
                  <w:tcBorders>
                    <w:top w:val="single" w:color="000000" w:sz="4" w:space="0"/>
                    <w:left w:val="single" w:color="000000" w:sz="4" w:space="0"/>
                    <w:bottom w:val="single" w:color="000000" w:sz="4" w:space="0"/>
                    <w:right w:val="single" w:color="000000" w:sz="4" w:space="0"/>
                  </w:tcBorders>
                </w:tcPr>
                <w:p w14:paraId="7B41547C">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总磷（mg/L）</w:t>
                  </w:r>
                </w:p>
              </w:tc>
              <w:tc>
                <w:tcPr>
                  <w:tcW w:w="3341" w:type="dxa"/>
                  <w:tcBorders>
                    <w:top w:val="single" w:color="000000" w:sz="4" w:space="0"/>
                    <w:left w:val="single" w:color="000000" w:sz="4" w:space="0"/>
                    <w:bottom w:val="single" w:color="000000" w:sz="4" w:space="0"/>
                    <w:right w:val="single" w:color="000000" w:sz="4" w:space="0"/>
                  </w:tcBorders>
                </w:tcPr>
                <w:p w14:paraId="342B97B6">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0.13</w:t>
                  </w:r>
                </w:p>
              </w:tc>
            </w:tr>
            <w:tr w14:paraId="53AD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3" w:type="dxa"/>
                  <w:tcBorders>
                    <w:top w:val="single" w:color="000000" w:sz="4" w:space="0"/>
                    <w:left w:val="single" w:color="000000" w:sz="4" w:space="0"/>
                    <w:bottom w:val="single" w:color="000000" w:sz="4" w:space="0"/>
                    <w:right w:val="single" w:color="000000" w:sz="4" w:space="0"/>
                  </w:tcBorders>
                </w:tcPr>
                <w:p w14:paraId="2BE43C91">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5</w:t>
                  </w:r>
                </w:p>
              </w:tc>
              <w:tc>
                <w:tcPr>
                  <w:tcW w:w="3342" w:type="dxa"/>
                  <w:tcBorders>
                    <w:top w:val="single" w:color="000000" w:sz="4" w:space="0"/>
                    <w:left w:val="single" w:color="000000" w:sz="4" w:space="0"/>
                    <w:bottom w:val="single" w:color="000000" w:sz="4" w:space="0"/>
                    <w:right w:val="single" w:color="000000" w:sz="4" w:space="0"/>
                  </w:tcBorders>
                </w:tcPr>
                <w:p w14:paraId="441FF395">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粪大肠菌群（个/L）</w:t>
                  </w:r>
                </w:p>
              </w:tc>
              <w:tc>
                <w:tcPr>
                  <w:tcW w:w="3341" w:type="dxa"/>
                  <w:tcBorders>
                    <w:top w:val="single" w:color="000000" w:sz="4" w:space="0"/>
                    <w:left w:val="single" w:color="000000" w:sz="4" w:space="0"/>
                    <w:bottom w:val="single" w:color="000000" w:sz="4" w:space="0"/>
                    <w:right w:val="single" w:color="000000" w:sz="4" w:space="0"/>
                  </w:tcBorders>
                </w:tcPr>
                <w:p w14:paraId="5FA23B5F">
                  <w:pPr>
                    <w:tabs>
                      <w:tab w:val="left" w:pos="8820"/>
                    </w:tabs>
                    <w:snapToGrid w:val="0"/>
                    <w:spacing w:line="240" w:lineRule="auto"/>
                    <w:jc w:val="center"/>
                    <w:rPr>
                      <w:rFonts w:hint="eastAsia" w:ascii="宋体" w:hAnsi="宋体" w:eastAsia="宋体" w:cs="宋体"/>
                      <w:b w:val="0"/>
                      <w:bCs w:val="0"/>
                      <w:color w:val="auto"/>
                    </w:rPr>
                  </w:pPr>
                  <w:r>
                    <w:rPr>
                      <w:rFonts w:hint="eastAsia" w:ascii="宋体" w:hAnsi="宋体" w:eastAsia="宋体" w:cs="宋体"/>
                      <w:b w:val="0"/>
                      <w:bCs w:val="0"/>
                      <w:color w:val="auto"/>
                    </w:rPr>
                    <w:t>48933</w:t>
                  </w:r>
                </w:p>
              </w:tc>
            </w:tr>
          </w:tbl>
          <w:p w14:paraId="080791A2">
            <w:pPr>
              <w:numPr>
                <w:ilvl w:val="0"/>
                <w:numId w:val="0"/>
              </w:numPr>
              <w:adjustRightInd w:val="0"/>
              <w:snapToGrid w:val="0"/>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区域声环境质量</w:t>
            </w:r>
          </w:p>
          <w:p w14:paraId="07E4BC9D">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项目所处区域为农村区域，</w:t>
            </w:r>
            <w:r>
              <w:rPr>
                <w:rFonts w:hint="eastAsia" w:ascii="宋体" w:hAnsi="宋体" w:eastAsia="宋体" w:cs="宋体"/>
                <w:color w:val="auto"/>
                <w:sz w:val="24"/>
                <w:szCs w:val="24"/>
              </w:rPr>
              <w:t>本项目区域声环境</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执行《声环境质量标准》（GB3096-2008）中2类标准，</w:t>
            </w:r>
            <w:r>
              <w:rPr>
                <w:rFonts w:hint="eastAsia" w:ascii="宋体" w:hAnsi="宋体" w:eastAsia="宋体" w:cs="宋体"/>
                <w:color w:val="auto"/>
                <w:sz w:val="24"/>
                <w:szCs w:val="24"/>
                <w:lang w:eastAsia="zh-CN"/>
              </w:rPr>
              <w:t>经现场</w:t>
            </w:r>
            <w:r>
              <w:rPr>
                <w:rFonts w:hint="eastAsia" w:ascii="宋体" w:hAnsi="宋体" w:cs="宋体"/>
                <w:color w:val="auto"/>
                <w:sz w:val="24"/>
                <w:szCs w:val="24"/>
                <w:lang w:val="en-US" w:eastAsia="zh-CN"/>
              </w:rPr>
              <w:t>踏勘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项目附近无较大的噪声源，声环境良好，项目区声环境能满足《声环境质量标准》（GB3096-2008）2类区标准要求。</w:t>
            </w:r>
          </w:p>
          <w:p w14:paraId="39581766">
            <w:pPr>
              <w:spacing w:before="50"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四、生态环境质量状况</w:t>
            </w:r>
          </w:p>
          <w:p w14:paraId="0CA367AB">
            <w:pPr>
              <w:snapToGrid w:val="0"/>
              <w:spacing w:line="360" w:lineRule="auto"/>
              <w:ind w:firstLine="480" w:firstLineChars="200"/>
              <w:rPr>
                <w:rFonts w:hint="eastAsia"/>
                <w:color w:val="auto"/>
                <w:sz w:val="24"/>
                <w:szCs w:val="24"/>
                <w:lang w:val="en-US" w:eastAsia="zh-CN"/>
              </w:rPr>
            </w:pPr>
            <w:r>
              <w:rPr>
                <w:rFonts w:hint="eastAsia"/>
                <w:color w:val="auto"/>
                <w:sz w:val="24"/>
                <w:szCs w:val="24"/>
                <w:lang w:eastAsia="zh-CN"/>
              </w:rPr>
              <w:t>项目建设地点为</w:t>
            </w:r>
            <w:r>
              <w:rPr>
                <w:rFonts w:hint="eastAsia"/>
                <w:color w:val="auto"/>
                <w:sz w:val="24"/>
                <w:szCs w:val="24"/>
              </w:rPr>
              <w:t>云南省德宏州芒市</w:t>
            </w:r>
            <w:r>
              <w:rPr>
                <w:rFonts w:hint="eastAsia"/>
                <w:color w:val="auto"/>
                <w:sz w:val="24"/>
                <w:szCs w:val="24"/>
                <w:lang w:eastAsia="zh-CN"/>
              </w:rPr>
              <w:t>轩岗乡遮相居委会第一居民小组，由于长期人类活动，评价区内已无天然植被，区域内</w:t>
            </w:r>
            <w:r>
              <w:rPr>
                <w:rFonts w:hint="eastAsia"/>
                <w:color w:val="auto"/>
                <w:sz w:val="24"/>
                <w:szCs w:val="24"/>
                <w:lang w:val="en-US" w:eastAsia="zh-CN"/>
              </w:rPr>
              <w:t>主要为农田及居民点，生态环境受人为影响极大。评价区内无国家和省级保护植物物种，以及地方狭域植物种类分布，也无古名木。由于已高度开发，评价区偶尔可见燕子、山雀等鸟类，主要为适应人类活动的种类。已无大型野生哺乳动物、受国家和省级重点保护及关注物种，同时也无当地特有物种。</w:t>
            </w:r>
          </w:p>
          <w:p w14:paraId="3651D086">
            <w:pPr>
              <w:spacing w:line="360" w:lineRule="auto"/>
              <w:rPr>
                <w:rFonts w:hint="eastAsia" w:ascii="宋体" w:hAnsi="宋体" w:eastAsia="宋体" w:cs="宋体"/>
                <w:b/>
                <w:color w:val="auto"/>
                <w:sz w:val="24"/>
                <w:szCs w:val="24"/>
              </w:rPr>
            </w:pPr>
            <w:r>
              <w:rPr>
                <w:rFonts w:hint="eastAsia" w:ascii="宋体" w:hAnsi="宋体" w:cs="宋体"/>
                <w:b/>
                <w:color w:val="auto"/>
                <w:sz w:val="24"/>
                <w:szCs w:val="24"/>
                <w:lang w:eastAsia="zh-CN"/>
              </w:rPr>
              <w:t>主</w:t>
            </w:r>
            <w:r>
              <w:rPr>
                <w:rFonts w:hint="eastAsia" w:ascii="宋体" w:hAnsi="宋体" w:eastAsia="宋体" w:cs="宋体"/>
                <w:b/>
                <w:color w:val="auto"/>
                <w:sz w:val="24"/>
                <w:szCs w:val="24"/>
              </w:rPr>
              <w:t>要环境保护目标（列出名单及保护级别）：</w:t>
            </w:r>
          </w:p>
          <w:p w14:paraId="25B3C015">
            <w:pPr>
              <w:adjustRightInd w:val="0"/>
              <w:snapToGrid w:val="0"/>
              <w:spacing w:line="360" w:lineRule="auto"/>
              <w:ind w:firstLine="480"/>
              <w:textAlignment w:val="center"/>
              <w:rPr>
                <w:rStyle w:val="51"/>
                <w:rFonts w:hint="eastAsia" w:ascii="宋体" w:hAnsi="宋体" w:eastAsia="宋体" w:cs="宋体"/>
                <w:color w:val="auto"/>
                <w:sz w:val="24"/>
                <w:szCs w:val="24"/>
              </w:rPr>
            </w:pPr>
            <w:r>
              <w:rPr>
                <w:rFonts w:hint="eastAsia" w:ascii="宋体" w:hAnsi="宋体" w:eastAsia="宋体" w:cs="宋体"/>
                <w:color w:val="auto"/>
                <w:sz w:val="24"/>
                <w:szCs w:val="24"/>
              </w:rPr>
              <w:t>项目所在地云南省德宏州芒市</w:t>
            </w:r>
            <w:r>
              <w:rPr>
                <w:rFonts w:hint="eastAsia" w:ascii="宋体" w:hAnsi="宋体" w:eastAsia="宋体" w:cs="宋体"/>
                <w:color w:val="auto"/>
                <w:sz w:val="24"/>
                <w:szCs w:val="24"/>
                <w:lang w:eastAsia="zh-CN"/>
              </w:rPr>
              <w:t>轩岗乡遮相居委会第一居民小组</w:t>
            </w:r>
            <w:r>
              <w:rPr>
                <w:rFonts w:hint="eastAsia" w:ascii="宋体" w:hAnsi="宋体" w:eastAsia="宋体" w:cs="宋体"/>
                <w:color w:val="auto"/>
                <w:sz w:val="24"/>
                <w:szCs w:val="24"/>
              </w:rPr>
              <w:t>，</w:t>
            </w:r>
            <w:r>
              <w:rPr>
                <w:rStyle w:val="51"/>
                <w:rFonts w:hint="eastAsia" w:ascii="宋体" w:hAnsi="宋体" w:eastAsia="宋体" w:cs="宋体"/>
                <w:color w:val="auto"/>
                <w:sz w:val="24"/>
                <w:szCs w:val="24"/>
              </w:rPr>
              <w:t>本项目周围没有需要特殊保护的重要文物，周围主要是农田及居民点，故本项目主要保护目标是保护好周围居民的正常生活不受影响，且保护好当地的大气环境，使本项目在建设和投产后维持现有水平。</w:t>
            </w:r>
          </w:p>
          <w:p w14:paraId="60F191AC">
            <w:pPr>
              <w:adjustRightInd w:val="0"/>
              <w:snapToGrid w:val="0"/>
              <w:spacing w:line="360" w:lineRule="auto"/>
              <w:ind w:firstLine="480"/>
              <w:textAlignment w:val="center"/>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1、环境空气保护目标</w:t>
            </w:r>
          </w:p>
          <w:p w14:paraId="41A3960A">
            <w:pPr>
              <w:adjustRightInd w:val="0"/>
              <w:snapToGrid w:val="0"/>
              <w:spacing w:line="360" w:lineRule="auto"/>
              <w:ind w:firstLine="480"/>
              <w:textAlignment w:val="center"/>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环境空气保护目标是周围的生活环境在本项目营运时不受明显影响，保护该区域环境空气质量符合《环境空气质量标准》（GB3095-2012）中的二类标准。</w:t>
            </w:r>
          </w:p>
          <w:p w14:paraId="5A90A4B6">
            <w:pPr>
              <w:adjustRightInd w:val="0"/>
              <w:snapToGrid w:val="0"/>
              <w:spacing w:line="360" w:lineRule="auto"/>
              <w:ind w:firstLine="480"/>
              <w:textAlignment w:val="center"/>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2、水环境保护目标</w:t>
            </w:r>
          </w:p>
          <w:p w14:paraId="4440180E">
            <w:pPr>
              <w:adjustRightInd w:val="0"/>
              <w:snapToGrid w:val="0"/>
              <w:spacing w:line="360" w:lineRule="auto"/>
              <w:ind w:firstLine="480"/>
              <w:textAlignment w:val="center"/>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水环境保护目标是使受纳水体的水质不因本项目的营运而受明显影响，距离项目区最近的地表水体为</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南</w:t>
            </w:r>
            <w:r>
              <w:rPr>
                <w:rFonts w:hint="eastAsia" w:ascii="宋体" w:hAnsi="宋体" w:eastAsia="宋体" w:cs="宋体"/>
                <w:color w:val="auto"/>
                <w:sz w:val="24"/>
                <w:szCs w:val="24"/>
              </w:rPr>
              <w:t>面约3</w:t>
            </w:r>
            <w:r>
              <w:rPr>
                <w:rFonts w:hint="eastAsia" w:ascii="宋体" w:hAnsi="宋体" w:eastAsia="宋体" w:cs="宋体"/>
                <w:color w:val="auto"/>
                <w:sz w:val="24"/>
                <w:szCs w:val="24"/>
                <w:lang w:val="en-US" w:eastAsia="zh-CN"/>
              </w:rPr>
              <w:t>.8k</w:t>
            </w:r>
            <w:r>
              <w:rPr>
                <w:rFonts w:hint="eastAsia" w:ascii="宋体" w:hAnsi="宋体" w:eastAsia="宋体" w:cs="宋体"/>
                <w:color w:val="auto"/>
                <w:sz w:val="24"/>
                <w:szCs w:val="24"/>
              </w:rPr>
              <w:t>m的芒市大河。</w:t>
            </w:r>
            <w:r>
              <w:rPr>
                <w:rStyle w:val="51"/>
                <w:rFonts w:hint="eastAsia" w:ascii="宋体" w:hAnsi="宋体" w:eastAsia="宋体" w:cs="宋体"/>
                <w:color w:val="auto"/>
                <w:sz w:val="24"/>
                <w:szCs w:val="24"/>
              </w:rPr>
              <w:t>地表水环境质量</w:t>
            </w:r>
            <w:r>
              <w:rPr>
                <w:rStyle w:val="51"/>
                <w:rFonts w:hint="eastAsia" w:ascii="宋体" w:hAnsi="宋体" w:cs="宋体"/>
                <w:color w:val="auto"/>
                <w:sz w:val="24"/>
                <w:szCs w:val="24"/>
              </w:rPr>
              <w:t>符合</w:t>
            </w:r>
            <w:r>
              <w:rPr>
                <w:rStyle w:val="51"/>
                <w:rFonts w:hint="eastAsia" w:ascii="宋体" w:hAnsi="宋体" w:eastAsia="宋体" w:cs="宋体"/>
                <w:color w:val="auto"/>
                <w:sz w:val="24"/>
                <w:szCs w:val="24"/>
              </w:rPr>
              <w:t>《地表水环境质量标准》(GB3838-2002)III类标准。</w:t>
            </w:r>
          </w:p>
          <w:p w14:paraId="0AEC29D6">
            <w:pPr>
              <w:adjustRightInd w:val="0"/>
              <w:snapToGrid w:val="0"/>
              <w:spacing w:line="360" w:lineRule="auto"/>
              <w:ind w:firstLine="480"/>
              <w:textAlignment w:val="center"/>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3、声环境保护目标</w:t>
            </w:r>
          </w:p>
          <w:p w14:paraId="36407595">
            <w:pPr>
              <w:adjustRightInd w:val="0"/>
              <w:snapToGrid w:val="0"/>
              <w:spacing w:line="360" w:lineRule="auto"/>
              <w:ind w:firstLine="480"/>
              <w:textAlignment w:val="center"/>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声环境保护目标是确保项目声环境质量符合《声环境质量标准》（GB3096－2008）2类标准。</w:t>
            </w:r>
          </w:p>
          <w:p w14:paraId="027D7A27">
            <w:pPr>
              <w:autoSpaceDE w:val="0"/>
              <w:autoSpaceDN w:val="0"/>
              <w:adjustRightInd w:val="0"/>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本项目主要环境保护目标</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项目周围环境关系见</w:t>
            </w:r>
            <w:r>
              <w:rPr>
                <w:rFonts w:hint="eastAsia" w:ascii="宋体" w:hAnsi="宋体" w:eastAsia="宋体" w:cs="宋体"/>
                <w:color w:val="auto"/>
                <w:sz w:val="24"/>
                <w:szCs w:val="24"/>
                <w:lang w:eastAsia="zh-CN"/>
              </w:rPr>
              <w:t>下表</w:t>
            </w:r>
            <w:r>
              <w:rPr>
                <w:rFonts w:hint="eastAsia" w:ascii="宋体" w:hAnsi="宋体" w:eastAsia="宋体" w:cs="宋体"/>
                <w:color w:val="auto"/>
                <w:sz w:val="24"/>
                <w:szCs w:val="24"/>
              </w:rPr>
              <w:t>，项目地理位置</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项目与周围环境关系图见附图。</w:t>
            </w:r>
          </w:p>
          <w:p w14:paraId="779213B2">
            <w:pPr>
              <w:pStyle w:val="16"/>
              <w:rPr>
                <w:rFonts w:hint="eastAsia"/>
                <w:color w:val="auto"/>
              </w:rPr>
            </w:pPr>
          </w:p>
        </w:tc>
      </w:tr>
      <w:tr w14:paraId="1BE9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5" w:hRule="atLeast"/>
          <w:jc w:val="center"/>
        </w:trPr>
        <w:tc>
          <w:tcPr>
            <w:tcW w:w="9022" w:type="dxa"/>
            <w:vAlign w:val="top"/>
          </w:tcPr>
          <w:p w14:paraId="5AB04C7C">
            <w:pPr>
              <w:autoSpaceDE w:val="0"/>
              <w:autoSpaceDN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cs="宋体"/>
                <w:b/>
                <w:color w:val="auto"/>
                <w:sz w:val="24"/>
                <w:lang w:val="en-US" w:eastAsia="zh-CN"/>
              </w:rPr>
              <w:t xml:space="preserve"> </w:t>
            </w:r>
            <w:r>
              <w:rPr>
                <w:rFonts w:hint="eastAsia" w:ascii="宋体" w:hAnsi="宋体" w:eastAsia="宋体" w:cs="宋体"/>
                <w:b/>
                <w:color w:val="auto"/>
                <w:sz w:val="24"/>
              </w:rPr>
              <w:t>表3-</w:t>
            </w:r>
            <w:r>
              <w:rPr>
                <w:rFonts w:hint="eastAsia" w:ascii="宋体" w:hAnsi="宋体" w:cs="宋体"/>
                <w:b/>
                <w:color w:val="auto"/>
                <w:sz w:val="24"/>
                <w:lang w:val="en-US" w:eastAsia="zh-CN"/>
              </w:rPr>
              <w:t xml:space="preserve">2 </w:t>
            </w:r>
            <w:r>
              <w:rPr>
                <w:rFonts w:hint="eastAsia" w:ascii="宋体" w:hAnsi="宋体" w:cs="宋体"/>
                <w:b/>
                <w:color w:val="auto"/>
                <w:sz w:val="24"/>
                <w:lang w:eastAsia="zh-CN"/>
              </w:rPr>
              <w:t>项目周边关系</w:t>
            </w:r>
            <w:r>
              <w:rPr>
                <w:rFonts w:hint="eastAsia" w:ascii="宋体" w:hAnsi="宋体" w:eastAsia="宋体" w:cs="宋体"/>
                <w:b/>
                <w:color w:val="auto"/>
                <w:sz w:val="24"/>
              </w:rPr>
              <w:t>一览表</w:t>
            </w:r>
          </w:p>
          <w:tbl>
            <w:tblPr>
              <w:tblStyle w:val="24"/>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1"/>
              <w:gridCol w:w="2657"/>
              <w:gridCol w:w="2474"/>
            </w:tblGrid>
            <w:tr w14:paraId="66C6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2DCD2F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周围环境</w:t>
                  </w:r>
                </w:p>
              </w:tc>
              <w:tc>
                <w:tcPr>
                  <w:tcW w:w="2657" w:type="dxa"/>
                  <w:tcBorders>
                    <w:top w:val="single" w:color="auto" w:sz="4" w:space="0"/>
                    <w:left w:val="single" w:color="auto" w:sz="4" w:space="0"/>
                    <w:bottom w:val="single" w:color="auto" w:sz="4" w:space="0"/>
                    <w:right w:val="single" w:color="auto" w:sz="4" w:space="0"/>
                  </w:tcBorders>
                  <w:vAlign w:val="center"/>
                </w:tcPr>
                <w:p w14:paraId="56896E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方位</w:t>
                  </w:r>
                </w:p>
              </w:tc>
              <w:tc>
                <w:tcPr>
                  <w:tcW w:w="2474" w:type="dxa"/>
                  <w:tcBorders>
                    <w:top w:val="single" w:color="auto" w:sz="4" w:space="0"/>
                    <w:left w:val="single" w:color="auto" w:sz="4" w:space="0"/>
                    <w:bottom w:val="single" w:color="auto" w:sz="4" w:space="0"/>
                    <w:right w:val="single" w:color="auto" w:sz="4" w:space="0"/>
                  </w:tcBorders>
                  <w:vAlign w:val="center"/>
                </w:tcPr>
                <w:p w14:paraId="09931E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距离</w:t>
                  </w:r>
                </w:p>
              </w:tc>
            </w:tr>
            <w:tr w14:paraId="15B5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0BDAD95E">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石灰厂</w:t>
                  </w:r>
                </w:p>
              </w:tc>
              <w:tc>
                <w:tcPr>
                  <w:tcW w:w="2657" w:type="dxa"/>
                  <w:tcBorders>
                    <w:top w:val="single" w:color="auto" w:sz="4" w:space="0"/>
                    <w:left w:val="single" w:color="auto" w:sz="4" w:space="0"/>
                    <w:bottom w:val="single" w:color="auto" w:sz="4" w:space="0"/>
                    <w:right w:val="single" w:color="auto" w:sz="4" w:space="0"/>
                  </w:tcBorders>
                  <w:vAlign w:val="center"/>
                </w:tcPr>
                <w:p w14:paraId="2EB0C16E">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西面</w:t>
                  </w:r>
                </w:p>
              </w:tc>
              <w:tc>
                <w:tcPr>
                  <w:tcW w:w="2474" w:type="dxa"/>
                  <w:tcBorders>
                    <w:top w:val="single" w:color="auto" w:sz="4" w:space="0"/>
                    <w:left w:val="single" w:color="auto" w:sz="4" w:space="0"/>
                    <w:bottom w:val="single" w:color="auto" w:sz="4" w:space="0"/>
                    <w:right w:val="single" w:color="auto" w:sz="4" w:space="0"/>
                  </w:tcBorders>
                  <w:vAlign w:val="center"/>
                </w:tcPr>
                <w:p w14:paraId="5343E67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310m</w:t>
                  </w:r>
                </w:p>
              </w:tc>
            </w:tr>
            <w:tr w14:paraId="6E41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25DCBB32">
                  <w:pPr>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平安村居民</w:t>
                  </w:r>
                </w:p>
              </w:tc>
              <w:tc>
                <w:tcPr>
                  <w:tcW w:w="2657" w:type="dxa"/>
                  <w:tcBorders>
                    <w:top w:val="single" w:color="auto" w:sz="4" w:space="0"/>
                    <w:left w:val="single" w:color="auto" w:sz="4" w:space="0"/>
                    <w:bottom w:val="single" w:color="auto" w:sz="4" w:space="0"/>
                    <w:right w:val="single" w:color="auto" w:sz="4" w:space="0"/>
                  </w:tcBorders>
                  <w:vAlign w:val="center"/>
                </w:tcPr>
                <w:p w14:paraId="60045F6C">
                  <w:pPr>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北面</w:t>
                  </w:r>
                </w:p>
              </w:tc>
              <w:tc>
                <w:tcPr>
                  <w:tcW w:w="2474" w:type="dxa"/>
                  <w:tcBorders>
                    <w:top w:val="single" w:color="auto" w:sz="4" w:space="0"/>
                    <w:left w:val="single" w:color="auto" w:sz="4" w:space="0"/>
                    <w:bottom w:val="single" w:color="auto" w:sz="4" w:space="0"/>
                    <w:right w:val="single" w:color="auto" w:sz="4" w:space="0"/>
                  </w:tcBorders>
                  <w:vAlign w:val="center"/>
                </w:tcPr>
                <w:p w14:paraId="665FBE33">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210</w:t>
                  </w:r>
                  <w:r>
                    <w:rPr>
                      <w:rFonts w:hint="eastAsia" w:ascii="宋体" w:hAnsi="宋体" w:eastAsia="宋体" w:cs="宋体"/>
                      <w:color w:val="auto"/>
                      <w:sz w:val="21"/>
                      <w:szCs w:val="21"/>
                      <w:highlight w:val="none"/>
                      <w:lang w:val="en-US" w:eastAsia="zh-CN"/>
                    </w:rPr>
                    <w:t>m</w:t>
                  </w:r>
                </w:p>
              </w:tc>
            </w:tr>
            <w:tr w14:paraId="0CCF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63DA3D7F">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平安村居民</w:t>
                  </w:r>
                </w:p>
              </w:tc>
              <w:tc>
                <w:tcPr>
                  <w:tcW w:w="2657" w:type="dxa"/>
                  <w:tcBorders>
                    <w:top w:val="single" w:color="auto" w:sz="4" w:space="0"/>
                    <w:left w:val="single" w:color="auto" w:sz="4" w:space="0"/>
                    <w:bottom w:val="single" w:color="auto" w:sz="4" w:space="0"/>
                    <w:right w:val="single" w:color="auto" w:sz="4" w:space="0"/>
                  </w:tcBorders>
                  <w:vAlign w:val="center"/>
                </w:tcPr>
                <w:p w14:paraId="5E68850E">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西北面</w:t>
                  </w:r>
                </w:p>
              </w:tc>
              <w:tc>
                <w:tcPr>
                  <w:tcW w:w="2474" w:type="dxa"/>
                  <w:tcBorders>
                    <w:top w:val="single" w:color="auto" w:sz="4" w:space="0"/>
                    <w:left w:val="single" w:color="auto" w:sz="4" w:space="0"/>
                    <w:bottom w:val="single" w:color="auto" w:sz="4" w:space="0"/>
                    <w:right w:val="single" w:color="auto" w:sz="4" w:space="0"/>
                  </w:tcBorders>
                  <w:vAlign w:val="center"/>
                </w:tcPr>
                <w:p w14:paraId="5FBC469D">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220m</w:t>
                  </w:r>
                </w:p>
              </w:tc>
            </w:tr>
            <w:tr w14:paraId="32B1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3ABA1617">
                  <w:pPr>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平安村散户</w:t>
                  </w:r>
                </w:p>
              </w:tc>
              <w:tc>
                <w:tcPr>
                  <w:tcW w:w="2657" w:type="dxa"/>
                  <w:tcBorders>
                    <w:top w:val="single" w:color="auto" w:sz="4" w:space="0"/>
                    <w:left w:val="single" w:color="auto" w:sz="4" w:space="0"/>
                    <w:bottom w:val="single" w:color="auto" w:sz="4" w:space="0"/>
                    <w:right w:val="single" w:color="auto" w:sz="4" w:space="0"/>
                  </w:tcBorders>
                  <w:vAlign w:val="center"/>
                </w:tcPr>
                <w:p w14:paraId="2D4729DA">
                  <w:pPr>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西北面</w:t>
                  </w:r>
                </w:p>
              </w:tc>
              <w:tc>
                <w:tcPr>
                  <w:tcW w:w="2474" w:type="dxa"/>
                  <w:tcBorders>
                    <w:top w:val="single" w:color="auto" w:sz="4" w:space="0"/>
                    <w:left w:val="single" w:color="auto" w:sz="4" w:space="0"/>
                    <w:bottom w:val="single" w:color="auto" w:sz="4" w:space="0"/>
                    <w:right w:val="single" w:color="auto" w:sz="4" w:space="0"/>
                  </w:tcBorders>
                  <w:vAlign w:val="center"/>
                </w:tcPr>
                <w:p w14:paraId="657BE7D8">
                  <w:pPr>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70m</w:t>
                  </w:r>
                </w:p>
              </w:tc>
            </w:tr>
            <w:tr w14:paraId="0E77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3000C191">
                  <w:pPr>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平安村散户</w:t>
                  </w:r>
                </w:p>
              </w:tc>
              <w:tc>
                <w:tcPr>
                  <w:tcW w:w="2657" w:type="dxa"/>
                  <w:tcBorders>
                    <w:top w:val="single" w:color="auto" w:sz="4" w:space="0"/>
                    <w:left w:val="single" w:color="auto" w:sz="4" w:space="0"/>
                    <w:bottom w:val="single" w:color="auto" w:sz="4" w:space="0"/>
                    <w:right w:val="single" w:color="auto" w:sz="4" w:space="0"/>
                  </w:tcBorders>
                  <w:vAlign w:val="center"/>
                </w:tcPr>
                <w:p w14:paraId="5523026E">
                  <w:pPr>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西面</w:t>
                  </w:r>
                </w:p>
              </w:tc>
              <w:tc>
                <w:tcPr>
                  <w:tcW w:w="2474" w:type="dxa"/>
                  <w:tcBorders>
                    <w:top w:val="single" w:color="auto" w:sz="4" w:space="0"/>
                    <w:left w:val="single" w:color="auto" w:sz="4" w:space="0"/>
                    <w:bottom w:val="single" w:color="auto" w:sz="4" w:space="0"/>
                    <w:right w:val="single" w:color="auto" w:sz="4" w:space="0"/>
                  </w:tcBorders>
                  <w:vAlign w:val="center"/>
                </w:tcPr>
                <w:p w14:paraId="5AC12041">
                  <w:pPr>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65m</w:t>
                  </w:r>
                </w:p>
              </w:tc>
            </w:tr>
            <w:tr w14:paraId="2D23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46CD648E">
                  <w:pPr>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平安村散户</w:t>
                  </w:r>
                </w:p>
              </w:tc>
              <w:tc>
                <w:tcPr>
                  <w:tcW w:w="2657" w:type="dxa"/>
                  <w:tcBorders>
                    <w:top w:val="single" w:color="auto" w:sz="4" w:space="0"/>
                    <w:left w:val="single" w:color="auto" w:sz="4" w:space="0"/>
                    <w:bottom w:val="single" w:color="auto" w:sz="4" w:space="0"/>
                    <w:right w:val="single" w:color="auto" w:sz="4" w:space="0"/>
                  </w:tcBorders>
                  <w:vAlign w:val="center"/>
                </w:tcPr>
                <w:p w14:paraId="587AD80E">
                  <w:pPr>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西南面</w:t>
                  </w:r>
                </w:p>
              </w:tc>
              <w:tc>
                <w:tcPr>
                  <w:tcW w:w="2474" w:type="dxa"/>
                  <w:tcBorders>
                    <w:top w:val="single" w:color="auto" w:sz="4" w:space="0"/>
                    <w:left w:val="single" w:color="auto" w:sz="4" w:space="0"/>
                    <w:bottom w:val="single" w:color="auto" w:sz="4" w:space="0"/>
                    <w:right w:val="single" w:color="auto" w:sz="4" w:space="0"/>
                  </w:tcBorders>
                  <w:vAlign w:val="center"/>
                </w:tcPr>
                <w:p w14:paraId="6745033D">
                  <w:pPr>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135m</w:t>
                  </w:r>
                </w:p>
              </w:tc>
            </w:tr>
            <w:tr w14:paraId="331A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07B73BC6">
                  <w:pPr>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平安村散户</w:t>
                  </w:r>
                </w:p>
              </w:tc>
              <w:tc>
                <w:tcPr>
                  <w:tcW w:w="2657" w:type="dxa"/>
                  <w:tcBorders>
                    <w:top w:val="single" w:color="auto" w:sz="4" w:space="0"/>
                    <w:left w:val="single" w:color="auto" w:sz="4" w:space="0"/>
                    <w:bottom w:val="single" w:color="auto" w:sz="4" w:space="0"/>
                    <w:right w:val="single" w:color="auto" w:sz="4" w:space="0"/>
                  </w:tcBorders>
                  <w:vAlign w:val="center"/>
                </w:tcPr>
                <w:p w14:paraId="3843A052">
                  <w:pPr>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西面</w:t>
                  </w:r>
                </w:p>
              </w:tc>
              <w:tc>
                <w:tcPr>
                  <w:tcW w:w="2474" w:type="dxa"/>
                  <w:tcBorders>
                    <w:top w:val="single" w:color="auto" w:sz="4" w:space="0"/>
                    <w:left w:val="single" w:color="auto" w:sz="4" w:space="0"/>
                    <w:bottom w:val="single" w:color="auto" w:sz="4" w:space="0"/>
                    <w:right w:val="single" w:color="auto" w:sz="4" w:space="0"/>
                  </w:tcBorders>
                  <w:vAlign w:val="center"/>
                </w:tcPr>
                <w:p w14:paraId="04E376BA">
                  <w:pPr>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170m</w:t>
                  </w:r>
                </w:p>
              </w:tc>
            </w:tr>
            <w:tr w14:paraId="3A38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4EC4B1F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水井村居民</w:t>
                  </w:r>
                </w:p>
              </w:tc>
              <w:tc>
                <w:tcPr>
                  <w:tcW w:w="2657" w:type="dxa"/>
                  <w:tcBorders>
                    <w:top w:val="single" w:color="auto" w:sz="4" w:space="0"/>
                    <w:left w:val="single" w:color="auto" w:sz="4" w:space="0"/>
                    <w:bottom w:val="single" w:color="auto" w:sz="4" w:space="0"/>
                    <w:right w:val="single" w:color="auto" w:sz="4" w:space="0"/>
                  </w:tcBorders>
                  <w:vAlign w:val="center"/>
                </w:tcPr>
                <w:p w14:paraId="19E4D329">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南面</w:t>
                  </w:r>
                </w:p>
              </w:tc>
              <w:tc>
                <w:tcPr>
                  <w:tcW w:w="2474" w:type="dxa"/>
                  <w:tcBorders>
                    <w:top w:val="single" w:color="auto" w:sz="4" w:space="0"/>
                    <w:left w:val="single" w:color="auto" w:sz="4" w:space="0"/>
                    <w:bottom w:val="single" w:color="auto" w:sz="4" w:space="0"/>
                    <w:right w:val="single" w:color="auto" w:sz="4" w:space="0"/>
                  </w:tcBorders>
                  <w:vAlign w:val="center"/>
                </w:tcPr>
                <w:p w14:paraId="6AB78EE5">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280m</w:t>
                  </w:r>
                </w:p>
              </w:tc>
            </w:tr>
            <w:tr w14:paraId="74E9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7C4A9CCC">
                  <w:pPr>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养殖厂</w:t>
                  </w:r>
                </w:p>
              </w:tc>
              <w:tc>
                <w:tcPr>
                  <w:tcW w:w="2657" w:type="dxa"/>
                  <w:tcBorders>
                    <w:top w:val="single" w:color="auto" w:sz="4" w:space="0"/>
                    <w:left w:val="single" w:color="auto" w:sz="4" w:space="0"/>
                    <w:bottom w:val="single" w:color="auto" w:sz="4" w:space="0"/>
                    <w:right w:val="single" w:color="auto" w:sz="4" w:space="0"/>
                  </w:tcBorders>
                  <w:vAlign w:val="center"/>
                </w:tcPr>
                <w:p w14:paraId="266D05A7">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西面</w:t>
                  </w:r>
                </w:p>
              </w:tc>
              <w:tc>
                <w:tcPr>
                  <w:tcW w:w="2474" w:type="dxa"/>
                  <w:tcBorders>
                    <w:top w:val="single" w:color="auto" w:sz="4" w:space="0"/>
                    <w:left w:val="single" w:color="auto" w:sz="4" w:space="0"/>
                    <w:bottom w:val="single" w:color="auto" w:sz="4" w:space="0"/>
                    <w:right w:val="single" w:color="auto" w:sz="4" w:space="0"/>
                  </w:tcBorders>
                  <w:vAlign w:val="center"/>
                </w:tcPr>
                <w:p w14:paraId="7ECAEE7B">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120m</w:t>
                  </w:r>
                </w:p>
              </w:tc>
            </w:tr>
            <w:tr w14:paraId="40A2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5C918DFA">
                  <w:pPr>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仓库</w:t>
                  </w:r>
                </w:p>
              </w:tc>
              <w:tc>
                <w:tcPr>
                  <w:tcW w:w="2657" w:type="dxa"/>
                  <w:tcBorders>
                    <w:top w:val="single" w:color="auto" w:sz="4" w:space="0"/>
                    <w:left w:val="single" w:color="auto" w:sz="4" w:space="0"/>
                    <w:bottom w:val="single" w:color="auto" w:sz="4" w:space="0"/>
                    <w:right w:val="single" w:color="auto" w:sz="4" w:space="0"/>
                  </w:tcBorders>
                  <w:vAlign w:val="center"/>
                </w:tcPr>
                <w:p w14:paraId="787BA6B8">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西面</w:t>
                  </w:r>
                </w:p>
              </w:tc>
              <w:tc>
                <w:tcPr>
                  <w:tcW w:w="2474" w:type="dxa"/>
                  <w:tcBorders>
                    <w:top w:val="single" w:color="auto" w:sz="4" w:space="0"/>
                    <w:left w:val="single" w:color="auto" w:sz="4" w:space="0"/>
                    <w:bottom w:val="single" w:color="auto" w:sz="4" w:space="0"/>
                    <w:right w:val="single" w:color="auto" w:sz="4" w:space="0"/>
                  </w:tcBorders>
                  <w:vAlign w:val="center"/>
                </w:tcPr>
                <w:p w14:paraId="2B46D38E">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130m</w:t>
                  </w:r>
                </w:p>
              </w:tc>
            </w:tr>
            <w:tr w14:paraId="105A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46D89ACC">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空楼房</w:t>
                  </w:r>
                </w:p>
              </w:tc>
              <w:tc>
                <w:tcPr>
                  <w:tcW w:w="2657" w:type="dxa"/>
                  <w:tcBorders>
                    <w:top w:val="single" w:color="auto" w:sz="4" w:space="0"/>
                    <w:left w:val="single" w:color="auto" w:sz="4" w:space="0"/>
                    <w:bottom w:val="single" w:color="auto" w:sz="4" w:space="0"/>
                    <w:right w:val="single" w:color="auto" w:sz="4" w:space="0"/>
                  </w:tcBorders>
                  <w:vAlign w:val="center"/>
                </w:tcPr>
                <w:p w14:paraId="715B8EA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西南面</w:t>
                  </w:r>
                </w:p>
              </w:tc>
              <w:tc>
                <w:tcPr>
                  <w:tcW w:w="2474" w:type="dxa"/>
                  <w:tcBorders>
                    <w:top w:val="single" w:color="auto" w:sz="4" w:space="0"/>
                    <w:left w:val="single" w:color="auto" w:sz="4" w:space="0"/>
                    <w:bottom w:val="single" w:color="auto" w:sz="4" w:space="0"/>
                    <w:right w:val="single" w:color="auto" w:sz="4" w:space="0"/>
                  </w:tcBorders>
                  <w:vAlign w:val="center"/>
                </w:tcPr>
                <w:p w14:paraId="6E5F273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270m</w:t>
                  </w:r>
                </w:p>
              </w:tc>
            </w:tr>
            <w:tr w14:paraId="19B8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2FAA396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饲料厂</w:t>
                  </w:r>
                </w:p>
              </w:tc>
              <w:tc>
                <w:tcPr>
                  <w:tcW w:w="2657" w:type="dxa"/>
                  <w:tcBorders>
                    <w:top w:val="single" w:color="auto" w:sz="4" w:space="0"/>
                    <w:left w:val="single" w:color="auto" w:sz="4" w:space="0"/>
                    <w:bottom w:val="single" w:color="auto" w:sz="4" w:space="0"/>
                    <w:right w:val="single" w:color="auto" w:sz="4" w:space="0"/>
                  </w:tcBorders>
                  <w:vAlign w:val="center"/>
                </w:tcPr>
                <w:p w14:paraId="6FFC2AE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西面</w:t>
                  </w:r>
                </w:p>
              </w:tc>
              <w:tc>
                <w:tcPr>
                  <w:tcW w:w="2474" w:type="dxa"/>
                  <w:tcBorders>
                    <w:top w:val="single" w:color="auto" w:sz="4" w:space="0"/>
                    <w:left w:val="single" w:color="auto" w:sz="4" w:space="0"/>
                    <w:bottom w:val="single" w:color="auto" w:sz="4" w:space="0"/>
                    <w:right w:val="single" w:color="auto" w:sz="4" w:space="0"/>
                  </w:tcBorders>
                  <w:vAlign w:val="center"/>
                </w:tcPr>
                <w:p w14:paraId="6CB9FC3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160m</w:t>
                  </w:r>
                </w:p>
              </w:tc>
            </w:tr>
            <w:tr w14:paraId="423F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0482F76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遮相分场一队</w:t>
                  </w:r>
                </w:p>
              </w:tc>
              <w:tc>
                <w:tcPr>
                  <w:tcW w:w="2657" w:type="dxa"/>
                  <w:tcBorders>
                    <w:top w:val="single" w:color="auto" w:sz="4" w:space="0"/>
                    <w:left w:val="single" w:color="auto" w:sz="4" w:space="0"/>
                    <w:bottom w:val="single" w:color="auto" w:sz="4" w:space="0"/>
                    <w:right w:val="single" w:color="auto" w:sz="4" w:space="0"/>
                  </w:tcBorders>
                  <w:vAlign w:val="center"/>
                </w:tcPr>
                <w:p w14:paraId="4F0E2A7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南面</w:t>
                  </w:r>
                </w:p>
              </w:tc>
              <w:tc>
                <w:tcPr>
                  <w:tcW w:w="2474" w:type="dxa"/>
                  <w:tcBorders>
                    <w:top w:val="single" w:color="auto" w:sz="4" w:space="0"/>
                    <w:left w:val="single" w:color="auto" w:sz="4" w:space="0"/>
                    <w:bottom w:val="single" w:color="auto" w:sz="4" w:space="0"/>
                    <w:right w:val="single" w:color="auto" w:sz="4" w:space="0"/>
                  </w:tcBorders>
                  <w:vAlign w:val="center"/>
                </w:tcPr>
                <w:p w14:paraId="28EB7FD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15m</w:t>
                  </w:r>
                </w:p>
              </w:tc>
            </w:tr>
            <w:tr w14:paraId="64C5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1D2A8C3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遮相分场十一队</w:t>
                  </w:r>
                </w:p>
              </w:tc>
              <w:tc>
                <w:tcPr>
                  <w:tcW w:w="2657" w:type="dxa"/>
                  <w:tcBorders>
                    <w:top w:val="single" w:color="auto" w:sz="4" w:space="0"/>
                    <w:left w:val="single" w:color="auto" w:sz="4" w:space="0"/>
                    <w:bottom w:val="single" w:color="auto" w:sz="4" w:space="0"/>
                    <w:right w:val="single" w:color="auto" w:sz="4" w:space="0"/>
                  </w:tcBorders>
                  <w:vAlign w:val="center"/>
                </w:tcPr>
                <w:p w14:paraId="6F9FA68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南面</w:t>
                  </w:r>
                </w:p>
              </w:tc>
              <w:tc>
                <w:tcPr>
                  <w:tcW w:w="2474" w:type="dxa"/>
                  <w:tcBorders>
                    <w:top w:val="single" w:color="auto" w:sz="4" w:space="0"/>
                    <w:left w:val="single" w:color="auto" w:sz="4" w:space="0"/>
                    <w:bottom w:val="single" w:color="auto" w:sz="4" w:space="0"/>
                    <w:right w:val="single" w:color="auto" w:sz="4" w:space="0"/>
                  </w:tcBorders>
                  <w:vAlign w:val="center"/>
                </w:tcPr>
                <w:p w14:paraId="67916BF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65m</w:t>
                  </w:r>
                </w:p>
              </w:tc>
            </w:tr>
            <w:tr w14:paraId="245B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0896D34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遮相分场十五队</w:t>
                  </w:r>
                </w:p>
              </w:tc>
              <w:tc>
                <w:tcPr>
                  <w:tcW w:w="2657" w:type="dxa"/>
                  <w:tcBorders>
                    <w:top w:val="single" w:color="auto" w:sz="4" w:space="0"/>
                    <w:left w:val="single" w:color="auto" w:sz="4" w:space="0"/>
                    <w:bottom w:val="single" w:color="auto" w:sz="4" w:space="0"/>
                    <w:right w:val="single" w:color="auto" w:sz="4" w:space="0"/>
                  </w:tcBorders>
                  <w:vAlign w:val="center"/>
                </w:tcPr>
                <w:p w14:paraId="15F066D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北面</w:t>
                  </w:r>
                </w:p>
              </w:tc>
              <w:tc>
                <w:tcPr>
                  <w:tcW w:w="2474" w:type="dxa"/>
                  <w:tcBorders>
                    <w:top w:val="single" w:color="auto" w:sz="4" w:space="0"/>
                    <w:left w:val="single" w:color="auto" w:sz="4" w:space="0"/>
                    <w:bottom w:val="single" w:color="auto" w:sz="4" w:space="0"/>
                    <w:right w:val="single" w:color="auto" w:sz="4" w:space="0"/>
                  </w:tcBorders>
                  <w:vAlign w:val="center"/>
                </w:tcPr>
                <w:p w14:paraId="0BCA44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60m</w:t>
                  </w:r>
                </w:p>
              </w:tc>
            </w:tr>
            <w:tr w14:paraId="2DA8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exact"/>
                <w:jc w:val="center"/>
              </w:trPr>
              <w:tc>
                <w:tcPr>
                  <w:tcW w:w="3711" w:type="dxa"/>
                  <w:tcBorders>
                    <w:top w:val="single" w:color="auto" w:sz="4" w:space="0"/>
                    <w:left w:val="single" w:color="auto" w:sz="4" w:space="0"/>
                    <w:bottom w:val="single" w:color="auto" w:sz="4" w:space="0"/>
                    <w:right w:val="single" w:color="auto" w:sz="4" w:space="0"/>
                  </w:tcBorders>
                  <w:vAlign w:val="center"/>
                </w:tcPr>
                <w:p w14:paraId="621CFE66">
                  <w:pPr>
                    <w:ind w:firstLine="1050" w:firstLineChars="5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遮相分场十五队</w:t>
                  </w:r>
                </w:p>
              </w:tc>
              <w:tc>
                <w:tcPr>
                  <w:tcW w:w="2657" w:type="dxa"/>
                  <w:tcBorders>
                    <w:top w:val="single" w:color="auto" w:sz="4" w:space="0"/>
                    <w:left w:val="single" w:color="auto" w:sz="4" w:space="0"/>
                    <w:bottom w:val="single" w:color="auto" w:sz="4" w:space="0"/>
                    <w:right w:val="single" w:color="auto" w:sz="4" w:space="0"/>
                  </w:tcBorders>
                  <w:vAlign w:val="center"/>
                </w:tcPr>
                <w:p w14:paraId="6A843D3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东北面</w:t>
                  </w:r>
                </w:p>
              </w:tc>
              <w:tc>
                <w:tcPr>
                  <w:tcW w:w="2474" w:type="dxa"/>
                  <w:tcBorders>
                    <w:top w:val="single" w:color="auto" w:sz="4" w:space="0"/>
                    <w:left w:val="single" w:color="auto" w:sz="4" w:space="0"/>
                    <w:bottom w:val="single" w:color="auto" w:sz="4" w:space="0"/>
                    <w:right w:val="single" w:color="auto" w:sz="4" w:space="0"/>
                  </w:tcBorders>
                  <w:vAlign w:val="center"/>
                </w:tcPr>
                <w:p w14:paraId="41D189D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100m</w:t>
                  </w:r>
                </w:p>
              </w:tc>
            </w:tr>
          </w:tbl>
          <w:p w14:paraId="290F2181">
            <w:pPr>
              <w:spacing w:line="360" w:lineRule="auto"/>
              <w:ind w:firstLine="1928" w:firstLineChars="800"/>
              <w:jc w:val="both"/>
              <w:rPr>
                <w:rFonts w:hint="eastAsia" w:ascii="宋体" w:hAnsi="宋体" w:eastAsia="宋体" w:cs="宋体"/>
                <w:b/>
                <w:color w:val="auto"/>
                <w:sz w:val="24"/>
              </w:rPr>
            </w:pPr>
            <w:r>
              <w:rPr>
                <w:rFonts w:hint="eastAsia" w:ascii="宋体" w:hAnsi="宋体" w:eastAsia="宋体" w:cs="宋体"/>
                <w:b/>
                <w:color w:val="auto"/>
                <w:sz w:val="24"/>
              </w:rPr>
              <w:t>表3-</w:t>
            </w:r>
            <w:r>
              <w:rPr>
                <w:rFonts w:hint="eastAsia" w:ascii="宋体" w:hAnsi="宋体" w:cs="宋体"/>
                <w:b/>
                <w:color w:val="auto"/>
                <w:sz w:val="24"/>
                <w:lang w:val="en-US" w:eastAsia="zh-CN"/>
              </w:rPr>
              <w:t>3</w:t>
            </w:r>
            <w:r>
              <w:rPr>
                <w:rFonts w:hint="eastAsia" w:ascii="宋体" w:hAnsi="宋体" w:eastAsia="宋体" w:cs="宋体"/>
                <w:b/>
                <w:color w:val="auto"/>
                <w:sz w:val="24"/>
              </w:rPr>
              <w:t xml:space="preserve">   项目附近主要环境保护目标一览表</w:t>
            </w:r>
          </w:p>
          <w:tbl>
            <w:tblPr>
              <w:tblStyle w:val="24"/>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773"/>
              <w:gridCol w:w="1009"/>
              <w:gridCol w:w="941"/>
              <w:gridCol w:w="1118"/>
              <w:gridCol w:w="1132"/>
              <w:gridCol w:w="2180"/>
            </w:tblGrid>
            <w:tr w14:paraId="239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704593F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773" w:type="dxa"/>
                  <w:tcBorders>
                    <w:top w:val="single" w:color="auto" w:sz="4" w:space="0"/>
                    <w:left w:val="single" w:color="auto" w:sz="4" w:space="0"/>
                    <w:bottom w:val="single" w:color="auto" w:sz="4" w:space="0"/>
                    <w:right w:val="single" w:color="auto" w:sz="4" w:space="0"/>
                  </w:tcBorders>
                  <w:vAlign w:val="center"/>
                </w:tcPr>
                <w:p w14:paraId="1EC344F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周围环境</w:t>
                  </w:r>
                </w:p>
              </w:tc>
              <w:tc>
                <w:tcPr>
                  <w:tcW w:w="1009" w:type="dxa"/>
                  <w:tcBorders>
                    <w:top w:val="single" w:color="auto" w:sz="4" w:space="0"/>
                    <w:left w:val="single" w:color="auto" w:sz="4" w:space="0"/>
                    <w:bottom w:val="single" w:color="auto" w:sz="4" w:space="0"/>
                    <w:right w:val="single" w:color="auto" w:sz="4" w:space="0"/>
                  </w:tcBorders>
                  <w:vAlign w:val="center"/>
                </w:tcPr>
                <w:p w14:paraId="0BF501C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方位</w:t>
                  </w:r>
                </w:p>
              </w:tc>
              <w:tc>
                <w:tcPr>
                  <w:tcW w:w="941" w:type="dxa"/>
                  <w:tcBorders>
                    <w:top w:val="single" w:color="auto" w:sz="4" w:space="0"/>
                    <w:left w:val="single" w:color="auto" w:sz="4" w:space="0"/>
                    <w:bottom w:val="single" w:color="auto" w:sz="4" w:space="0"/>
                    <w:right w:val="single" w:color="auto" w:sz="4" w:space="0"/>
                  </w:tcBorders>
                  <w:vAlign w:val="center"/>
                </w:tcPr>
                <w:p w14:paraId="6F48DA96">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距离</w:t>
                  </w:r>
                </w:p>
              </w:tc>
              <w:tc>
                <w:tcPr>
                  <w:tcW w:w="1118" w:type="dxa"/>
                  <w:tcBorders>
                    <w:top w:val="single" w:color="auto" w:sz="4" w:space="0"/>
                    <w:left w:val="single" w:color="auto" w:sz="4" w:space="0"/>
                    <w:bottom w:val="single" w:color="auto" w:sz="4" w:space="0"/>
                    <w:right w:val="single" w:color="auto" w:sz="4" w:space="0"/>
                  </w:tcBorders>
                  <w:vAlign w:val="center"/>
                </w:tcPr>
                <w:p w14:paraId="70568325">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居民人数</w:t>
                  </w:r>
                </w:p>
              </w:tc>
              <w:tc>
                <w:tcPr>
                  <w:tcW w:w="1132" w:type="dxa"/>
                  <w:tcBorders>
                    <w:top w:val="single" w:color="auto" w:sz="4" w:space="0"/>
                    <w:left w:val="single" w:color="auto" w:sz="4" w:space="0"/>
                    <w:bottom w:val="single" w:color="auto" w:sz="4" w:space="0"/>
                    <w:right w:val="single" w:color="auto" w:sz="4" w:space="0"/>
                  </w:tcBorders>
                  <w:vAlign w:val="center"/>
                </w:tcPr>
                <w:p w14:paraId="1A7A4FB3">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环境要素</w:t>
                  </w:r>
                </w:p>
              </w:tc>
              <w:tc>
                <w:tcPr>
                  <w:tcW w:w="2180" w:type="dxa"/>
                  <w:tcBorders>
                    <w:top w:val="single" w:color="auto" w:sz="4" w:space="0"/>
                    <w:left w:val="single" w:color="auto" w:sz="4" w:space="0"/>
                    <w:bottom w:val="single" w:color="auto" w:sz="4" w:space="0"/>
                    <w:right w:val="single" w:color="auto" w:sz="4" w:space="0"/>
                  </w:tcBorders>
                  <w:vAlign w:val="center"/>
                </w:tcPr>
                <w:p w14:paraId="29C613E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保护级别</w:t>
                  </w:r>
                </w:p>
              </w:tc>
            </w:tr>
            <w:tr w14:paraId="5B11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175C9513">
                  <w:pPr>
                    <w:spacing w:line="240" w:lineRule="auto"/>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rPr>
                    <w:t>1</w:t>
                  </w:r>
                </w:p>
              </w:tc>
              <w:tc>
                <w:tcPr>
                  <w:tcW w:w="1773" w:type="dxa"/>
                  <w:tcBorders>
                    <w:top w:val="single" w:color="auto" w:sz="4" w:space="0"/>
                    <w:left w:val="single" w:color="auto" w:sz="4" w:space="0"/>
                    <w:bottom w:val="single" w:color="auto" w:sz="4" w:space="0"/>
                    <w:right w:val="single" w:color="auto" w:sz="4" w:space="0"/>
                  </w:tcBorders>
                  <w:vAlign w:val="center"/>
                </w:tcPr>
                <w:p w14:paraId="1537759B">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平安村居民</w:t>
                  </w:r>
                </w:p>
              </w:tc>
              <w:tc>
                <w:tcPr>
                  <w:tcW w:w="1009" w:type="dxa"/>
                  <w:tcBorders>
                    <w:top w:val="single" w:color="auto" w:sz="4" w:space="0"/>
                    <w:left w:val="single" w:color="auto" w:sz="4" w:space="0"/>
                    <w:bottom w:val="single" w:color="auto" w:sz="4" w:space="0"/>
                    <w:right w:val="single" w:color="auto" w:sz="4" w:space="0"/>
                  </w:tcBorders>
                  <w:vAlign w:val="center"/>
                </w:tcPr>
                <w:p w14:paraId="60295368">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北面</w:t>
                  </w:r>
                </w:p>
              </w:tc>
              <w:tc>
                <w:tcPr>
                  <w:tcW w:w="941" w:type="dxa"/>
                  <w:tcBorders>
                    <w:top w:val="single" w:color="auto" w:sz="4" w:space="0"/>
                    <w:left w:val="single" w:color="auto" w:sz="4" w:space="0"/>
                    <w:bottom w:val="single" w:color="auto" w:sz="4" w:space="0"/>
                    <w:right w:val="single" w:color="auto" w:sz="4" w:space="0"/>
                  </w:tcBorders>
                  <w:vAlign w:val="center"/>
                </w:tcPr>
                <w:p w14:paraId="06F7CA98">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210</w:t>
                  </w:r>
                  <w:r>
                    <w:rPr>
                      <w:rFonts w:hint="eastAsia" w:ascii="宋体" w:hAnsi="宋体" w:eastAsia="宋体" w:cs="宋体"/>
                      <w:color w:val="auto"/>
                      <w:sz w:val="21"/>
                      <w:szCs w:val="21"/>
                      <w:highlight w:val="none"/>
                      <w:lang w:val="en-US" w:eastAsia="zh-CN"/>
                    </w:rPr>
                    <w:t>m</w:t>
                  </w:r>
                </w:p>
              </w:tc>
              <w:tc>
                <w:tcPr>
                  <w:tcW w:w="1118" w:type="dxa"/>
                  <w:tcBorders>
                    <w:top w:val="single" w:color="auto" w:sz="4" w:space="0"/>
                    <w:left w:val="single" w:color="auto" w:sz="4" w:space="0"/>
                    <w:bottom w:val="single" w:color="auto" w:sz="4" w:space="0"/>
                    <w:right w:val="single" w:color="auto" w:sz="4" w:space="0"/>
                  </w:tcBorders>
                  <w:vAlign w:val="center"/>
                </w:tcPr>
                <w:p w14:paraId="4820261C">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w:t>
                  </w:r>
                </w:p>
              </w:tc>
              <w:tc>
                <w:tcPr>
                  <w:tcW w:w="1132" w:type="dxa"/>
                  <w:vMerge w:val="restart"/>
                  <w:tcBorders>
                    <w:top w:val="single" w:color="auto" w:sz="4" w:space="0"/>
                    <w:left w:val="single" w:color="auto" w:sz="4" w:space="0"/>
                    <w:right w:val="single" w:color="auto" w:sz="4" w:space="0"/>
                  </w:tcBorders>
                  <w:vAlign w:val="center"/>
                </w:tcPr>
                <w:p w14:paraId="2751499F">
                  <w:pPr>
                    <w:spacing w:line="240" w:lineRule="auto"/>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rPr>
                    <w:t>环境空气</w:t>
                  </w:r>
                </w:p>
              </w:tc>
              <w:tc>
                <w:tcPr>
                  <w:tcW w:w="2180" w:type="dxa"/>
                  <w:vMerge w:val="restart"/>
                  <w:tcBorders>
                    <w:top w:val="single" w:color="auto" w:sz="4" w:space="0"/>
                    <w:left w:val="single" w:color="auto" w:sz="4" w:space="0"/>
                    <w:right w:val="single" w:color="auto" w:sz="4" w:space="0"/>
                  </w:tcBorders>
                  <w:vAlign w:val="center"/>
                </w:tcPr>
                <w:p w14:paraId="29221754">
                  <w:pPr>
                    <w:spacing w:line="240" w:lineRule="auto"/>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rPr>
                    <w:t>《环境空气质量标准》（GB3095-2012）标准；</w:t>
                  </w:r>
                </w:p>
              </w:tc>
            </w:tr>
            <w:tr w14:paraId="7F7C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2837B53C">
                  <w:pPr>
                    <w:spacing w:line="240" w:lineRule="auto"/>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rPr>
                    <w:t>2</w:t>
                  </w:r>
                </w:p>
              </w:tc>
              <w:tc>
                <w:tcPr>
                  <w:tcW w:w="1773" w:type="dxa"/>
                  <w:tcBorders>
                    <w:top w:val="single" w:color="auto" w:sz="4" w:space="0"/>
                    <w:left w:val="single" w:color="auto" w:sz="4" w:space="0"/>
                    <w:bottom w:val="single" w:color="auto" w:sz="4" w:space="0"/>
                    <w:right w:val="single" w:color="auto" w:sz="4" w:space="0"/>
                  </w:tcBorders>
                  <w:vAlign w:val="center"/>
                </w:tcPr>
                <w:p w14:paraId="3A2005EE">
                  <w:pPr>
                    <w:spacing w:line="24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平安村居民</w:t>
                  </w:r>
                </w:p>
              </w:tc>
              <w:tc>
                <w:tcPr>
                  <w:tcW w:w="1009" w:type="dxa"/>
                  <w:tcBorders>
                    <w:top w:val="single" w:color="auto" w:sz="4" w:space="0"/>
                    <w:left w:val="single" w:color="auto" w:sz="4" w:space="0"/>
                    <w:bottom w:val="single" w:color="auto" w:sz="4" w:space="0"/>
                    <w:right w:val="single" w:color="auto" w:sz="4" w:space="0"/>
                  </w:tcBorders>
                  <w:vAlign w:val="center"/>
                </w:tcPr>
                <w:p w14:paraId="5FEBA677">
                  <w:pPr>
                    <w:spacing w:line="24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西北面</w:t>
                  </w:r>
                </w:p>
              </w:tc>
              <w:tc>
                <w:tcPr>
                  <w:tcW w:w="941" w:type="dxa"/>
                  <w:tcBorders>
                    <w:top w:val="single" w:color="auto" w:sz="4" w:space="0"/>
                    <w:left w:val="single" w:color="auto" w:sz="4" w:space="0"/>
                    <w:bottom w:val="single" w:color="auto" w:sz="4" w:space="0"/>
                    <w:right w:val="single" w:color="auto" w:sz="4" w:space="0"/>
                  </w:tcBorders>
                  <w:vAlign w:val="center"/>
                </w:tcPr>
                <w:p w14:paraId="45B7D205">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220m</w:t>
                  </w:r>
                </w:p>
              </w:tc>
              <w:tc>
                <w:tcPr>
                  <w:tcW w:w="1118" w:type="dxa"/>
                  <w:tcBorders>
                    <w:top w:val="single" w:color="auto" w:sz="4" w:space="0"/>
                    <w:left w:val="single" w:color="auto" w:sz="4" w:space="0"/>
                    <w:bottom w:val="single" w:color="auto" w:sz="4" w:space="0"/>
                    <w:right w:val="single" w:color="auto" w:sz="4" w:space="0"/>
                  </w:tcBorders>
                  <w:vAlign w:val="center"/>
                </w:tcPr>
                <w:p w14:paraId="15F027A7">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w:t>
                  </w:r>
                </w:p>
              </w:tc>
              <w:tc>
                <w:tcPr>
                  <w:tcW w:w="1132" w:type="dxa"/>
                  <w:vMerge w:val="continue"/>
                  <w:tcBorders>
                    <w:left w:val="single" w:color="auto" w:sz="4" w:space="0"/>
                    <w:right w:val="single" w:color="auto" w:sz="4" w:space="0"/>
                  </w:tcBorders>
                  <w:vAlign w:val="center"/>
                </w:tcPr>
                <w:p w14:paraId="181E4CA3">
                  <w:pPr>
                    <w:spacing w:line="240" w:lineRule="auto"/>
                    <w:jc w:val="center"/>
                    <w:rPr>
                      <w:rFonts w:hint="eastAsia" w:ascii="宋体" w:hAnsi="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44EB8035">
                  <w:pPr>
                    <w:spacing w:line="240" w:lineRule="auto"/>
                    <w:jc w:val="center"/>
                    <w:rPr>
                      <w:rFonts w:hint="eastAsia" w:ascii="宋体" w:hAnsi="宋体" w:cs="宋体"/>
                      <w:color w:val="auto"/>
                      <w:sz w:val="21"/>
                      <w:szCs w:val="21"/>
                      <w:highlight w:val="none"/>
                      <w:lang w:val="en-US" w:eastAsia="zh-CN"/>
                    </w:rPr>
                  </w:pPr>
                </w:p>
              </w:tc>
            </w:tr>
            <w:tr w14:paraId="414A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1AF4BEAC">
                  <w:pPr>
                    <w:spacing w:line="240" w:lineRule="auto"/>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rPr>
                    <w:t>3</w:t>
                  </w:r>
                </w:p>
              </w:tc>
              <w:tc>
                <w:tcPr>
                  <w:tcW w:w="1773" w:type="dxa"/>
                  <w:tcBorders>
                    <w:top w:val="single" w:color="auto" w:sz="4" w:space="0"/>
                    <w:left w:val="single" w:color="auto" w:sz="4" w:space="0"/>
                    <w:bottom w:val="single" w:color="auto" w:sz="4" w:space="0"/>
                    <w:right w:val="single" w:color="auto" w:sz="4" w:space="0"/>
                  </w:tcBorders>
                  <w:vAlign w:val="center"/>
                </w:tcPr>
                <w:p w14:paraId="0A3073D6">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水井村居民</w:t>
                  </w:r>
                </w:p>
              </w:tc>
              <w:tc>
                <w:tcPr>
                  <w:tcW w:w="1009" w:type="dxa"/>
                  <w:tcBorders>
                    <w:top w:val="single" w:color="auto" w:sz="4" w:space="0"/>
                    <w:left w:val="single" w:color="auto" w:sz="4" w:space="0"/>
                    <w:bottom w:val="single" w:color="auto" w:sz="4" w:space="0"/>
                    <w:right w:val="single" w:color="auto" w:sz="4" w:space="0"/>
                  </w:tcBorders>
                  <w:vAlign w:val="center"/>
                </w:tcPr>
                <w:p w14:paraId="46394155">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西南面</w:t>
                  </w:r>
                </w:p>
              </w:tc>
              <w:tc>
                <w:tcPr>
                  <w:tcW w:w="941" w:type="dxa"/>
                  <w:tcBorders>
                    <w:top w:val="single" w:color="auto" w:sz="4" w:space="0"/>
                    <w:left w:val="single" w:color="auto" w:sz="4" w:space="0"/>
                    <w:bottom w:val="single" w:color="auto" w:sz="4" w:space="0"/>
                    <w:right w:val="single" w:color="auto" w:sz="4" w:space="0"/>
                  </w:tcBorders>
                  <w:vAlign w:val="center"/>
                </w:tcPr>
                <w:p w14:paraId="255A136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280</w:t>
                  </w:r>
                  <w:r>
                    <w:rPr>
                      <w:rFonts w:hint="eastAsia" w:ascii="宋体" w:hAnsi="宋体" w:eastAsia="宋体" w:cs="宋体"/>
                      <w:color w:val="auto"/>
                      <w:sz w:val="21"/>
                      <w:szCs w:val="21"/>
                      <w:highlight w:val="none"/>
                      <w:lang w:val="en-US" w:eastAsia="zh-CN"/>
                    </w:rPr>
                    <w:t>m</w:t>
                  </w:r>
                </w:p>
              </w:tc>
              <w:tc>
                <w:tcPr>
                  <w:tcW w:w="1118" w:type="dxa"/>
                  <w:tcBorders>
                    <w:top w:val="single" w:color="auto" w:sz="4" w:space="0"/>
                    <w:left w:val="single" w:color="auto" w:sz="4" w:space="0"/>
                    <w:bottom w:val="single" w:color="auto" w:sz="4" w:space="0"/>
                    <w:right w:val="single" w:color="auto" w:sz="4" w:space="0"/>
                  </w:tcBorders>
                  <w:vAlign w:val="center"/>
                </w:tcPr>
                <w:p w14:paraId="283B720A">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w:t>
                  </w:r>
                </w:p>
              </w:tc>
              <w:tc>
                <w:tcPr>
                  <w:tcW w:w="1132" w:type="dxa"/>
                  <w:vMerge w:val="continue"/>
                  <w:tcBorders>
                    <w:left w:val="single" w:color="auto" w:sz="4" w:space="0"/>
                    <w:right w:val="single" w:color="auto" w:sz="4" w:space="0"/>
                  </w:tcBorders>
                  <w:vAlign w:val="center"/>
                </w:tcPr>
                <w:p w14:paraId="4E4D7B0B">
                  <w:pPr>
                    <w:spacing w:line="240" w:lineRule="auto"/>
                    <w:jc w:val="center"/>
                    <w:rPr>
                      <w:rFonts w:hint="eastAsia" w:ascii="宋体" w:hAnsi="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1D5663A0">
                  <w:pPr>
                    <w:spacing w:line="240" w:lineRule="auto"/>
                    <w:jc w:val="center"/>
                    <w:rPr>
                      <w:rFonts w:hint="eastAsia" w:ascii="宋体" w:hAnsi="宋体" w:cs="宋体"/>
                      <w:color w:val="auto"/>
                      <w:sz w:val="21"/>
                      <w:szCs w:val="21"/>
                      <w:highlight w:val="none"/>
                      <w:lang w:val="en-US" w:eastAsia="zh-CN"/>
                    </w:rPr>
                  </w:pPr>
                </w:p>
              </w:tc>
            </w:tr>
            <w:tr w14:paraId="6D23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798FE1AA">
                  <w:pPr>
                    <w:spacing w:line="240" w:lineRule="auto"/>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lang w:val="en-US" w:eastAsia="zh-CN"/>
                    </w:rPr>
                    <w:t>4</w:t>
                  </w:r>
                </w:p>
              </w:tc>
              <w:tc>
                <w:tcPr>
                  <w:tcW w:w="1773" w:type="dxa"/>
                  <w:tcBorders>
                    <w:top w:val="single" w:color="auto" w:sz="4" w:space="0"/>
                    <w:left w:val="single" w:color="auto" w:sz="4" w:space="0"/>
                    <w:bottom w:val="single" w:color="auto" w:sz="4" w:space="0"/>
                    <w:right w:val="single" w:color="auto" w:sz="4" w:space="0"/>
                  </w:tcBorders>
                  <w:vAlign w:val="center"/>
                </w:tcPr>
                <w:p w14:paraId="2223373B">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华堂村居民</w:t>
                  </w:r>
                </w:p>
              </w:tc>
              <w:tc>
                <w:tcPr>
                  <w:tcW w:w="1009" w:type="dxa"/>
                  <w:tcBorders>
                    <w:top w:val="single" w:color="auto" w:sz="4" w:space="0"/>
                    <w:left w:val="single" w:color="auto" w:sz="4" w:space="0"/>
                    <w:bottom w:val="single" w:color="auto" w:sz="4" w:space="0"/>
                    <w:right w:val="single" w:color="auto" w:sz="4" w:space="0"/>
                  </w:tcBorders>
                  <w:vAlign w:val="center"/>
                </w:tcPr>
                <w:p w14:paraId="26945A12">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西北面</w:t>
                  </w:r>
                </w:p>
              </w:tc>
              <w:tc>
                <w:tcPr>
                  <w:tcW w:w="941" w:type="dxa"/>
                  <w:tcBorders>
                    <w:top w:val="single" w:color="auto" w:sz="4" w:space="0"/>
                    <w:left w:val="single" w:color="auto" w:sz="4" w:space="0"/>
                    <w:bottom w:val="single" w:color="auto" w:sz="4" w:space="0"/>
                    <w:right w:val="single" w:color="auto" w:sz="4" w:space="0"/>
                  </w:tcBorders>
                  <w:vAlign w:val="center"/>
                </w:tcPr>
                <w:p w14:paraId="76C8EE7A">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255</w:t>
                  </w:r>
                  <w:r>
                    <w:rPr>
                      <w:rFonts w:hint="eastAsia" w:ascii="宋体" w:hAnsi="宋体" w:eastAsia="宋体" w:cs="宋体"/>
                      <w:color w:val="auto"/>
                      <w:sz w:val="21"/>
                      <w:szCs w:val="21"/>
                      <w:highlight w:val="none"/>
                      <w:lang w:val="en-US" w:eastAsia="zh-CN"/>
                    </w:rPr>
                    <w:t>m</w:t>
                  </w:r>
                </w:p>
              </w:tc>
              <w:tc>
                <w:tcPr>
                  <w:tcW w:w="1118" w:type="dxa"/>
                  <w:tcBorders>
                    <w:top w:val="single" w:color="auto" w:sz="4" w:space="0"/>
                    <w:left w:val="single" w:color="auto" w:sz="4" w:space="0"/>
                    <w:bottom w:val="single" w:color="auto" w:sz="4" w:space="0"/>
                    <w:right w:val="single" w:color="auto" w:sz="4" w:space="0"/>
                  </w:tcBorders>
                  <w:vAlign w:val="center"/>
                </w:tcPr>
                <w:p w14:paraId="177CF784">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1132" w:type="dxa"/>
                  <w:vMerge w:val="continue"/>
                  <w:tcBorders>
                    <w:left w:val="single" w:color="auto" w:sz="4" w:space="0"/>
                    <w:right w:val="single" w:color="auto" w:sz="4" w:space="0"/>
                  </w:tcBorders>
                  <w:vAlign w:val="center"/>
                </w:tcPr>
                <w:p w14:paraId="66F2BF37">
                  <w:pPr>
                    <w:spacing w:line="240" w:lineRule="auto"/>
                    <w:jc w:val="center"/>
                    <w:rPr>
                      <w:rFonts w:hint="eastAsia" w:ascii="宋体" w:hAnsi="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2571F511">
                  <w:pPr>
                    <w:spacing w:line="240" w:lineRule="auto"/>
                    <w:jc w:val="center"/>
                    <w:rPr>
                      <w:rFonts w:hint="eastAsia" w:ascii="宋体" w:hAnsi="宋体" w:cs="宋体"/>
                      <w:color w:val="auto"/>
                      <w:sz w:val="21"/>
                      <w:szCs w:val="21"/>
                      <w:highlight w:val="none"/>
                      <w:lang w:val="en-US" w:eastAsia="zh-CN"/>
                    </w:rPr>
                  </w:pPr>
                </w:p>
              </w:tc>
            </w:tr>
            <w:tr w14:paraId="16EB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1364AD18">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lang w:val="en-US" w:eastAsia="zh-CN"/>
                    </w:rPr>
                    <w:t>5</w:t>
                  </w:r>
                </w:p>
              </w:tc>
              <w:tc>
                <w:tcPr>
                  <w:tcW w:w="1773" w:type="dxa"/>
                  <w:tcBorders>
                    <w:top w:val="single" w:color="auto" w:sz="4" w:space="0"/>
                    <w:left w:val="single" w:color="auto" w:sz="4" w:space="0"/>
                    <w:bottom w:val="single" w:color="auto" w:sz="4" w:space="0"/>
                    <w:right w:val="single" w:color="auto" w:sz="4" w:space="0"/>
                  </w:tcBorders>
                  <w:vAlign w:val="center"/>
                </w:tcPr>
                <w:p w14:paraId="3AB3C9C2">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平安村散户</w:t>
                  </w:r>
                </w:p>
              </w:tc>
              <w:tc>
                <w:tcPr>
                  <w:tcW w:w="1009" w:type="dxa"/>
                  <w:tcBorders>
                    <w:top w:val="single" w:color="auto" w:sz="4" w:space="0"/>
                    <w:left w:val="single" w:color="auto" w:sz="4" w:space="0"/>
                    <w:bottom w:val="single" w:color="auto" w:sz="4" w:space="0"/>
                    <w:right w:val="single" w:color="auto" w:sz="4" w:space="0"/>
                  </w:tcBorders>
                  <w:vAlign w:val="center"/>
                </w:tcPr>
                <w:p w14:paraId="396B305C">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西北面</w:t>
                  </w:r>
                </w:p>
              </w:tc>
              <w:tc>
                <w:tcPr>
                  <w:tcW w:w="941" w:type="dxa"/>
                  <w:tcBorders>
                    <w:top w:val="single" w:color="auto" w:sz="4" w:space="0"/>
                    <w:left w:val="single" w:color="auto" w:sz="4" w:space="0"/>
                    <w:bottom w:val="single" w:color="auto" w:sz="4" w:space="0"/>
                    <w:right w:val="single" w:color="auto" w:sz="4" w:space="0"/>
                  </w:tcBorders>
                  <w:vAlign w:val="center"/>
                </w:tcPr>
                <w:p w14:paraId="3D8541B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70m</w:t>
                  </w:r>
                </w:p>
              </w:tc>
              <w:tc>
                <w:tcPr>
                  <w:tcW w:w="1118" w:type="dxa"/>
                  <w:tcBorders>
                    <w:top w:val="single" w:color="auto" w:sz="4" w:space="0"/>
                    <w:left w:val="single" w:color="auto" w:sz="4" w:space="0"/>
                    <w:bottom w:val="single" w:color="auto" w:sz="4" w:space="0"/>
                    <w:right w:val="single" w:color="auto" w:sz="4" w:space="0"/>
                  </w:tcBorders>
                  <w:vAlign w:val="center"/>
                </w:tcPr>
                <w:p w14:paraId="765E60CE">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32" w:type="dxa"/>
                  <w:vMerge w:val="restart"/>
                  <w:tcBorders>
                    <w:left w:val="single" w:color="auto" w:sz="4" w:space="0"/>
                    <w:right w:val="single" w:color="auto" w:sz="4" w:space="0"/>
                  </w:tcBorders>
                  <w:vAlign w:val="center"/>
                </w:tcPr>
                <w:p w14:paraId="623078DF">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声环境</w:t>
                  </w:r>
                </w:p>
              </w:tc>
              <w:tc>
                <w:tcPr>
                  <w:tcW w:w="2180" w:type="dxa"/>
                  <w:vMerge w:val="restart"/>
                  <w:tcBorders>
                    <w:left w:val="single" w:color="auto" w:sz="4" w:space="0"/>
                    <w:right w:val="single" w:color="auto" w:sz="4" w:space="0"/>
                  </w:tcBorders>
                  <w:vAlign w:val="center"/>
                </w:tcPr>
                <w:p w14:paraId="4E66DA5A">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《声环境质量标准》（GB3096-2008）2类区标准。</w:t>
                  </w:r>
                </w:p>
              </w:tc>
            </w:tr>
            <w:tr w14:paraId="78C9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5B633337">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lang w:val="en-US" w:eastAsia="zh-CN"/>
                    </w:rPr>
                    <w:t>6</w:t>
                  </w:r>
                </w:p>
              </w:tc>
              <w:tc>
                <w:tcPr>
                  <w:tcW w:w="1773" w:type="dxa"/>
                  <w:tcBorders>
                    <w:top w:val="single" w:color="auto" w:sz="4" w:space="0"/>
                    <w:left w:val="single" w:color="auto" w:sz="4" w:space="0"/>
                    <w:bottom w:val="single" w:color="auto" w:sz="4" w:space="0"/>
                    <w:right w:val="single" w:color="auto" w:sz="4" w:space="0"/>
                  </w:tcBorders>
                  <w:vAlign w:val="center"/>
                </w:tcPr>
                <w:p w14:paraId="79B606BC">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平安村散户</w:t>
                  </w:r>
                </w:p>
              </w:tc>
              <w:tc>
                <w:tcPr>
                  <w:tcW w:w="1009" w:type="dxa"/>
                  <w:tcBorders>
                    <w:top w:val="single" w:color="auto" w:sz="4" w:space="0"/>
                    <w:left w:val="single" w:color="auto" w:sz="4" w:space="0"/>
                    <w:bottom w:val="single" w:color="auto" w:sz="4" w:space="0"/>
                    <w:right w:val="single" w:color="auto" w:sz="4" w:space="0"/>
                  </w:tcBorders>
                  <w:vAlign w:val="center"/>
                </w:tcPr>
                <w:p w14:paraId="0FC561E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西面</w:t>
                  </w:r>
                </w:p>
              </w:tc>
              <w:tc>
                <w:tcPr>
                  <w:tcW w:w="941" w:type="dxa"/>
                  <w:tcBorders>
                    <w:top w:val="single" w:color="auto" w:sz="4" w:space="0"/>
                    <w:left w:val="single" w:color="auto" w:sz="4" w:space="0"/>
                    <w:bottom w:val="single" w:color="auto" w:sz="4" w:space="0"/>
                    <w:right w:val="single" w:color="auto" w:sz="4" w:space="0"/>
                  </w:tcBorders>
                  <w:vAlign w:val="center"/>
                </w:tcPr>
                <w:p w14:paraId="7F72018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65m</w:t>
                  </w:r>
                </w:p>
              </w:tc>
              <w:tc>
                <w:tcPr>
                  <w:tcW w:w="1118" w:type="dxa"/>
                  <w:tcBorders>
                    <w:top w:val="single" w:color="auto" w:sz="4" w:space="0"/>
                    <w:left w:val="single" w:color="auto" w:sz="4" w:space="0"/>
                    <w:bottom w:val="single" w:color="auto" w:sz="4" w:space="0"/>
                    <w:right w:val="single" w:color="auto" w:sz="4" w:space="0"/>
                  </w:tcBorders>
                  <w:vAlign w:val="center"/>
                </w:tcPr>
                <w:p w14:paraId="7E92BB4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32" w:type="dxa"/>
                  <w:vMerge w:val="continue"/>
                  <w:tcBorders>
                    <w:left w:val="single" w:color="auto" w:sz="4" w:space="0"/>
                    <w:right w:val="single" w:color="auto" w:sz="4" w:space="0"/>
                  </w:tcBorders>
                  <w:vAlign w:val="center"/>
                </w:tcPr>
                <w:p w14:paraId="2B472F14">
                  <w:pPr>
                    <w:spacing w:line="240" w:lineRule="auto"/>
                    <w:jc w:val="center"/>
                    <w:rPr>
                      <w:rFonts w:hint="eastAsia" w:ascii="宋体" w:hAnsi="宋体" w:eastAsia="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072CBB49">
                  <w:pPr>
                    <w:spacing w:line="240" w:lineRule="auto"/>
                    <w:jc w:val="center"/>
                    <w:rPr>
                      <w:rFonts w:hint="eastAsia" w:ascii="宋体" w:hAnsi="宋体" w:eastAsia="宋体" w:cs="宋体"/>
                      <w:color w:val="auto"/>
                      <w:sz w:val="21"/>
                      <w:szCs w:val="21"/>
                      <w:highlight w:val="none"/>
                      <w:lang w:val="en-US" w:eastAsia="zh-CN"/>
                    </w:rPr>
                  </w:pPr>
                </w:p>
              </w:tc>
            </w:tr>
            <w:tr w14:paraId="3E5E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76ABF0D6">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lang w:val="en-US" w:eastAsia="zh-CN"/>
                    </w:rPr>
                    <w:t>7</w:t>
                  </w:r>
                </w:p>
              </w:tc>
              <w:tc>
                <w:tcPr>
                  <w:tcW w:w="1773" w:type="dxa"/>
                  <w:tcBorders>
                    <w:top w:val="single" w:color="auto" w:sz="4" w:space="0"/>
                    <w:left w:val="single" w:color="auto" w:sz="4" w:space="0"/>
                    <w:bottom w:val="single" w:color="auto" w:sz="4" w:space="0"/>
                    <w:right w:val="single" w:color="auto" w:sz="4" w:space="0"/>
                  </w:tcBorders>
                  <w:vAlign w:val="center"/>
                </w:tcPr>
                <w:p w14:paraId="3FB3ADF5">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平安村散户</w:t>
                  </w:r>
                </w:p>
              </w:tc>
              <w:tc>
                <w:tcPr>
                  <w:tcW w:w="1009" w:type="dxa"/>
                  <w:tcBorders>
                    <w:top w:val="single" w:color="auto" w:sz="4" w:space="0"/>
                    <w:left w:val="single" w:color="auto" w:sz="4" w:space="0"/>
                    <w:bottom w:val="single" w:color="auto" w:sz="4" w:space="0"/>
                    <w:right w:val="single" w:color="auto" w:sz="4" w:space="0"/>
                  </w:tcBorders>
                  <w:vAlign w:val="center"/>
                </w:tcPr>
                <w:p w14:paraId="5C9AD1B2">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西南面</w:t>
                  </w:r>
                </w:p>
              </w:tc>
              <w:tc>
                <w:tcPr>
                  <w:tcW w:w="941" w:type="dxa"/>
                  <w:tcBorders>
                    <w:top w:val="single" w:color="auto" w:sz="4" w:space="0"/>
                    <w:left w:val="single" w:color="auto" w:sz="4" w:space="0"/>
                    <w:bottom w:val="single" w:color="auto" w:sz="4" w:space="0"/>
                    <w:right w:val="single" w:color="auto" w:sz="4" w:space="0"/>
                  </w:tcBorders>
                  <w:vAlign w:val="center"/>
                </w:tcPr>
                <w:p w14:paraId="4AE84173">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135m</w:t>
                  </w:r>
                </w:p>
              </w:tc>
              <w:tc>
                <w:tcPr>
                  <w:tcW w:w="1118" w:type="dxa"/>
                  <w:tcBorders>
                    <w:top w:val="single" w:color="auto" w:sz="4" w:space="0"/>
                    <w:left w:val="single" w:color="auto" w:sz="4" w:space="0"/>
                    <w:bottom w:val="single" w:color="auto" w:sz="4" w:space="0"/>
                    <w:right w:val="single" w:color="auto" w:sz="4" w:space="0"/>
                  </w:tcBorders>
                  <w:vAlign w:val="center"/>
                </w:tcPr>
                <w:p w14:paraId="1BA1A6E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32" w:type="dxa"/>
                  <w:vMerge w:val="continue"/>
                  <w:tcBorders>
                    <w:left w:val="single" w:color="auto" w:sz="4" w:space="0"/>
                    <w:right w:val="single" w:color="auto" w:sz="4" w:space="0"/>
                  </w:tcBorders>
                  <w:vAlign w:val="center"/>
                </w:tcPr>
                <w:p w14:paraId="014AC580">
                  <w:pPr>
                    <w:spacing w:line="240" w:lineRule="auto"/>
                    <w:jc w:val="center"/>
                    <w:rPr>
                      <w:rFonts w:hint="eastAsia" w:ascii="宋体" w:hAnsi="宋体" w:eastAsia="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7A957DD2">
                  <w:pPr>
                    <w:spacing w:line="240" w:lineRule="auto"/>
                    <w:jc w:val="center"/>
                    <w:rPr>
                      <w:rFonts w:hint="eastAsia" w:ascii="宋体" w:hAnsi="宋体" w:eastAsia="宋体" w:cs="宋体"/>
                      <w:color w:val="auto"/>
                      <w:sz w:val="21"/>
                      <w:szCs w:val="21"/>
                      <w:highlight w:val="none"/>
                      <w:lang w:val="en-US" w:eastAsia="zh-CN"/>
                    </w:rPr>
                  </w:pPr>
                </w:p>
              </w:tc>
            </w:tr>
            <w:tr w14:paraId="7946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4834A67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773" w:type="dxa"/>
                  <w:tcBorders>
                    <w:top w:val="single" w:color="auto" w:sz="4" w:space="0"/>
                    <w:left w:val="single" w:color="auto" w:sz="4" w:space="0"/>
                    <w:bottom w:val="single" w:color="auto" w:sz="4" w:space="0"/>
                    <w:right w:val="single" w:color="auto" w:sz="4" w:space="0"/>
                  </w:tcBorders>
                  <w:vAlign w:val="center"/>
                </w:tcPr>
                <w:p w14:paraId="79C575BF">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平安村散户</w:t>
                  </w:r>
                </w:p>
              </w:tc>
              <w:tc>
                <w:tcPr>
                  <w:tcW w:w="1009" w:type="dxa"/>
                  <w:tcBorders>
                    <w:top w:val="single" w:color="auto" w:sz="4" w:space="0"/>
                    <w:left w:val="single" w:color="auto" w:sz="4" w:space="0"/>
                    <w:bottom w:val="single" w:color="auto" w:sz="4" w:space="0"/>
                    <w:right w:val="single" w:color="auto" w:sz="4" w:space="0"/>
                  </w:tcBorders>
                  <w:vAlign w:val="center"/>
                </w:tcPr>
                <w:p w14:paraId="3EE4634F">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西面</w:t>
                  </w:r>
                </w:p>
              </w:tc>
              <w:tc>
                <w:tcPr>
                  <w:tcW w:w="941" w:type="dxa"/>
                  <w:tcBorders>
                    <w:top w:val="single" w:color="auto" w:sz="4" w:space="0"/>
                    <w:left w:val="single" w:color="auto" w:sz="4" w:space="0"/>
                    <w:bottom w:val="single" w:color="auto" w:sz="4" w:space="0"/>
                    <w:right w:val="single" w:color="auto" w:sz="4" w:space="0"/>
                  </w:tcBorders>
                  <w:vAlign w:val="center"/>
                </w:tcPr>
                <w:p w14:paraId="0A19672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170m</w:t>
                  </w:r>
                </w:p>
              </w:tc>
              <w:tc>
                <w:tcPr>
                  <w:tcW w:w="1118" w:type="dxa"/>
                  <w:tcBorders>
                    <w:top w:val="single" w:color="auto" w:sz="4" w:space="0"/>
                    <w:left w:val="single" w:color="auto" w:sz="4" w:space="0"/>
                    <w:bottom w:val="single" w:color="auto" w:sz="4" w:space="0"/>
                    <w:right w:val="single" w:color="auto" w:sz="4" w:space="0"/>
                  </w:tcBorders>
                  <w:vAlign w:val="center"/>
                </w:tcPr>
                <w:p w14:paraId="44272886">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32" w:type="dxa"/>
                  <w:vMerge w:val="continue"/>
                  <w:tcBorders>
                    <w:left w:val="single" w:color="auto" w:sz="4" w:space="0"/>
                    <w:right w:val="single" w:color="auto" w:sz="4" w:space="0"/>
                  </w:tcBorders>
                  <w:vAlign w:val="center"/>
                </w:tcPr>
                <w:p w14:paraId="7488D0DB">
                  <w:pPr>
                    <w:spacing w:line="240" w:lineRule="auto"/>
                    <w:jc w:val="center"/>
                    <w:rPr>
                      <w:rFonts w:hint="eastAsia" w:ascii="宋体" w:hAnsi="宋体" w:eastAsia="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64A4220D">
                  <w:pPr>
                    <w:spacing w:line="240" w:lineRule="auto"/>
                    <w:jc w:val="center"/>
                    <w:rPr>
                      <w:rFonts w:hint="eastAsia" w:ascii="宋体" w:hAnsi="宋体" w:eastAsia="宋体" w:cs="宋体"/>
                      <w:color w:val="auto"/>
                      <w:sz w:val="21"/>
                      <w:szCs w:val="21"/>
                      <w:highlight w:val="none"/>
                      <w:lang w:val="en-US" w:eastAsia="zh-CN"/>
                    </w:rPr>
                  </w:pPr>
                </w:p>
              </w:tc>
            </w:tr>
            <w:tr w14:paraId="12A1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0F74902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773" w:type="dxa"/>
                  <w:tcBorders>
                    <w:top w:val="single" w:color="auto" w:sz="4" w:space="0"/>
                    <w:left w:val="single" w:color="auto" w:sz="4" w:space="0"/>
                    <w:bottom w:val="single" w:color="auto" w:sz="4" w:space="0"/>
                    <w:right w:val="single" w:color="auto" w:sz="4" w:space="0"/>
                  </w:tcBorders>
                  <w:vAlign w:val="center"/>
                </w:tcPr>
                <w:p w14:paraId="19A48BA8">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遮相分场一队</w:t>
                  </w:r>
                </w:p>
              </w:tc>
              <w:tc>
                <w:tcPr>
                  <w:tcW w:w="1009" w:type="dxa"/>
                  <w:tcBorders>
                    <w:top w:val="single" w:color="auto" w:sz="4" w:space="0"/>
                    <w:left w:val="single" w:color="auto" w:sz="4" w:space="0"/>
                    <w:bottom w:val="single" w:color="auto" w:sz="4" w:space="0"/>
                    <w:right w:val="single" w:color="auto" w:sz="4" w:space="0"/>
                  </w:tcBorders>
                  <w:vAlign w:val="center"/>
                </w:tcPr>
                <w:p w14:paraId="474CD536">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南面</w:t>
                  </w:r>
                </w:p>
              </w:tc>
              <w:tc>
                <w:tcPr>
                  <w:tcW w:w="941" w:type="dxa"/>
                  <w:tcBorders>
                    <w:top w:val="single" w:color="auto" w:sz="4" w:space="0"/>
                    <w:left w:val="single" w:color="auto" w:sz="4" w:space="0"/>
                    <w:bottom w:val="single" w:color="auto" w:sz="4" w:space="0"/>
                    <w:right w:val="single" w:color="auto" w:sz="4" w:space="0"/>
                  </w:tcBorders>
                  <w:vAlign w:val="center"/>
                </w:tcPr>
                <w:p w14:paraId="003FFA6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15m</w:t>
                  </w:r>
                </w:p>
              </w:tc>
              <w:tc>
                <w:tcPr>
                  <w:tcW w:w="1118" w:type="dxa"/>
                  <w:tcBorders>
                    <w:top w:val="single" w:color="auto" w:sz="4" w:space="0"/>
                    <w:left w:val="single" w:color="auto" w:sz="4" w:space="0"/>
                    <w:bottom w:val="single" w:color="auto" w:sz="4" w:space="0"/>
                    <w:right w:val="single" w:color="auto" w:sz="4" w:space="0"/>
                  </w:tcBorders>
                  <w:vAlign w:val="center"/>
                </w:tcPr>
                <w:p w14:paraId="0571821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132" w:type="dxa"/>
                  <w:vMerge w:val="continue"/>
                  <w:tcBorders>
                    <w:left w:val="single" w:color="auto" w:sz="4" w:space="0"/>
                    <w:right w:val="single" w:color="auto" w:sz="4" w:space="0"/>
                  </w:tcBorders>
                  <w:vAlign w:val="center"/>
                </w:tcPr>
                <w:p w14:paraId="16AB0066">
                  <w:pPr>
                    <w:spacing w:line="240" w:lineRule="auto"/>
                    <w:jc w:val="center"/>
                    <w:rPr>
                      <w:rFonts w:hint="eastAsia" w:ascii="宋体" w:hAnsi="宋体" w:eastAsia="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69D09EB4">
                  <w:pPr>
                    <w:spacing w:line="240" w:lineRule="auto"/>
                    <w:jc w:val="center"/>
                    <w:rPr>
                      <w:rFonts w:hint="eastAsia" w:ascii="宋体" w:hAnsi="宋体" w:eastAsia="宋体" w:cs="宋体"/>
                      <w:color w:val="auto"/>
                      <w:sz w:val="21"/>
                      <w:szCs w:val="21"/>
                      <w:highlight w:val="none"/>
                      <w:lang w:val="en-US" w:eastAsia="zh-CN"/>
                    </w:rPr>
                  </w:pPr>
                </w:p>
              </w:tc>
            </w:tr>
            <w:tr w14:paraId="3559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738847F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773" w:type="dxa"/>
                  <w:tcBorders>
                    <w:top w:val="single" w:color="auto" w:sz="4" w:space="0"/>
                    <w:left w:val="single" w:color="auto" w:sz="4" w:space="0"/>
                    <w:bottom w:val="single" w:color="auto" w:sz="4" w:space="0"/>
                    <w:right w:val="single" w:color="auto" w:sz="4" w:space="0"/>
                  </w:tcBorders>
                  <w:vAlign w:val="center"/>
                </w:tcPr>
                <w:p w14:paraId="3FD1DE5F">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遮相分场十一队</w:t>
                  </w:r>
                </w:p>
              </w:tc>
              <w:tc>
                <w:tcPr>
                  <w:tcW w:w="1009" w:type="dxa"/>
                  <w:tcBorders>
                    <w:top w:val="single" w:color="auto" w:sz="4" w:space="0"/>
                    <w:left w:val="single" w:color="auto" w:sz="4" w:space="0"/>
                    <w:bottom w:val="single" w:color="auto" w:sz="4" w:space="0"/>
                    <w:right w:val="single" w:color="auto" w:sz="4" w:space="0"/>
                  </w:tcBorders>
                  <w:vAlign w:val="center"/>
                </w:tcPr>
                <w:p w14:paraId="3C530A86">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南面</w:t>
                  </w:r>
                </w:p>
              </w:tc>
              <w:tc>
                <w:tcPr>
                  <w:tcW w:w="941" w:type="dxa"/>
                  <w:tcBorders>
                    <w:top w:val="single" w:color="auto" w:sz="4" w:space="0"/>
                    <w:left w:val="single" w:color="auto" w:sz="4" w:space="0"/>
                    <w:bottom w:val="single" w:color="auto" w:sz="4" w:space="0"/>
                    <w:right w:val="single" w:color="auto" w:sz="4" w:space="0"/>
                  </w:tcBorders>
                  <w:vAlign w:val="center"/>
                </w:tcPr>
                <w:p w14:paraId="4FDCD5A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65m</w:t>
                  </w:r>
                </w:p>
              </w:tc>
              <w:tc>
                <w:tcPr>
                  <w:tcW w:w="1118" w:type="dxa"/>
                  <w:tcBorders>
                    <w:top w:val="single" w:color="auto" w:sz="4" w:space="0"/>
                    <w:left w:val="single" w:color="auto" w:sz="4" w:space="0"/>
                    <w:bottom w:val="single" w:color="auto" w:sz="4" w:space="0"/>
                    <w:right w:val="single" w:color="auto" w:sz="4" w:space="0"/>
                  </w:tcBorders>
                  <w:vAlign w:val="center"/>
                </w:tcPr>
                <w:p w14:paraId="6CDF2A76">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w:t>
                  </w:r>
                </w:p>
              </w:tc>
              <w:tc>
                <w:tcPr>
                  <w:tcW w:w="1132" w:type="dxa"/>
                  <w:vMerge w:val="continue"/>
                  <w:tcBorders>
                    <w:left w:val="single" w:color="auto" w:sz="4" w:space="0"/>
                    <w:right w:val="single" w:color="auto" w:sz="4" w:space="0"/>
                  </w:tcBorders>
                  <w:vAlign w:val="center"/>
                </w:tcPr>
                <w:p w14:paraId="35646FB3">
                  <w:pPr>
                    <w:spacing w:line="240" w:lineRule="auto"/>
                    <w:jc w:val="center"/>
                    <w:rPr>
                      <w:rFonts w:hint="eastAsia" w:ascii="宋体" w:hAnsi="宋体" w:eastAsia="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3873DBDF">
                  <w:pPr>
                    <w:spacing w:line="240" w:lineRule="auto"/>
                    <w:jc w:val="center"/>
                    <w:rPr>
                      <w:rFonts w:hint="eastAsia" w:ascii="宋体" w:hAnsi="宋体" w:eastAsia="宋体" w:cs="宋体"/>
                      <w:color w:val="auto"/>
                      <w:sz w:val="21"/>
                      <w:szCs w:val="21"/>
                      <w:highlight w:val="none"/>
                      <w:lang w:val="en-US" w:eastAsia="zh-CN"/>
                    </w:rPr>
                  </w:pPr>
                </w:p>
              </w:tc>
            </w:tr>
            <w:tr w14:paraId="5359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7A5C147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773" w:type="dxa"/>
                  <w:tcBorders>
                    <w:top w:val="single" w:color="auto" w:sz="4" w:space="0"/>
                    <w:left w:val="single" w:color="auto" w:sz="4" w:space="0"/>
                    <w:bottom w:val="single" w:color="auto" w:sz="4" w:space="0"/>
                    <w:right w:val="single" w:color="auto" w:sz="4" w:space="0"/>
                  </w:tcBorders>
                  <w:vAlign w:val="center"/>
                </w:tcPr>
                <w:p w14:paraId="6DCFBD1B">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遮相分场十五队</w:t>
                  </w:r>
                </w:p>
              </w:tc>
              <w:tc>
                <w:tcPr>
                  <w:tcW w:w="1009" w:type="dxa"/>
                  <w:tcBorders>
                    <w:top w:val="single" w:color="auto" w:sz="4" w:space="0"/>
                    <w:left w:val="single" w:color="auto" w:sz="4" w:space="0"/>
                    <w:bottom w:val="single" w:color="auto" w:sz="4" w:space="0"/>
                    <w:right w:val="single" w:color="auto" w:sz="4" w:space="0"/>
                  </w:tcBorders>
                  <w:vAlign w:val="center"/>
                </w:tcPr>
                <w:p w14:paraId="6D83E646">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北面</w:t>
                  </w:r>
                </w:p>
              </w:tc>
              <w:tc>
                <w:tcPr>
                  <w:tcW w:w="941" w:type="dxa"/>
                  <w:tcBorders>
                    <w:top w:val="single" w:color="auto" w:sz="4" w:space="0"/>
                    <w:left w:val="single" w:color="auto" w:sz="4" w:space="0"/>
                    <w:bottom w:val="single" w:color="auto" w:sz="4" w:space="0"/>
                    <w:right w:val="single" w:color="auto" w:sz="4" w:space="0"/>
                  </w:tcBorders>
                  <w:vAlign w:val="center"/>
                </w:tcPr>
                <w:p w14:paraId="55772A7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60m</w:t>
                  </w:r>
                </w:p>
              </w:tc>
              <w:tc>
                <w:tcPr>
                  <w:tcW w:w="1118" w:type="dxa"/>
                  <w:tcBorders>
                    <w:top w:val="single" w:color="auto" w:sz="4" w:space="0"/>
                    <w:left w:val="single" w:color="auto" w:sz="4" w:space="0"/>
                    <w:bottom w:val="single" w:color="auto" w:sz="4" w:space="0"/>
                    <w:right w:val="single" w:color="auto" w:sz="4" w:space="0"/>
                  </w:tcBorders>
                  <w:vAlign w:val="center"/>
                </w:tcPr>
                <w:p w14:paraId="7961E5B8">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w:t>
                  </w:r>
                </w:p>
              </w:tc>
              <w:tc>
                <w:tcPr>
                  <w:tcW w:w="1132" w:type="dxa"/>
                  <w:vMerge w:val="continue"/>
                  <w:tcBorders>
                    <w:left w:val="single" w:color="auto" w:sz="4" w:space="0"/>
                    <w:right w:val="single" w:color="auto" w:sz="4" w:space="0"/>
                  </w:tcBorders>
                  <w:vAlign w:val="center"/>
                </w:tcPr>
                <w:p w14:paraId="437410C6">
                  <w:pPr>
                    <w:spacing w:line="240" w:lineRule="auto"/>
                    <w:jc w:val="center"/>
                    <w:rPr>
                      <w:rFonts w:hint="eastAsia" w:ascii="宋体" w:hAnsi="宋体" w:eastAsia="宋体" w:cs="宋体"/>
                      <w:color w:val="auto"/>
                      <w:sz w:val="21"/>
                      <w:szCs w:val="21"/>
                      <w:highlight w:val="none"/>
                      <w:lang w:val="en-US" w:eastAsia="zh-CN"/>
                    </w:rPr>
                  </w:pPr>
                </w:p>
              </w:tc>
              <w:tc>
                <w:tcPr>
                  <w:tcW w:w="2180" w:type="dxa"/>
                  <w:vMerge w:val="continue"/>
                  <w:tcBorders>
                    <w:left w:val="single" w:color="auto" w:sz="4" w:space="0"/>
                    <w:right w:val="single" w:color="auto" w:sz="4" w:space="0"/>
                  </w:tcBorders>
                  <w:vAlign w:val="center"/>
                </w:tcPr>
                <w:p w14:paraId="70CF14D5">
                  <w:pPr>
                    <w:spacing w:line="240" w:lineRule="auto"/>
                    <w:jc w:val="center"/>
                    <w:rPr>
                      <w:rFonts w:hint="eastAsia" w:ascii="宋体" w:hAnsi="宋体" w:eastAsia="宋体" w:cs="宋体"/>
                      <w:color w:val="auto"/>
                      <w:sz w:val="21"/>
                      <w:szCs w:val="21"/>
                      <w:highlight w:val="none"/>
                      <w:lang w:val="en-US" w:eastAsia="zh-CN"/>
                    </w:rPr>
                  </w:pPr>
                </w:p>
              </w:tc>
            </w:tr>
            <w:tr w14:paraId="5F87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61B85D8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773" w:type="dxa"/>
                  <w:tcBorders>
                    <w:top w:val="single" w:color="auto" w:sz="4" w:space="0"/>
                    <w:left w:val="single" w:color="auto" w:sz="4" w:space="0"/>
                    <w:bottom w:val="single" w:color="auto" w:sz="4" w:space="0"/>
                    <w:right w:val="single" w:color="auto" w:sz="4" w:space="0"/>
                  </w:tcBorders>
                  <w:vAlign w:val="center"/>
                </w:tcPr>
                <w:p w14:paraId="1D47C4C5">
                  <w:pPr>
                    <w:spacing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遮相分场十五队</w:t>
                  </w:r>
                </w:p>
              </w:tc>
              <w:tc>
                <w:tcPr>
                  <w:tcW w:w="1009" w:type="dxa"/>
                  <w:tcBorders>
                    <w:top w:val="single" w:color="auto" w:sz="4" w:space="0"/>
                    <w:left w:val="single" w:color="auto" w:sz="4" w:space="0"/>
                    <w:bottom w:val="single" w:color="auto" w:sz="4" w:space="0"/>
                    <w:right w:val="single" w:color="auto" w:sz="4" w:space="0"/>
                  </w:tcBorders>
                  <w:vAlign w:val="center"/>
                </w:tcPr>
                <w:p w14:paraId="2C594AD2">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东北面</w:t>
                  </w:r>
                </w:p>
              </w:tc>
              <w:tc>
                <w:tcPr>
                  <w:tcW w:w="941" w:type="dxa"/>
                  <w:tcBorders>
                    <w:top w:val="single" w:color="auto" w:sz="4" w:space="0"/>
                    <w:left w:val="single" w:color="auto" w:sz="4" w:space="0"/>
                    <w:bottom w:val="single" w:color="auto" w:sz="4" w:space="0"/>
                    <w:right w:val="single" w:color="auto" w:sz="4" w:space="0"/>
                  </w:tcBorders>
                  <w:vAlign w:val="center"/>
                </w:tcPr>
                <w:p w14:paraId="096C80E8">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100m</w:t>
                  </w:r>
                </w:p>
              </w:tc>
              <w:tc>
                <w:tcPr>
                  <w:tcW w:w="1118" w:type="dxa"/>
                  <w:tcBorders>
                    <w:top w:val="single" w:color="auto" w:sz="4" w:space="0"/>
                    <w:left w:val="single" w:color="auto" w:sz="4" w:space="0"/>
                    <w:bottom w:val="single" w:color="auto" w:sz="4" w:space="0"/>
                    <w:right w:val="single" w:color="auto" w:sz="4" w:space="0"/>
                  </w:tcBorders>
                  <w:vAlign w:val="center"/>
                </w:tcPr>
                <w:p w14:paraId="4102529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1132" w:type="dxa"/>
                  <w:vMerge w:val="continue"/>
                  <w:tcBorders>
                    <w:left w:val="single" w:color="auto" w:sz="4" w:space="0"/>
                    <w:bottom w:val="single" w:color="auto" w:sz="4" w:space="0"/>
                    <w:right w:val="single" w:color="auto" w:sz="4" w:space="0"/>
                  </w:tcBorders>
                  <w:vAlign w:val="center"/>
                </w:tcPr>
                <w:p w14:paraId="2E3A943C">
                  <w:pPr>
                    <w:spacing w:line="240" w:lineRule="auto"/>
                    <w:jc w:val="center"/>
                    <w:rPr>
                      <w:rFonts w:hint="eastAsia" w:ascii="宋体" w:hAnsi="宋体" w:eastAsia="宋体" w:cs="宋体"/>
                      <w:color w:val="auto"/>
                      <w:sz w:val="21"/>
                      <w:szCs w:val="21"/>
                      <w:highlight w:val="none"/>
                      <w:lang w:val="en-US" w:eastAsia="zh-CN"/>
                    </w:rPr>
                  </w:pPr>
                </w:p>
              </w:tc>
              <w:tc>
                <w:tcPr>
                  <w:tcW w:w="2180" w:type="dxa"/>
                  <w:vMerge w:val="continue"/>
                  <w:tcBorders>
                    <w:left w:val="single" w:color="auto" w:sz="4" w:space="0"/>
                    <w:bottom w:val="single" w:color="auto" w:sz="4" w:space="0"/>
                    <w:right w:val="single" w:color="auto" w:sz="4" w:space="0"/>
                  </w:tcBorders>
                  <w:vAlign w:val="center"/>
                </w:tcPr>
                <w:p w14:paraId="21461B84">
                  <w:pPr>
                    <w:spacing w:line="240" w:lineRule="auto"/>
                    <w:jc w:val="center"/>
                    <w:rPr>
                      <w:rFonts w:hint="eastAsia" w:ascii="宋体" w:hAnsi="宋体" w:eastAsia="宋体" w:cs="宋体"/>
                      <w:color w:val="auto"/>
                      <w:sz w:val="21"/>
                      <w:szCs w:val="21"/>
                      <w:highlight w:val="none"/>
                      <w:lang w:val="en-US" w:eastAsia="zh-CN"/>
                    </w:rPr>
                  </w:pPr>
                </w:p>
              </w:tc>
            </w:tr>
            <w:tr w14:paraId="77D2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689" w:type="dxa"/>
                  <w:tcBorders>
                    <w:top w:val="single" w:color="auto" w:sz="4" w:space="0"/>
                    <w:left w:val="single" w:color="auto" w:sz="4" w:space="0"/>
                    <w:bottom w:val="single" w:color="auto" w:sz="4" w:space="0"/>
                    <w:right w:val="single" w:color="auto" w:sz="4" w:space="0"/>
                  </w:tcBorders>
                  <w:vAlign w:val="center"/>
                </w:tcPr>
                <w:p w14:paraId="35C632FE">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773" w:type="dxa"/>
                  <w:tcBorders>
                    <w:top w:val="single" w:color="auto" w:sz="4" w:space="0"/>
                    <w:left w:val="single" w:color="auto" w:sz="4" w:space="0"/>
                    <w:bottom w:val="single" w:color="auto" w:sz="4" w:space="0"/>
                    <w:right w:val="single" w:color="auto" w:sz="4" w:space="0"/>
                  </w:tcBorders>
                  <w:vAlign w:val="center"/>
                </w:tcPr>
                <w:p w14:paraId="317B0BBC">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芒市大河</w:t>
                  </w:r>
                </w:p>
              </w:tc>
              <w:tc>
                <w:tcPr>
                  <w:tcW w:w="1009" w:type="dxa"/>
                  <w:tcBorders>
                    <w:top w:val="single" w:color="auto" w:sz="4" w:space="0"/>
                    <w:left w:val="single" w:color="auto" w:sz="4" w:space="0"/>
                    <w:bottom w:val="single" w:color="auto" w:sz="4" w:space="0"/>
                    <w:right w:val="single" w:color="auto" w:sz="4" w:space="0"/>
                  </w:tcBorders>
                  <w:vAlign w:val="center"/>
                </w:tcPr>
                <w:p w14:paraId="3382FB2D">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南面</w:t>
                  </w:r>
                </w:p>
              </w:tc>
              <w:tc>
                <w:tcPr>
                  <w:tcW w:w="941" w:type="dxa"/>
                  <w:tcBorders>
                    <w:top w:val="single" w:color="auto" w:sz="4" w:space="0"/>
                    <w:left w:val="single" w:color="auto" w:sz="4" w:space="0"/>
                    <w:bottom w:val="single" w:color="auto" w:sz="4" w:space="0"/>
                    <w:right w:val="single" w:color="auto" w:sz="4" w:space="0"/>
                  </w:tcBorders>
                  <w:vAlign w:val="center"/>
                </w:tcPr>
                <w:p w14:paraId="3585B3A1">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3.8km</w:t>
                  </w:r>
                </w:p>
              </w:tc>
              <w:tc>
                <w:tcPr>
                  <w:tcW w:w="1118" w:type="dxa"/>
                  <w:tcBorders>
                    <w:top w:val="single" w:color="auto" w:sz="4" w:space="0"/>
                    <w:left w:val="single" w:color="auto" w:sz="4" w:space="0"/>
                    <w:bottom w:val="single" w:color="auto" w:sz="4" w:space="0"/>
                    <w:right w:val="single" w:color="auto" w:sz="4" w:space="0"/>
                  </w:tcBorders>
                  <w:vAlign w:val="center"/>
                </w:tcPr>
                <w:p w14:paraId="6ACFBD8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32" w:type="dxa"/>
                  <w:tcBorders>
                    <w:top w:val="single" w:color="auto" w:sz="4" w:space="0"/>
                    <w:left w:val="single" w:color="auto" w:sz="4" w:space="0"/>
                    <w:bottom w:val="single" w:color="auto" w:sz="4" w:space="0"/>
                    <w:right w:val="single" w:color="auto" w:sz="4" w:space="0"/>
                  </w:tcBorders>
                  <w:vAlign w:val="center"/>
                </w:tcPr>
                <w:p w14:paraId="55E10E0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eastAsia="zh-CN"/>
                    </w:rPr>
                    <w:t>水环境</w:t>
                  </w:r>
                </w:p>
              </w:tc>
              <w:tc>
                <w:tcPr>
                  <w:tcW w:w="2180" w:type="dxa"/>
                  <w:tcBorders>
                    <w:top w:val="single" w:color="auto" w:sz="4" w:space="0"/>
                    <w:left w:val="single" w:color="auto" w:sz="4" w:space="0"/>
                    <w:bottom w:val="single" w:color="auto" w:sz="4" w:space="0"/>
                    <w:right w:val="single" w:color="auto" w:sz="4" w:space="0"/>
                  </w:tcBorders>
                  <w:vAlign w:val="center"/>
                </w:tcPr>
                <w:p w14:paraId="60914C86">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《地表水环境质量标准》（GB3838-2002）Ⅲ类标准</w:t>
                  </w:r>
                </w:p>
              </w:tc>
            </w:tr>
          </w:tbl>
          <w:p w14:paraId="050CCFE4">
            <w:pPr>
              <w:spacing w:line="360" w:lineRule="auto"/>
              <w:rPr>
                <w:rFonts w:hint="eastAsia" w:ascii="Times New Roman" w:hAnsi="Times New Roman"/>
                <w:color w:val="auto"/>
                <w:sz w:val="24"/>
              </w:rPr>
            </w:pPr>
          </w:p>
        </w:tc>
      </w:tr>
    </w:tbl>
    <w:p w14:paraId="2FB6F83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sz w:val="24"/>
          <w:szCs w:val="24"/>
          <w:lang w:val="en-US" w:eastAsia="zh-CN"/>
        </w:rPr>
        <w:sectPr>
          <w:headerReference r:id="rId14" w:type="default"/>
          <w:footerReference r:id="rId15" w:type="default"/>
          <w:pgSz w:w="11906" w:h="16838"/>
          <w:pgMar w:top="1440" w:right="1800" w:bottom="1440" w:left="1800" w:header="851" w:footer="992" w:gutter="0"/>
          <w:pgNumType w:fmt="decimal" w:start="1"/>
          <w:cols w:space="425" w:num="1"/>
          <w:docGrid w:type="lines" w:linePitch="312" w:charSpace="0"/>
        </w:sectPr>
      </w:pPr>
      <w:r>
        <w:rPr>
          <w:rFonts w:hint="default"/>
        </w:rPr>
        <w:br w:type="page"/>
      </w:r>
    </w:p>
    <w:p w14:paraId="08F2EB3F">
      <w:pPr>
        <w:pStyle w:val="3"/>
        <w:rPr>
          <w:rFonts w:ascii="Times New Roman" w:hAnsi="Times New Roman"/>
          <w:color w:val="auto"/>
          <w:sz w:val="32"/>
          <w:szCs w:val="32"/>
        </w:rPr>
      </w:pPr>
      <w:r>
        <w:rPr>
          <w:rFonts w:hint="eastAsia" w:ascii="Times New Roman" w:hAnsi="Times New Roman"/>
          <w:color w:val="auto"/>
          <w:sz w:val="32"/>
          <w:szCs w:val="32"/>
        </w:rPr>
        <w:t>表</w:t>
      </w:r>
      <w:r>
        <w:rPr>
          <w:rFonts w:ascii="Times New Roman" w:hAnsi="Times New Roman"/>
          <w:color w:val="auto"/>
          <w:sz w:val="32"/>
          <w:szCs w:val="32"/>
        </w:rPr>
        <w:t>四、评价适用标准</w:t>
      </w:r>
    </w:p>
    <w:tbl>
      <w:tblPr>
        <w:tblStyle w:val="24"/>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478"/>
      </w:tblGrid>
      <w:tr w14:paraId="58C8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63" w:type="dxa"/>
            <w:vAlign w:val="center"/>
          </w:tcPr>
          <w:p w14:paraId="60DDA6F9">
            <w:pPr>
              <w:spacing w:line="360" w:lineRule="auto"/>
              <w:rPr>
                <w:rFonts w:ascii="Times New Roman" w:hAnsi="Times New Roman"/>
                <w:color w:val="auto"/>
                <w:sz w:val="24"/>
                <w:szCs w:val="24"/>
              </w:rPr>
            </w:pPr>
            <w:r>
              <w:rPr>
                <w:rFonts w:ascii="Times New Roman" w:hAnsi="Times New Roman"/>
                <w:color w:val="auto"/>
                <w:sz w:val="24"/>
                <w:szCs w:val="24"/>
              </w:rPr>
              <w:t>环境质量标准</w:t>
            </w:r>
          </w:p>
        </w:tc>
        <w:tc>
          <w:tcPr>
            <w:tcW w:w="8478" w:type="dxa"/>
            <w:vAlign w:val="center"/>
          </w:tcPr>
          <w:p w14:paraId="590ED84F">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1、大气质量标准</w:t>
            </w:r>
          </w:p>
          <w:p w14:paraId="021828F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项目位于云南省德宏州芒市</w:t>
            </w:r>
            <w:r>
              <w:rPr>
                <w:rFonts w:hint="eastAsia" w:ascii="宋体" w:hAnsi="宋体" w:eastAsia="宋体" w:cs="宋体"/>
                <w:color w:val="auto"/>
                <w:sz w:val="24"/>
                <w:szCs w:val="24"/>
                <w:lang w:eastAsia="zh-CN"/>
              </w:rPr>
              <w:t>轩岗乡遮相居委会第一居民小组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属于农村地区</w:t>
            </w:r>
            <w:r>
              <w:rPr>
                <w:rFonts w:hint="eastAsia" w:ascii="宋体" w:hAnsi="宋体" w:eastAsia="宋体" w:cs="宋体"/>
                <w:color w:val="auto"/>
                <w:sz w:val="24"/>
              </w:rPr>
              <w:t>，为环境空气二类区</w:t>
            </w:r>
            <w:r>
              <w:rPr>
                <w:rFonts w:hint="eastAsia" w:ascii="宋体" w:hAnsi="宋体" w:eastAsia="宋体" w:cs="宋体"/>
                <w:color w:val="auto"/>
                <w:sz w:val="24"/>
                <w:lang w:eastAsia="zh-CN"/>
              </w:rPr>
              <w:t>，</w:t>
            </w:r>
            <w:r>
              <w:rPr>
                <w:rFonts w:hint="eastAsia" w:ascii="宋体" w:hAnsi="宋体" w:eastAsia="宋体" w:cs="宋体"/>
                <w:color w:val="auto"/>
                <w:sz w:val="24"/>
                <w:szCs w:val="24"/>
              </w:rPr>
              <w:t>环境空气执行《环境空气质量标准》（GB3095-2012）二级标准，具体标准见表4-1。</w:t>
            </w:r>
          </w:p>
          <w:p w14:paraId="17546240">
            <w:pPr>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表4-1  环境空气质量标准（GB3095-2012）  单位: mg/m</w:t>
            </w:r>
            <w:r>
              <w:rPr>
                <w:rFonts w:hint="eastAsia" w:ascii="宋体" w:hAnsi="宋体" w:eastAsia="宋体" w:cs="宋体"/>
                <w:b/>
                <w:bCs/>
                <w:color w:val="auto"/>
                <w:sz w:val="24"/>
                <w:szCs w:val="24"/>
                <w:vertAlign w:val="superscript"/>
              </w:rPr>
              <w:t>3</w:t>
            </w:r>
          </w:p>
          <w:tbl>
            <w:tblPr>
              <w:tblStyle w:val="24"/>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501"/>
              <w:gridCol w:w="2312"/>
              <w:gridCol w:w="1502"/>
            </w:tblGrid>
            <w:tr w14:paraId="1EFB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7" w:type="dxa"/>
                  <w:vAlign w:val="center"/>
                </w:tcPr>
                <w:p w14:paraId="4D0946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污染物名称</w:t>
                  </w:r>
                </w:p>
              </w:tc>
              <w:tc>
                <w:tcPr>
                  <w:tcW w:w="2501" w:type="dxa"/>
                  <w:vAlign w:val="center"/>
                </w:tcPr>
                <w:p w14:paraId="1FBEF6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取值时间</w:t>
                  </w:r>
                </w:p>
              </w:tc>
              <w:tc>
                <w:tcPr>
                  <w:tcW w:w="2312" w:type="dxa"/>
                  <w:vAlign w:val="center"/>
                </w:tcPr>
                <w:p w14:paraId="50BDF8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浓度限值</w:t>
                  </w:r>
                </w:p>
              </w:tc>
              <w:tc>
                <w:tcPr>
                  <w:tcW w:w="1502" w:type="dxa"/>
                  <w:vAlign w:val="center"/>
                </w:tcPr>
                <w:p w14:paraId="6D93D1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r>
            <w:tr w14:paraId="6DD9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37" w:type="dxa"/>
                  <w:vMerge w:val="restart"/>
                  <w:vAlign w:val="center"/>
                </w:tcPr>
                <w:p w14:paraId="41E980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SO</w:t>
                  </w:r>
                  <w:r>
                    <w:rPr>
                      <w:rFonts w:hint="eastAsia" w:ascii="宋体" w:hAnsi="宋体" w:eastAsia="宋体" w:cs="宋体"/>
                      <w:color w:val="auto"/>
                      <w:sz w:val="21"/>
                      <w:szCs w:val="21"/>
                      <w:vertAlign w:val="subscript"/>
                    </w:rPr>
                    <w:t>2</w:t>
                  </w:r>
                </w:p>
              </w:tc>
              <w:tc>
                <w:tcPr>
                  <w:tcW w:w="2501" w:type="dxa"/>
                  <w:vAlign w:val="center"/>
                </w:tcPr>
                <w:p w14:paraId="2D8A681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年平均</w:t>
                  </w:r>
                </w:p>
              </w:tc>
              <w:tc>
                <w:tcPr>
                  <w:tcW w:w="2312" w:type="dxa"/>
                  <w:vAlign w:val="center"/>
                </w:tcPr>
                <w:p w14:paraId="312DED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1502" w:type="dxa"/>
                  <w:vMerge w:val="restart"/>
                  <w:vAlign w:val="center"/>
                </w:tcPr>
                <w:p w14:paraId="1B33EA3D">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μg/m</w:t>
                  </w:r>
                  <w:r>
                    <w:rPr>
                      <w:rFonts w:hint="eastAsia" w:ascii="宋体" w:hAnsi="宋体" w:eastAsia="宋体" w:cs="宋体"/>
                      <w:bCs/>
                      <w:color w:val="auto"/>
                      <w:sz w:val="21"/>
                      <w:szCs w:val="21"/>
                      <w:vertAlign w:val="superscript"/>
                    </w:rPr>
                    <w:t>3</w:t>
                  </w:r>
                </w:p>
                <w:p w14:paraId="640A0F31">
                  <w:pPr>
                    <w:jc w:val="center"/>
                    <w:rPr>
                      <w:rFonts w:hint="eastAsia" w:ascii="宋体" w:hAnsi="宋体" w:eastAsia="宋体" w:cs="宋体"/>
                      <w:bCs/>
                      <w:color w:val="auto"/>
                      <w:sz w:val="21"/>
                      <w:szCs w:val="21"/>
                    </w:rPr>
                  </w:pPr>
                </w:p>
              </w:tc>
            </w:tr>
            <w:tr w14:paraId="1197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7" w:type="dxa"/>
                  <w:vMerge w:val="continue"/>
                  <w:vAlign w:val="center"/>
                </w:tcPr>
                <w:p w14:paraId="03231974">
                  <w:pPr>
                    <w:jc w:val="center"/>
                    <w:rPr>
                      <w:rFonts w:hint="eastAsia" w:ascii="宋体" w:hAnsi="宋体" w:eastAsia="宋体" w:cs="宋体"/>
                      <w:color w:val="auto"/>
                      <w:sz w:val="21"/>
                      <w:szCs w:val="21"/>
                    </w:rPr>
                  </w:pPr>
                </w:p>
              </w:tc>
              <w:tc>
                <w:tcPr>
                  <w:tcW w:w="2501" w:type="dxa"/>
                  <w:vAlign w:val="center"/>
                </w:tcPr>
                <w:p w14:paraId="4A5CDD9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24小时平均</w:t>
                  </w:r>
                </w:p>
              </w:tc>
              <w:tc>
                <w:tcPr>
                  <w:tcW w:w="2312" w:type="dxa"/>
                  <w:vAlign w:val="center"/>
                </w:tcPr>
                <w:p w14:paraId="28BDFC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150</w:t>
                  </w:r>
                </w:p>
              </w:tc>
              <w:tc>
                <w:tcPr>
                  <w:tcW w:w="1502" w:type="dxa"/>
                  <w:vMerge w:val="continue"/>
                  <w:vAlign w:val="center"/>
                </w:tcPr>
                <w:p w14:paraId="0851629E">
                  <w:pPr>
                    <w:jc w:val="center"/>
                    <w:rPr>
                      <w:rFonts w:hint="eastAsia" w:ascii="宋体" w:hAnsi="宋体" w:eastAsia="宋体" w:cs="宋体"/>
                      <w:bCs/>
                      <w:color w:val="auto"/>
                      <w:sz w:val="21"/>
                      <w:szCs w:val="21"/>
                    </w:rPr>
                  </w:pPr>
                </w:p>
              </w:tc>
            </w:tr>
            <w:tr w14:paraId="6CFE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7" w:type="dxa"/>
                  <w:vMerge w:val="continue"/>
                  <w:vAlign w:val="center"/>
                </w:tcPr>
                <w:p w14:paraId="29D425AA">
                  <w:pPr>
                    <w:jc w:val="center"/>
                    <w:rPr>
                      <w:rFonts w:hint="eastAsia" w:ascii="宋体" w:hAnsi="宋体" w:eastAsia="宋体" w:cs="宋体"/>
                      <w:color w:val="auto"/>
                      <w:sz w:val="21"/>
                      <w:szCs w:val="21"/>
                    </w:rPr>
                  </w:pPr>
                </w:p>
              </w:tc>
              <w:tc>
                <w:tcPr>
                  <w:tcW w:w="2501" w:type="dxa"/>
                  <w:vAlign w:val="center"/>
                </w:tcPr>
                <w:p w14:paraId="69F9DF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1小时平均</w:t>
                  </w:r>
                </w:p>
              </w:tc>
              <w:tc>
                <w:tcPr>
                  <w:tcW w:w="2312" w:type="dxa"/>
                  <w:vAlign w:val="center"/>
                </w:tcPr>
                <w:p w14:paraId="3B1FFC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500</w:t>
                  </w:r>
                </w:p>
              </w:tc>
              <w:tc>
                <w:tcPr>
                  <w:tcW w:w="1502" w:type="dxa"/>
                  <w:vMerge w:val="continue"/>
                  <w:vAlign w:val="center"/>
                </w:tcPr>
                <w:p w14:paraId="1BD6F3F3">
                  <w:pPr>
                    <w:jc w:val="center"/>
                    <w:rPr>
                      <w:rFonts w:hint="eastAsia" w:ascii="宋体" w:hAnsi="宋体" w:eastAsia="宋体" w:cs="宋体"/>
                      <w:bCs/>
                      <w:color w:val="auto"/>
                      <w:sz w:val="21"/>
                      <w:szCs w:val="21"/>
                    </w:rPr>
                  </w:pPr>
                </w:p>
              </w:tc>
            </w:tr>
            <w:tr w14:paraId="6C17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restart"/>
                  <w:vAlign w:val="center"/>
                </w:tcPr>
                <w:p w14:paraId="55D73A6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TSP</w:t>
                  </w:r>
                </w:p>
              </w:tc>
              <w:tc>
                <w:tcPr>
                  <w:tcW w:w="2501" w:type="dxa"/>
                  <w:vAlign w:val="center"/>
                </w:tcPr>
                <w:p w14:paraId="732E29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年平均</w:t>
                  </w:r>
                </w:p>
              </w:tc>
              <w:tc>
                <w:tcPr>
                  <w:tcW w:w="2312" w:type="dxa"/>
                  <w:vAlign w:val="center"/>
                </w:tcPr>
                <w:p w14:paraId="768E319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w:t>
                  </w:r>
                </w:p>
              </w:tc>
              <w:tc>
                <w:tcPr>
                  <w:tcW w:w="1502" w:type="dxa"/>
                  <w:vMerge w:val="continue"/>
                  <w:vAlign w:val="center"/>
                </w:tcPr>
                <w:p w14:paraId="1F1E0D78">
                  <w:pPr>
                    <w:jc w:val="center"/>
                    <w:rPr>
                      <w:rFonts w:hint="eastAsia" w:ascii="宋体" w:hAnsi="宋体" w:eastAsia="宋体" w:cs="宋体"/>
                      <w:bCs/>
                      <w:color w:val="auto"/>
                      <w:sz w:val="21"/>
                      <w:szCs w:val="21"/>
                    </w:rPr>
                  </w:pPr>
                </w:p>
              </w:tc>
            </w:tr>
            <w:tr w14:paraId="21FF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continue"/>
                  <w:vAlign w:val="center"/>
                </w:tcPr>
                <w:p w14:paraId="068A1CA9">
                  <w:pPr>
                    <w:jc w:val="center"/>
                    <w:rPr>
                      <w:rFonts w:hint="eastAsia" w:ascii="宋体" w:hAnsi="宋体" w:eastAsia="宋体" w:cs="宋体"/>
                      <w:color w:val="auto"/>
                      <w:sz w:val="21"/>
                      <w:szCs w:val="21"/>
                      <w:lang w:val="en-US" w:eastAsia="zh-CN"/>
                    </w:rPr>
                  </w:pPr>
                </w:p>
              </w:tc>
              <w:tc>
                <w:tcPr>
                  <w:tcW w:w="2501" w:type="dxa"/>
                  <w:vAlign w:val="center"/>
                </w:tcPr>
                <w:p w14:paraId="095DFC0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24小时平均</w:t>
                  </w:r>
                </w:p>
              </w:tc>
              <w:tc>
                <w:tcPr>
                  <w:tcW w:w="2312" w:type="dxa"/>
                  <w:vAlign w:val="center"/>
                </w:tcPr>
                <w:p w14:paraId="353689C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1502" w:type="dxa"/>
                  <w:vMerge w:val="continue"/>
                  <w:vAlign w:val="center"/>
                </w:tcPr>
                <w:p w14:paraId="55B36842">
                  <w:pPr>
                    <w:jc w:val="center"/>
                    <w:rPr>
                      <w:rFonts w:hint="eastAsia" w:ascii="宋体" w:hAnsi="宋体" w:eastAsia="宋体" w:cs="宋体"/>
                      <w:bCs/>
                      <w:color w:val="auto"/>
                      <w:sz w:val="21"/>
                      <w:szCs w:val="21"/>
                    </w:rPr>
                  </w:pPr>
                </w:p>
              </w:tc>
            </w:tr>
            <w:tr w14:paraId="19D0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restart"/>
                  <w:vAlign w:val="center"/>
                </w:tcPr>
                <w:p w14:paraId="6D6AE5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PM</w:t>
                  </w:r>
                  <w:r>
                    <w:rPr>
                      <w:rFonts w:hint="eastAsia" w:ascii="宋体" w:hAnsi="宋体" w:eastAsia="宋体" w:cs="宋体"/>
                      <w:color w:val="auto"/>
                      <w:sz w:val="21"/>
                      <w:szCs w:val="21"/>
                      <w:vertAlign w:val="subscript"/>
                    </w:rPr>
                    <w:t>10</w:t>
                  </w:r>
                </w:p>
              </w:tc>
              <w:tc>
                <w:tcPr>
                  <w:tcW w:w="2501" w:type="dxa"/>
                  <w:vAlign w:val="center"/>
                </w:tcPr>
                <w:p w14:paraId="640883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年平均</w:t>
                  </w:r>
                </w:p>
              </w:tc>
              <w:tc>
                <w:tcPr>
                  <w:tcW w:w="2312" w:type="dxa"/>
                  <w:vAlign w:val="center"/>
                </w:tcPr>
                <w:p w14:paraId="1C7FCD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w:t>
                  </w:r>
                </w:p>
              </w:tc>
              <w:tc>
                <w:tcPr>
                  <w:tcW w:w="1502" w:type="dxa"/>
                  <w:vMerge w:val="continue"/>
                  <w:vAlign w:val="center"/>
                </w:tcPr>
                <w:p w14:paraId="3D034A36">
                  <w:pPr>
                    <w:jc w:val="center"/>
                    <w:rPr>
                      <w:rFonts w:hint="eastAsia" w:ascii="宋体" w:hAnsi="宋体" w:eastAsia="宋体" w:cs="宋体"/>
                      <w:bCs/>
                      <w:color w:val="auto"/>
                      <w:sz w:val="21"/>
                      <w:szCs w:val="21"/>
                    </w:rPr>
                  </w:pPr>
                </w:p>
              </w:tc>
            </w:tr>
            <w:tr w14:paraId="0DFF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continue"/>
                  <w:vAlign w:val="center"/>
                </w:tcPr>
                <w:p w14:paraId="68C85C23">
                  <w:pPr>
                    <w:jc w:val="center"/>
                    <w:rPr>
                      <w:rFonts w:hint="eastAsia" w:ascii="宋体" w:hAnsi="宋体" w:eastAsia="宋体" w:cs="宋体"/>
                      <w:color w:val="auto"/>
                      <w:sz w:val="21"/>
                      <w:szCs w:val="21"/>
                    </w:rPr>
                  </w:pPr>
                </w:p>
              </w:tc>
              <w:tc>
                <w:tcPr>
                  <w:tcW w:w="2501" w:type="dxa"/>
                  <w:vAlign w:val="center"/>
                </w:tcPr>
                <w:p w14:paraId="11713AB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24小时平均</w:t>
                  </w:r>
                </w:p>
              </w:tc>
              <w:tc>
                <w:tcPr>
                  <w:tcW w:w="2312" w:type="dxa"/>
                  <w:vAlign w:val="center"/>
                </w:tcPr>
                <w:p w14:paraId="68850D3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150</w:t>
                  </w:r>
                </w:p>
              </w:tc>
              <w:tc>
                <w:tcPr>
                  <w:tcW w:w="1502" w:type="dxa"/>
                  <w:vMerge w:val="continue"/>
                  <w:vAlign w:val="center"/>
                </w:tcPr>
                <w:p w14:paraId="52D30623">
                  <w:pPr>
                    <w:jc w:val="center"/>
                    <w:rPr>
                      <w:rFonts w:hint="eastAsia" w:ascii="宋体" w:hAnsi="宋体" w:eastAsia="宋体" w:cs="宋体"/>
                      <w:bCs/>
                      <w:color w:val="auto"/>
                      <w:sz w:val="21"/>
                      <w:szCs w:val="21"/>
                    </w:rPr>
                  </w:pPr>
                </w:p>
              </w:tc>
            </w:tr>
            <w:tr w14:paraId="40A6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restart"/>
                  <w:vAlign w:val="center"/>
                </w:tcPr>
                <w:p w14:paraId="17DC1E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PM</w:t>
                  </w:r>
                  <w:r>
                    <w:rPr>
                      <w:rFonts w:hint="eastAsia" w:ascii="宋体" w:hAnsi="宋体" w:eastAsia="宋体" w:cs="宋体"/>
                      <w:color w:val="auto"/>
                      <w:sz w:val="21"/>
                      <w:szCs w:val="21"/>
                      <w:vertAlign w:val="subscript"/>
                    </w:rPr>
                    <w:t>2.5</w:t>
                  </w:r>
                </w:p>
              </w:tc>
              <w:tc>
                <w:tcPr>
                  <w:tcW w:w="2501" w:type="dxa"/>
                  <w:vAlign w:val="center"/>
                </w:tcPr>
                <w:p w14:paraId="1AC804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年平均</w:t>
                  </w:r>
                </w:p>
              </w:tc>
              <w:tc>
                <w:tcPr>
                  <w:tcW w:w="2312" w:type="dxa"/>
                  <w:vAlign w:val="center"/>
                </w:tcPr>
                <w:p w14:paraId="08C21F6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1502" w:type="dxa"/>
                  <w:vMerge w:val="continue"/>
                  <w:vAlign w:val="center"/>
                </w:tcPr>
                <w:p w14:paraId="08542FD0">
                  <w:pPr>
                    <w:jc w:val="center"/>
                    <w:rPr>
                      <w:rFonts w:hint="eastAsia" w:ascii="宋体" w:hAnsi="宋体" w:eastAsia="宋体" w:cs="宋体"/>
                      <w:bCs/>
                      <w:color w:val="auto"/>
                      <w:sz w:val="21"/>
                      <w:szCs w:val="21"/>
                    </w:rPr>
                  </w:pPr>
                </w:p>
              </w:tc>
            </w:tr>
            <w:tr w14:paraId="412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1937" w:type="dxa"/>
                  <w:vMerge w:val="continue"/>
                  <w:vAlign w:val="center"/>
                </w:tcPr>
                <w:p w14:paraId="4E766EE8">
                  <w:pPr>
                    <w:jc w:val="center"/>
                    <w:rPr>
                      <w:rFonts w:hint="eastAsia" w:ascii="宋体" w:hAnsi="宋体" w:eastAsia="宋体" w:cs="宋体"/>
                      <w:color w:val="auto"/>
                      <w:sz w:val="21"/>
                      <w:szCs w:val="21"/>
                    </w:rPr>
                  </w:pPr>
                </w:p>
              </w:tc>
              <w:tc>
                <w:tcPr>
                  <w:tcW w:w="2501" w:type="dxa"/>
                  <w:vAlign w:val="center"/>
                </w:tcPr>
                <w:p w14:paraId="6DA596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24小时平均</w:t>
                  </w:r>
                </w:p>
              </w:tc>
              <w:tc>
                <w:tcPr>
                  <w:tcW w:w="2312" w:type="dxa"/>
                  <w:vAlign w:val="center"/>
                </w:tcPr>
                <w:p w14:paraId="6652300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75</w:t>
                  </w:r>
                </w:p>
              </w:tc>
              <w:tc>
                <w:tcPr>
                  <w:tcW w:w="1502" w:type="dxa"/>
                  <w:vMerge w:val="continue"/>
                  <w:vAlign w:val="center"/>
                </w:tcPr>
                <w:p w14:paraId="3B40F6AF">
                  <w:pPr>
                    <w:jc w:val="center"/>
                    <w:rPr>
                      <w:rFonts w:hint="eastAsia" w:ascii="宋体" w:hAnsi="宋体" w:eastAsia="宋体" w:cs="宋体"/>
                      <w:bCs/>
                      <w:color w:val="auto"/>
                      <w:sz w:val="21"/>
                      <w:szCs w:val="21"/>
                    </w:rPr>
                  </w:pPr>
                </w:p>
              </w:tc>
            </w:tr>
            <w:tr w14:paraId="6A3A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restart"/>
                  <w:vAlign w:val="center"/>
                </w:tcPr>
                <w:p w14:paraId="583F46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NO</w:t>
                  </w:r>
                  <w:r>
                    <w:rPr>
                      <w:rFonts w:hint="eastAsia" w:ascii="宋体" w:hAnsi="宋体" w:eastAsia="宋体" w:cs="宋体"/>
                      <w:color w:val="auto"/>
                      <w:sz w:val="21"/>
                      <w:szCs w:val="21"/>
                      <w:vertAlign w:val="subscript"/>
                    </w:rPr>
                    <w:t>2</w:t>
                  </w:r>
                </w:p>
              </w:tc>
              <w:tc>
                <w:tcPr>
                  <w:tcW w:w="2501" w:type="dxa"/>
                  <w:vAlign w:val="center"/>
                </w:tcPr>
                <w:p w14:paraId="5928D7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年平均</w:t>
                  </w:r>
                </w:p>
              </w:tc>
              <w:tc>
                <w:tcPr>
                  <w:tcW w:w="2312" w:type="dxa"/>
                  <w:vAlign w:val="center"/>
                </w:tcPr>
                <w:p w14:paraId="2CEAD7A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1502" w:type="dxa"/>
                  <w:vMerge w:val="continue"/>
                  <w:vAlign w:val="center"/>
                </w:tcPr>
                <w:p w14:paraId="31DA77BD">
                  <w:pPr>
                    <w:jc w:val="center"/>
                    <w:rPr>
                      <w:rFonts w:hint="eastAsia" w:ascii="宋体" w:hAnsi="宋体" w:eastAsia="宋体" w:cs="宋体"/>
                      <w:bCs/>
                      <w:color w:val="auto"/>
                      <w:sz w:val="21"/>
                      <w:szCs w:val="21"/>
                    </w:rPr>
                  </w:pPr>
                </w:p>
              </w:tc>
            </w:tr>
            <w:tr w14:paraId="6542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continue"/>
                  <w:vAlign w:val="center"/>
                </w:tcPr>
                <w:p w14:paraId="46DB585B">
                  <w:pPr>
                    <w:jc w:val="center"/>
                    <w:rPr>
                      <w:rFonts w:hint="eastAsia" w:ascii="宋体" w:hAnsi="宋体" w:eastAsia="宋体" w:cs="宋体"/>
                      <w:color w:val="auto"/>
                      <w:sz w:val="21"/>
                      <w:szCs w:val="21"/>
                    </w:rPr>
                  </w:pPr>
                </w:p>
              </w:tc>
              <w:tc>
                <w:tcPr>
                  <w:tcW w:w="2501" w:type="dxa"/>
                  <w:vAlign w:val="center"/>
                </w:tcPr>
                <w:p w14:paraId="0D1FA3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24小时平均</w:t>
                  </w:r>
                </w:p>
              </w:tc>
              <w:tc>
                <w:tcPr>
                  <w:tcW w:w="2312" w:type="dxa"/>
                  <w:vAlign w:val="center"/>
                </w:tcPr>
                <w:p w14:paraId="3EE40F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80</w:t>
                  </w:r>
                </w:p>
              </w:tc>
              <w:tc>
                <w:tcPr>
                  <w:tcW w:w="1502" w:type="dxa"/>
                  <w:vMerge w:val="continue"/>
                  <w:vAlign w:val="center"/>
                </w:tcPr>
                <w:p w14:paraId="64604882">
                  <w:pPr>
                    <w:jc w:val="center"/>
                    <w:rPr>
                      <w:rFonts w:hint="eastAsia" w:ascii="宋体" w:hAnsi="宋体" w:eastAsia="宋体" w:cs="宋体"/>
                      <w:bCs/>
                      <w:color w:val="auto"/>
                      <w:sz w:val="21"/>
                      <w:szCs w:val="21"/>
                    </w:rPr>
                  </w:pPr>
                </w:p>
              </w:tc>
            </w:tr>
            <w:tr w14:paraId="643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continue"/>
                  <w:vAlign w:val="center"/>
                </w:tcPr>
                <w:p w14:paraId="664AF8B2">
                  <w:pPr>
                    <w:jc w:val="center"/>
                    <w:rPr>
                      <w:rFonts w:hint="eastAsia" w:ascii="宋体" w:hAnsi="宋体" w:eastAsia="宋体" w:cs="宋体"/>
                      <w:color w:val="auto"/>
                      <w:sz w:val="21"/>
                      <w:szCs w:val="21"/>
                    </w:rPr>
                  </w:pPr>
                </w:p>
              </w:tc>
              <w:tc>
                <w:tcPr>
                  <w:tcW w:w="2501" w:type="dxa"/>
                  <w:vAlign w:val="center"/>
                </w:tcPr>
                <w:p w14:paraId="5CAF68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1小时平均</w:t>
                  </w:r>
                </w:p>
              </w:tc>
              <w:tc>
                <w:tcPr>
                  <w:tcW w:w="2312" w:type="dxa"/>
                  <w:vAlign w:val="center"/>
                </w:tcPr>
                <w:p w14:paraId="385965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502" w:type="dxa"/>
                  <w:vMerge w:val="continue"/>
                  <w:vAlign w:val="center"/>
                </w:tcPr>
                <w:p w14:paraId="0C67E9B7">
                  <w:pPr>
                    <w:jc w:val="center"/>
                    <w:rPr>
                      <w:rFonts w:hint="eastAsia" w:ascii="宋体" w:hAnsi="宋体" w:eastAsia="宋体" w:cs="宋体"/>
                      <w:bCs/>
                      <w:color w:val="auto"/>
                      <w:sz w:val="21"/>
                      <w:szCs w:val="21"/>
                    </w:rPr>
                  </w:pPr>
                </w:p>
              </w:tc>
            </w:tr>
            <w:tr w14:paraId="71B5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restart"/>
                  <w:vAlign w:val="center"/>
                </w:tcPr>
                <w:p w14:paraId="36C138F0">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CO</w:t>
                  </w:r>
                </w:p>
              </w:tc>
              <w:tc>
                <w:tcPr>
                  <w:tcW w:w="2501" w:type="dxa"/>
                  <w:vAlign w:val="center"/>
                </w:tcPr>
                <w:p w14:paraId="6EBF26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24小时平均</w:t>
                  </w:r>
                </w:p>
              </w:tc>
              <w:tc>
                <w:tcPr>
                  <w:tcW w:w="2312" w:type="dxa"/>
                  <w:vAlign w:val="center"/>
                </w:tcPr>
                <w:p w14:paraId="568C1C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02" w:type="dxa"/>
                  <w:vMerge w:val="restart"/>
                  <w:vAlign w:val="center"/>
                </w:tcPr>
                <w:p w14:paraId="0E46225E">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mg/m</w:t>
                  </w:r>
                  <w:r>
                    <w:rPr>
                      <w:rFonts w:hint="eastAsia" w:ascii="宋体" w:hAnsi="宋体" w:eastAsia="宋体" w:cs="宋体"/>
                      <w:bCs/>
                      <w:color w:val="auto"/>
                      <w:sz w:val="21"/>
                      <w:szCs w:val="21"/>
                      <w:vertAlign w:val="superscript"/>
                    </w:rPr>
                    <w:t>3</w:t>
                  </w:r>
                </w:p>
              </w:tc>
            </w:tr>
            <w:tr w14:paraId="5347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continue"/>
                  <w:vAlign w:val="center"/>
                </w:tcPr>
                <w:p w14:paraId="16B4A151">
                  <w:pPr>
                    <w:jc w:val="center"/>
                    <w:rPr>
                      <w:rFonts w:hint="eastAsia" w:ascii="宋体" w:hAnsi="宋体" w:eastAsia="宋体" w:cs="宋体"/>
                      <w:color w:val="auto"/>
                      <w:sz w:val="21"/>
                      <w:szCs w:val="21"/>
                    </w:rPr>
                  </w:pPr>
                </w:p>
              </w:tc>
              <w:tc>
                <w:tcPr>
                  <w:tcW w:w="2501" w:type="dxa"/>
                  <w:vAlign w:val="center"/>
                </w:tcPr>
                <w:p w14:paraId="3B2C87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1小时平均</w:t>
                  </w:r>
                </w:p>
              </w:tc>
              <w:tc>
                <w:tcPr>
                  <w:tcW w:w="2312" w:type="dxa"/>
                  <w:vAlign w:val="center"/>
                </w:tcPr>
                <w:p w14:paraId="52AC78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502" w:type="dxa"/>
                  <w:vMerge w:val="continue"/>
                  <w:vAlign w:val="center"/>
                </w:tcPr>
                <w:p w14:paraId="1537378D">
                  <w:pPr>
                    <w:jc w:val="center"/>
                    <w:rPr>
                      <w:rFonts w:hint="eastAsia" w:ascii="宋体" w:hAnsi="宋体" w:eastAsia="宋体" w:cs="宋体"/>
                      <w:bCs/>
                      <w:color w:val="auto"/>
                      <w:sz w:val="21"/>
                      <w:szCs w:val="21"/>
                    </w:rPr>
                  </w:pPr>
                </w:p>
              </w:tc>
            </w:tr>
            <w:tr w14:paraId="0BB8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937" w:type="dxa"/>
                  <w:vMerge w:val="restart"/>
                  <w:vAlign w:val="center"/>
                </w:tcPr>
                <w:p w14:paraId="6B11731F">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O</w:t>
                  </w:r>
                  <w:r>
                    <w:rPr>
                      <w:rFonts w:hint="eastAsia" w:ascii="宋体" w:hAnsi="宋体" w:cs="宋体"/>
                      <w:color w:val="auto"/>
                      <w:sz w:val="21"/>
                      <w:szCs w:val="21"/>
                      <w:vertAlign w:val="subscript"/>
                      <w:lang w:val="en-US" w:eastAsia="zh-CN"/>
                    </w:rPr>
                    <w:t>3</w:t>
                  </w:r>
                </w:p>
              </w:tc>
              <w:tc>
                <w:tcPr>
                  <w:tcW w:w="2501" w:type="dxa"/>
                  <w:vAlign w:val="center"/>
                </w:tcPr>
                <w:p w14:paraId="5DD8ED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最大8小时平均</w:t>
                  </w:r>
                </w:p>
              </w:tc>
              <w:tc>
                <w:tcPr>
                  <w:tcW w:w="2312" w:type="dxa"/>
                  <w:vAlign w:val="center"/>
                </w:tcPr>
                <w:p w14:paraId="3990CD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w:t>
                  </w:r>
                </w:p>
              </w:tc>
              <w:tc>
                <w:tcPr>
                  <w:tcW w:w="1502" w:type="dxa"/>
                  <w:vMerge w:val="restart"/>
                  <w:vAlign w:val="center"/>
                </w:tcPr>
                <w:p w14:paraId="362FBBAA">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μg/m</w:t>
                  </w:r>
                  <w:r>
                    <w:rPr>
                      <w:rFonts w:hint="eastAsia" w:ascii="宋体" w:hAnsi="宋体" w:eastAsia="宋体" w:cs="宋体"/>
                      <w:bCs/>
                      <w:color w:val="auto"/>
                      <w:sz w:val="21"/>
                      <w:szCs w:val="21"/>
                      <w:vertAlign w:val="superscript"/>
                    </w:rPr>
                    <w:t>3</w:t>
                  </w:r>
                </w:p>
              </w:tc>
            </w:tr>
            <w:tr w14:paraId="3643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1937" w:type="dxa"/>
                  <w:vMerge w:val="continue"/>
                  <w:vAlign w:val="center"/>
                </w:tcPr>
                <w:p w14:paraId="265E73CD">
                  <w:pPr>
                    <w:jc w:val="center"/>
                    <w:rPr>
                      <w:rFonts w:hint="eastAsia" w:ascii="宋体" w:hAnsi="宋体" w:eastAsia="宋体" w:cs="宋体"/>
                      <w:color w:val="auto"/>
                      <w:sz w:val="21"/>
                      <w:szCs w:val="21"/>
                    </w:rPr>
                  </w:pPr>
                </w:p>
              </w:tc>
              <w:tc>
                <w:tcPr>
                  <w:tcW w:w="2501" w:type="dxa"/>
                  <w:vAlign w:val="center"/>
                </w:tcPr>
                <w:p w14:paraId="7911D8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1小时平均</w:t>
                  </w:r>
                </w:p>
              </w:tc>
              <w:tc>
                <w:tcPr>
                  <w:tcW w:w="2312" w:type="dxa"/>
                  <w:vAlign w:val="center"/>
                </w:tcPr>
                <w:p w14:paraId="2CF30E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502" w:type="dxa"/>
                  <w:vMerge w:val="continue"/>
                  <w:vAlign w:val="center"/>
                </w:tcPr>
                <w:p w14:paraId="522E646E">
                  <w:pPr>
                    <w:jc w:val="center"/>
                    <w:rPr>
                      <w:rFonts w:hint="eastAsia" w:ascii="宋体" w:hAnsi="宋体" w:eastAsia="宋体" w:cs="宋体"/>
                      <w:bCs/>
                      <w:color w:val="auto"/>
                      <w:sz w:val="21"/>
                      <w:szCs w:val="21"/>
                    </w:rPr>
                  </w:pPr>
                </w:p>
              </w:tc>
            </w:tr>
          </w:tbl>
          <w:p w14:paraId="196C8D52">
            <w:pPr>
              <w:snapToGrid w:val="0"/>
              <w:spacing w:line="360" w:lineRule="auto"/>
              <w:rPr>
                <w:rFonts w:ascii="Times New Roman" w:hAnsi="Times New Roman"/>
                <w:b/>
                <w:bCs/>
                <w:color w:val="auto"/>
                <w:sz w:val="24"/>
                <w:szCs w:val="24"/>
              </w:rPr>
            </w:pPr>
            <w:r>
              <w:rPr>
                <w:rFonts w:ascii="Times New Roman" w:hAnsi="Times New Roman"/>
                <w:b/>
                <w:bCs/>
                <w:color w:val="auto"/>
                <w:sz w:val="24"/>
                <w:szCs w:val="24"/>
              </w:rPr>
              <w:t>2、地表水环境质量标准</w:t>
            </w:r>
          </w:p>
          <w:p w14:paraId="738A76D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本项目位于云南省德宏州芒市</w:t>
            </w:r>
            <w:r>
              <w:rPr>
                <w:rFonts w:hint="eastAsia" w:asciiTheme="minorEastAsia" w:hAnsiTheme="minorEastAsia" w:eastAsiaTheme="minorEastAsia" w:cstheme="minorEastAsia"/>
                <w:color w:val="auto"/>
                <w:sz w:val="24"/>
                <w:szCs w:val="24"/>
                <w:lang w:eastAsia="zh-CN"/>
              </w:rPr>
              <w:t>轩岗乡遮相居委会第一居民小组</w:t>
            </w:r>
            <w:r>
              <w:rPr>
                <w:rFonts w:hint="eastAsia" w:asciiTheme="minorEastAsia" w:hAnsiTheme="minorEastAsia" w:eastAsiaTheme="minorEastAsia" w:cstheme="minorEastAsia"/>
                <w:color w:val="auto"/>
                <w:sz w:val="24"/>
                <w:szCs w:val="24"/>
              </w:rPr>
              <w:t>，项目地表水环境保护目标为芒市</w:t>
            </w:r>
            <w:r>
              <w:rPr>
                <w:rFonts w:hint="eastAsia" w:asciiTheme="minorEastAsia" w:hAnsiTheme="minorEastAsia" w:eastAsiaTheme="minorEastAsia" w:cstheme="minorEastAsia"/>
                <w:color w:val="auto"/>
                <w:sz w:val="24"/>
                <w:szCs w:val="24"/>
                <w:lang w:eastAsia="zh-CN"/>
              </w:rPr>
              <w:t>大</w:t>
            </w:r>
            <w:r>
              <w:rPr>
                <w:rFonts w:hint="eastAsia" w:asciiTheme="minorEastAsia" w:hAnsiTheme="minorEastAsia" w:eastAsiaTheme="minorEastAsia" w:cstheme="minorEastAsia"/>
                <w:color w:val="auto"/>
                <w:sz w:val="24"/>
                <w:szCs w:val="24"/>
              </w:rPr>
              <w:t>河。根据《云南省地表水水环境功能区划》（2010～2020），该河段为</w:t>
            </w:r>
            <w:r>
              <w:rPr>
                <w:rFonts w:hint="eastAsia" w:asciiTheme="minorEastAsia" w:hAnsiTheme="minorEastAsia" w:eastAsiaTheme="minorEastAsia" w:cstheme="minorEastAsia"/>
                <w:color w:val="auto"/>
                <w:sz w:val="24"/>
                <w:szCs w:val="24"/>
                <w:lang w:eastAsia="zh-CN"/>
              </w:rPr>
              <w:t>木康</w:t>
            </w:r>
            <w:r>
              <w:rPr>
                <w:rFonts w:hint="eastAsia" w:asciiTheme="minorEastAsia" w:hAnsiTheme="minorEastAsia" w:eastAsiaTheme="minorEastAsia" w:cstheme="minorEastAsia"/>
                <w:color w:val="auto"/>
                <w:sz w:val="24"/>
                <w:szCs w:val="24"/>
              </w:rPr>
              <w:t>段</w:t>
            </w:r>
            <w:r>
              <w:rPr>
                <w:rFonts w:hint="eastAsia" w:asciiTheme="minorEastAsia" w:hAnsiTheme="minorEastAsia" w:eastAsiaTheme="minorEastAsia" w:cstheme="minorEastAsia"/>
                <w:color w:val="auto"/>
                <w:sz w:val="24"/>
                <w:szCs w:val="24"/>
                <w:lang w:val="en-US" w:eastAsia="zh-CN"/>
              </w:rPr>
              <w:t>-入瑞丽江口</w:t>
            </w:r>
            <w:r>
              <w:rPr>
                <w:rFonts w:hint="eastAsia" w:asciiTheme="minorEastAsia" w:hAnsiTheme="minorEastAsia" w:eastAsiaTheme="minorEastAsia" w:cstheme="minorEastAsia"/>
                <w:color w:val="auto"/>
                <w:sz w:val="24"/>
                <w:szCs w:val="24"/>
              </w:rPr>
              <w:t>，规划为Ⅲ类水体，地表水执行《地表水环境质量标准》（GB3838-2002）Ⅲ类标准。具体标准值见表4-2。</w:t>
            </w:r>
          </w:p>
          <w:p w14:paraId="4C6815BE">
            <w:pPr>
              <w:spacing w:line="360" w:lineRule="auto"/>
              <w:ind w:firstLine="560"/>
              <w:jc w:val="center"/>
              <w:rPr>
                <w:rFonts w:hint="eastAsia" w:ascii="Times New Roman" w:hAnsi="Times New Roman"/>
                <w:b/>
                <w:color w:val="auto"/>
                <w:sz w:val="24"/>
                <w:szCs w:val="24"/>
              </w:rPr>
            </w:pPr>
            <w:r>
              <w:rPr>
                <w:rFonts w:hint="eastAsia" w:ascii="Times New Roman" w:hAnsi="Times New Roman"/>
                <w:b/>
                <w:color w:val="auto"/>
                <w:sz w:val="24"/>
                <w:szCs w:val="24"/>
              </w:rPr>
              <w:t>表4-2  地表水质量标准  单位：</w:t>
            </w:r>
            <w:r>
              <w:rPr>
                <w:rFonts w:ascii="Times New Roman" w:hAnsi="Times New Roman"/>
                <w:b/>
                <w:color w:val="auto"/>
                <w:sz w:val="24"/>
                <w:szCs w:val="24"/>
              </w:rPr>
              <w:t>mg/L</w:t>
            </w:r>
          </w:p>
          <w:tbl>
            <w:tblPr>
              <w:tblStyle w:val="24"/>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01"/>
              <w:gridCol w:w="1675"/>
              <w:gridCol w:w="4141"/>
            </w:tblGrid>
            <w:tr w14:paraId="25FA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935" w:type="dxa"/>
                  <w:vAlign w:val="center"/>
                </w:tcPr>
                <w:p w14:paraId="31758847">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501" w:type="dxa"/>
                  <w:vAlign w:val="center"/>
                </w:tcPr>
                <w:p w14:paraId="2426E751">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675" w:type="dxa"/>
                  <w:vAlign w:val="center"/>
                </w:tcPr>
                <w:p w14:paraId="22A3DDC4">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Ⅲ类标准值</w:t>
                  </w:r>
                </w:p>
              </w:tc>
              <w:tc>
                <w:tcPr>
                  <w:tcW w:w="4141" w:type="dxa"/>
                  <w:vAlign w:val="center"/>
                </w:tcPr>
                <w:p w14:paraId="6E863A8B">
                  <w:pPr>
                    <w:spacing w:line="240" w:lineRule="auto"/>
                    <w:ind w:firstLine="169" w:firstLineChars="8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标  准  来  源</w:t>
                  </w:r>
                </w:p>
              </w:tc>
            </w:tr>
            <w:tr w14:paraId="6B2E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935" w:type="dxa"/>
                  <w:vAlign w:val="center"/>
                </w:tcPr>
                <w:p w14:paraId="039B6A3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01" w:type="dxa"/>
                  <w:vAlign w:val="center"/>
                </w:tcPr>
                <w:p w14:paraId="049B4A4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pH</w:t>
                  </w:r>
                </w:p>
              </w:tc>
              <w:tc>
                <w:tcPr>
                  <w:tcW w:w="1675" w:type="dxa"/>
                  <w:vAlign w:val="center"/>
                </w:tcPr>
                <w:p w14:paraId="552191C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6～9</w:t>
                  </w:r>
                </w:p>
              </w:tc>
              <w:tc>
                <w:tcPr>
                  <w:tcW w:w="4141" w:type="dxa"/>
                  <w:vMerge w:val="restart"/>
                  <w:vAlign w:val="center"/>
                </w:tcPr>
                <w:p w14:paraId="7D0E336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《地表水环境质量标准》（GB3838-2002）</w:t>
                  </w:r>
                </w:p>
              </w:tc>
            </w:tr>
            <w:tr w14:paraId="41AE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35" w:type="dxa"/>
                  <w:vAlign w:val="center"/>
                </w:tcPr>
                <w:p w14:paraId="1EB9515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01" w:type="dxa"/>
                  <w:vAlign w:val="center"/>
                </w:tcPr>
                <w:p w14:paraId="384C351F">
                  <w:pPr>
                    <w:spacing w:line="240" w:lineRule="auto"/>
                    <w:jc w:val="center"/>
                    <w:rPr>
                      <w:rFonts w:hint="eastAsia" w:ascii="宋体" w:hAnsi="宋体" w:eastAsia="宋体" w:cs="宋体"/>
                      <w:color w:val="auto"/>
                      <w:sz w:val="21"/>
                      <w:szCs w:val="21"/>
                      <w:vertAlign w:val="subscript"/>
                    </w:rPr>
                  </w:pPr>
                  <w:r>
                    <w:rPr>
                      <w:rFonts w:hint="eastAsia" w:ascii="宋体" w:hAnsi="宋体" w:eastAsia="宋体" w:cs="宋体"/>
                      <w:color w:val="auto"/>
                      <w:sz w:val="21"/>
                      <w:szCs w:val="21"/>
                    </w:rPr>
                    <w:t>COD</w:t>
                  </w:r>
                  <w:r>
                    <w:rPr>
                      <w:rFonts w:hint="eastAsia" w:ascii="宋体" w:hAnsi="宋体" w:eastAsia="宋体" w:cs="宋体"/>
                      <w:color w:val="auto"/>
                      <w:sz w:val="21"/>
                      <w:szCs w:val="21"/>
                      <w:vertAlign w:val="subscript"/>
                    </w:rPr>
                    <w:t>cr</w:t>
                  </w:r>
                </w:p>
              </w:tc>
              <w:tc>
                <w:tcPr>
                  <w:tcW w:w="1675" w:type="dxa"/>
                  <w:vAlign w:val="center"/>
                </w:tcPr>
                <w:p w14:paraId="3909450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GB"/>
                    </w:rPr>
                    <w:t>≤20</w:t>
                  </w:r>
                </w:p>
              </w:tc>
              <w:tc>
                <w:tcPr>
                  <w:tcW w:w="4141" w:type="dxa"/>
                  <w:vMerge w:val="continue"/>
                  <w:vAlign w:val="center"/>
                </w:tcPr>
                <w:p w14:paraId="4E70DDD4">
                  <w:pPr>
                    <w:spacing w:line="240" w:lineRule="auto"/>
                    <w:ind w:firstLine="500"/>
                    <w:jc w:val="center"/>
                    <w:rPr>
                      <w:rFonts w:hint="eastAsia" w:ascii="宋体" w:hAnsi="宋体" w:eastAsia="宋体" w:cs="宋体"/>
                      <w:color w:val="auto"/>
                      <w:sz w:val="21"/>
                      <w:szCs w:val="21"/>
                    </w:rPr>
                  </w:pPr>
                </w:p>
              </w:tc>
            </w:tr>
            <w:tr w14:paraId="4DD8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35" w:type="dxa"/>
                  <w:vAlign w:val="center"/>
                </w:tcPr>
                <w:p w14:paraId="596072A1">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01" w:type="dxa"/>
                  <w:vAlign w:val="center"/>
                </w:tcPr>
                <w:p w14:paraId="16125C4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p>
              </w:tc>
              <w:tc>
                <w:tcPr>
                  <w:tcW w:w="1675" w:type="dxa"/>
                  <w:vAlign w:val="center"/>
                </w:tcPr>
                <w:p w14:paraId="0113FA0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GB"/>
                    </w:rPr>
                    <w:t>≤</w:t>
                  </w:r>
                  <w:r>
                    <w:rPr>
                      <w:rFonts w:hint="eastAsia" w:ascii="宋体" w:hAnsi="宋体" w:eastAsia="宋体" w:cs="宋体"/>
                      <w:color w:val="auto"/>
                      <w:sz w:val="21"/>
                      <w:szCs w:val="21"/>
                    </w:rPr>
                    <w:t>4</w:t>
                  </w:r>
                </w:p>
              </w:tc>
              <w:tc>
                <w:tcPr>
                  <w:tcW w:w="4141" w:type="dxa"/>
                  <w:vMerge w:val="continue"/>
                  <w:vAlign w:val="center"/>
                </w:tcPr>
                <w:p w14:paraId="1046B493">
                  <w:pPr>
                    <w:spacing w:line="240" w:lineRule="auto"/>
                    <w:ind w:firstLine="500"/>
                    <w:jc w:val="center"/>
                    <w:rPr>
                      <w:rFonts w:hint="eastAsia" w:ascii="宋体" w:hAnsi="宋体" w:eastAsia="宋体" w:cs="宋体"/>
                      <w:color w:val="auto"/>
                      <w:sz w:val="21"/>
                      <w:szCs w:val="21"/>
                    </w:rPr>
                  </w:pPr>
                </w:p>
              </w:tc>
            </w:tr>
            <w:tr w14:paraId="3A12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35" w:type="dxa"/>
                  <w:vAlign w:val="center"/>
                </w:tcPr>
                <w:p w14:paraId="49284C3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01" w:type="dxa"/>
                  <w:vAlign w:val="center"/>
                </w:tcPr>
                <w:p w14:paraId="37CCD66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TP</w:t>
                  </w:r>
                </w:p>
              </w:tc>
              <w:tc>
                <w:tcPr>
                  <w:tcW w:w="1675" w:type="dxa"/>
                  <w:vAlign w:val="center"/>
                </w:tcPr>
                <w:p w14:paraId="00FDCB26">
                  <w:pPr>
                    <w:spacing w:line="240" w:lineRule="auto"/>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w:t>
                  </w:r>
                  <w:r>
                    <w:rPr>
                      <w:rFonts w:hint="eastAsia" w:ascii="宋体" w:hAnsi="宋体" w:eastAsia="宋体" w:cs="宋体"/>
                      <w:color w:val="auto"/>
                      <w:sz w:val="21"/>
                      <w:szCs w:val="21"/>
                    </w:rPr>
                    <w:t>0.2</w:t>
                  </w:r>
                </w:p>
              </w:tc>
              <w:tc>
                <w:tcPr>
                  <w:tcW w:w="4141" w:type="dxa"/>
                  <w:vMerge w:val="continue"/>
                  <w:vAlign w:val="center"/>
                </w:tcPr>
                <w:p w14:paraId="2EFED0A8">
                  <w:pPr>
                    <w:spacing w:line="240" w:lineRule="auto"/>
                    <w:ind w:firstLine="500"/>
                    <w:jc w:val="center"/>
                    <w:rPr>
                      <w:rFonts w:hint="eastAsia" w:ascii="宋体" w:hAnsi="宋体" w:eastAsia="宋体" w:cs="宋体"/>
                      <w:color w:val="auto"/>
                      <w:sz w:val="21"/>
                      <w:szCs w:val="21"/>
                    </w:rPr>
                  </w:pPr>
                </w:p>
              </w:tc>
            </w:tr>
            <w:tr w14:paraId="00CF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935" w:type="dxa"/>
                  <w:vAlign w:val="center"/>
                </w:tcPr>
                <w:p w14:paraId="78D5B03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01" w:type="dxa"/>
                  <w:vAlign w:val="center"/>
                </w:tcPr>
                <w:p w14:paraId="35C799B6">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NH</w:t>
                  </w:r>
                  <w:r>
                    <w:rPr>
                      <w:rFonts w:hint="eastAsia" w:ascii="宋体" w:hAnsi="宋体" w:eastAsia="宋体" w:cs="宋体"/>
                      <w:color w:val="auto"/>
                      <w:sz w:val="21"/>
                      <w:szCs w:val="21"/>
                      <w:vertAlign w:val="subscript"/>
                    </w:rPr>
                    <w:t>3</w:t>
                  </w:r>
                  <w:r>
                    <w:rPr>
                      <w:rFonts w:hint="eastAsia" w:ascii="宋体" w:hAnsi="宋体" w:eastAsia="宋体" w:cs="宋体"/>
                      <w:color w:val="auto"/>
                      <w:sz w:val="21"/>
                      <w:szCs w:val="21"/>
                    </w:rPr>
                    <w:t>-N</w:t>
                  </w:r>
                </w:p>
              </w:tc>
              <w:tc>
                <w:tcPr>
                  <w:tcW w:w="1675" w:type="dxa"/>
                  <w:vAlign w:val="center"/>
                </w:tcPr>
                <w:p w14:paraId="67C678C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141" w:type="dxa"/>
                  <w:vMerge w:val="continue"/>
                  <w:vAlign w:val="center"/>
                </w:tcPr>
                <w:p w14:paraId="1F3C13C9">
                  <w:pPr>
                    <w:spacing w:line="240" w:lineRule="auto"/>
                    <w:ind w:firstLine="500"/>
                    <w:jc w:val="center"/>
                    <w:rPr>
                      <w:rFonts w:hint="eastAsia" w:ascii="宋体" w:hAnsi="宋体" w:eastAsia="宋体" w:cs="宋体"/>
                      <w:color w:val="auto"/>
                      <w:sz w:val="21"/>
                      <w:szCs w:val="21"/>
                    </w:rPr>
                  </w:pPr>
                </w:p>
              </w:tc>
            </w:tr>
          </w:tbl>
          <w:p w14:paraId="57129CEE">
            <w:pPr>
              <w:numPr>
                <w:ilvl w:val="0"/>
                <w:numId w:val="0"/>
              </w:numPr>
              <w:snapToGrid w:val="0"/>
              <w:spacing w:line="360" w:lineRule="auto"/>
              <w:rPr>
                <w:rFonts w:ascii="Times New Roman" w:hAnsi="Times New Roman"/>
                <w:b/>
                <w:bCs/>
                <w:color w:val="auto"/>
                <w:sz w:val="24"/>
                <w:szCs w:val="24"/>
              </w:rPr>
            </w:pPr>
          </w:p>
          <w:p w14:paraId="0A3D4F1B">
            <w:pPr>
              <w:numPr>
                <w:ilvl w:val="0"/>
                <w:numId w:val="0"/>
              </w:numPr>
              <w:snapToGrid w:val="0"/>
              <w:spacing w:line="360" w:lineRule="auto"/>
              <w:rPr>
                <w:rFonts w:ascii="Times New Roman" w:hAnsi="Times New Roman"/>
                <w:b/>
                <w:bCs/>
                <w:color w:val="auto"/>
                <w:sz w:val="24"/>
                <w:szCs w:val="24"/>
              </w:rPr>
            </w:pPr>
            <w:r>
              <w:rPr>
                <w:rFonts w:hint="eastAsia" w:ascii="Times New Roman" w:hAnsi="Times New Roman"/>
                <w:b/>
                <w:bCs/>
                <w:color w:val="auto"/>
                <w:sz w:val="24"/>
                <w:szCs w:val="24"/>
                <w:lang w:val="en-US" w:eastAsia="zh-CN"/>
              </w:rPr>
              <w:t>3、</w:t>
            </w:r>
            <w:r>
              <w:rPr>
                <w:rFonts w:ascii="Times New Roman" w:hAnsi="Times New Roman"/>
                <w:b/>
                <w:bCs/>
                <w:color w:val="auto"/>
                <w:sz w:val="24"/>
                <w:szCs w:val="24"/>
              </w:rPr>
              <w:t>声环境质量标准</w:t>
            </w:r>
          </w:p>
          <w:p w14:paraId="75E8D462">
            <w:pPr>
              <w:snapToGrid w:val="0"/>
              <w:spacing w:line="360" w:lineRule="auto"/>
              <w:ind w:firstLine="480" w:firstLineChars="200"/>
              <w:rPr>
                <w:rFonts w:hint="eastAsia" w:ascii="Times New Roman" w:hAnsi="Times New Roman"/>
                <w:color w:val="auto"/>
                <w:sz w:val="24"/>
                <w:szCs w:val="24"/>
              </w:rPr>
            </w:pPr>
            <w:r>
              <w:rPr>
                <w:rFonts w:ascii="Times New Roman" w:hAnsi="Times New Roman"/>
                <w:color w:val="auto"/>
                <w:sz w:val="24"/>
                <w:szCs w:val="24"/>
              </w:rPr>
              <w:t>项目</w:t>
            </w:r>
            <w:r>
              <w:rPr>
                <w:rFonts w:hint="eastAsia" w:ascii="Times New Roman" w:hAnsi="Times New Roman"/>
                <w:color w:val="auto"/>
                <w:sz w:val="24"/>
                <w:szCs w:val="24"/>
              </w:rPr>
              <w:t>区</w:t>
            </w:r>
            <w:r>
              <w:rPr>
                <w:rFonts w:hint="eastAsia" w:ascii="Times New Roman" w:hAnsi="Times New Roman"/>
                <w:color w:val="auto"/>
                <w:sz w:val="24"/>
                <w:szCs w:val="24"/>
                <w:lang w:eastAsia="zh-CN"/>
              </w:rPr>
              <w:t>位于农村地区，</w:t>
            </w:r>
            <w:r>
              <w:rPr>
                <w:rFonts w:ascii="Times New Roman" w:hAnsi="Times New Roman"/>
                <w:color w:val="auto"/>
                <w:sz w:val="24"/>
                <w:szCs w:val="24"/>
              </w:rPr>
              <w:t>声</w:t>
            </w:r>
            <w:r>
              <w:rPr>
                <w:rFonts w:hint="eastAsia" w:ascii="Times New Roman" w:hAnsi="Times New Roman"/>
                <w:color w:val="auto"/>
                <w:sz w:val="24"/>
                <w:szCs w:val="24"/>
              </w:rPr>
              <w:t>环境</w:t>
            </w:r>
            <w:r>
              <w:rPr>
                <w:rFonts w:ascii="Times New Roman" w:hAnsi="Times New Roman"/>
                <w:color w:val="auto"/>
                <w:sz w:val="24"/>
                <w:szCs w:val="24"/>
              </w:rPr>
              <w:t>执行《</w:t>
            </w:r>
            <w:r>
              <w:rPr>
                <w:rFonts w:hint="eastAsia" w:ascii="Times New Roman" w:hAnsi="Times New Roman"/>
                <w:color w:val="auto"/>
                <w:sz w:val="24"/>
                <w:szCs w:val="24"/>
              </w:rPr>
              <w:t>声环境质量标准</w:t>
            </w:r>
            <w:r>
              <w:rPr>
                <w:rFonts w:ascii="Times New Roman" w:hAnsi="Times New Roman"/>
                <w:color w:val="auto"/>
                <w:sz w:val="24"/>
                <w:szCs w:val="24"/>
              </w:rPr>
              <w:t>》</w:t>
            </w:r>
            <w:r>
              <w:rPr>
                <w:rFonts w:hint="eastAsia" w:ascii="Times New Roman" w:hAnsi="Times New Roman"/>
                <w:color w:val="auto"/>
                <w:sz w:val="24"/>
                <w:szCs w:val="24"/>
              </w:rPr>
              <w:t>（</w:t>
            </w:r>
            <w:r>
              <w:rPr>
                <w:rFonts w:ascii="Times New Roman" w:hAnsi="Times New Roman"/>
                <w:color w:val="auto"/>
                <w:sz w:val="24"/>
                <w:szCs w:val="24"/>
              </w:rPr>
              <w:t>GB3096-</w:t>
            </w:r>
            <w:r>
              <w:rPr>
                <w:rFonts w:hint="eastAsia" w:ascii="Times New Roman" w:hAnsi="Times New Roman"/>
                <w:color w:val="auto"/>
                <w:sz w:val="24"/>
                <w:szCs w:val="24"/>
              </w:rPr>
              <w:t>2008）2类标准，</w:t>
            </w:r>
            <w:r>
              <w:rPr>
                <w:rFonts w:ascii="Times New Roman" w:hAnsi="Times New Roman"/>
                <w:color w:val="auto"/>
                <w:sz w:val="24"/>
                <w:szCs w:val="24"/>
              </w:rPr>
              <w:t>标准值</w:t>
            </w:r>
            <w:r>
              <w:rPr>
                <w:rFonts w:hint="eastAsia" w:ascii="Times New Roman" w:hAnsi="Times New Roman"/>
                <w:color w:val="auto"/>
                <w:sz w:val="24"/>
                <w:szCs w:val="24"/>
              </w:rPr>
              <w:t>见</w:t>
            </w:r>
            <w:r>
              <w:rPr>
                <w:rFonts w:ascii="Times New Roman" w:hAnsi="Times New Roman"/>
                <w:color w:val="auto"/>
                <w:sz w:val="24"/>
                <w:szCs w:val="24"/>
              </w:rPr>
              <w:fldChar w:fldCharType="begin"/>
            </w:r>
            <w:r>
              <w:rPr>
                <w:rFonts w:ascii="Times New Roman" w:hAnsi="Times New Roman"/>
                <w:color w:val="auto"/>
                <w:sz w:val="24"/>
                <w:szCs w:val="24"/>
              </w:rPr>
              <w:instrText xml:space="preserve"> REF _Ref381256861 \r \h  \* MERGEFORMAT </w:instrText>
            </w:r>
            <w:r>
              <w:rPr>
                <w:rFonts w:ascii="Times New Roman" w:hAnsi="Times New Roman"/>
                <w:color w:val="auto"/>
                <w:sz w:val="24"/>
                <w:szCs w:val="24"/>
              </w:rPr>
              <w:fldChar w:fldCharType="separate"/>
            </w:r>
            <w:r>
              <w:rPr>
                <w:rFonts w:hint="eastAsia" w:ascii="Times New Roman" w:hAnsi="Times New Roman"/>
                <w:color w:val="auto"/>
                <w:sz w:val="24"/>
                <w:szCs w:val="24"/>
              </w:rPr>
              <w:t>表4-3</w:t>
            </w:r>
            <w:r>
              <w:rPr>
                <w:rFonts w:ascii="Times New Roman" w:hAnsi="Times New Roman"/>
                <w:color w:val="auto"/>
                <w:sz w:val="24"/>
                <w:szCs w:val="24"/>
              </w:rPr>
              <w:fldChar w:fldCharType="end"/>
            </w:r>
            <w:r>
              <w:rPr>
                <w:rFonts w:hint="eastAsia" w:ascii="Times New Roman" w:hAnsi="Times New Roman"/>
                <w:color w:val="auto"/>
                <w:sz w:val="24"/>
                <w:szCs w:val="24"/>
              </w:rPr>
              <w:t>：</w:t>
            </w:r>
          </w:p>
          <w:p w14:paraId="1666C4A8">
            <w:pPr>
              <w:pStyle w:val="52"/>
              <w:numPr>
                <w:ilvl w:val="0"/>
                <w:numId w:val="0"/>
              </w:numPr>
              <w:rPr>
                <w:rFonts w:hint="eastAsia" w:ascii="宋体" w:hAnsi="宋体" w:eastAsia="宋体" w:cs="宋体"/>
                <w:color w:val="auto"/>
              </w:rPr>
            </w:pPr>
            <w:bookmarkStart w:id="7" w:name="_Ref381256861"/>
            <w:r>
              <w:rPr>
                <w:rFonts w:hint="eastAsia" w:ascii="宋体" w:hAnsi="宋体" w:eastAsia="宋体" w:cs="宋体"/>
                <w:color w:val="auto"/>
              </w:rPr>
              <w:t>表4-3  声环境质量标准  单位：dB(A)</w:t>
            </w:r>
            <w:bookmarkEnd w:id="7"/>
          </w:p>
          <w:tbl>
            <w:tblPr>
              <w:tblStyle w:val="24"/>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2748"/>
              <w:gridCol w:w="2752"/>
            </w:tblGrid>
            <w:tr w14:paraId="67CD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752" w:type="dxa"/>
                  <w:vAlign w:val="center"/>
                </w:tcPr>
                <w:p w14:paraId="6938EF7D">
                  <w:pPr>
                    <w:snapToGrid w:val="0"/>
                    <w:jc w:val="center"/>
                    <w:rPr>
                      <w:rFonts w:ascii="Times New Roman" w:hAnsi="Times New Roman"/>
                      <w:b/>
                      <w:bCs/>
                      <w:color w:val="auto"/>
                      <w:szCs w:val="21"/>
                    </w:rPr>
                  </w:pPr>
                  <w:r>
                    <w:rPr>
                      <w:rFonts w:hint="eastAsia" w:ascii="Times New Roman" w:hAnsi="Times New Roman"/>
                      <w:b/>
                      <w:bCs/>
                      <w:color w:val="auto"/>
                      <w:szCs w:val="21"/>
                    </w:rPr>
                    <w:t>类别</w:t>
                  </w:r>
                </w:p>
              </w:tc>
              <w:tc>
                <w:tcPr>
                  <w:tcW w:w="2748" w:type="dxa"/>
                  <w:vAlign w:val="center"/>
                </w:tcPr>
                <w:p w14:paraId="24659A9C">
                  <w:pPr>
                    <w:snapToGrid w:val="0"/>
                    <w:jc w:val="center"/>
                    <w:rPr>
                      <w:rFonts w:ascii="Times New Roman" w:hAnsi="Times New Roman"/>
                      <w:b/>
                      <w:bCs/>
                      <w:color w:val="auto"/>
                      <w:szCs w:val="21"/>
                    </w:rPr>
                  </w:pPr>
                  <w:r>
                    <w:rPr>
                      <w:rFonts w:hint="eastAsia" w:ascii="Times New Roman" w:hAnsi="Times New Roman"/>
                      <w:b/>
                      <w:bCs/>
                      <w:color w:val="auto"/>
                      <w:szCs w:val="21"/>
                    </w:rPr>
                    <w:t>昼间</w:t>
                  </w:r>
                </w:p>
              </w:tc>
              <w:tc>
                <w:tcPr>
                  <w:tcW w:w="2752" w:type="dxa"/>
                  <w:vAlign w:val="center"/>
                </w:tcPr>
                <w:p w14:paraId="743BCCA5">
                  <w:pPr>
                    <w:snapToGrid w:val="0"/>
                    <w:jc w:val="center"/>
                    <w:rPr>
                      <w:rFonts w:ascii="Times New Roman" w:hAnsi="Times New Roman"/>
                      <w:b/>
                      <w:bCs/>
                      <w:color w:val="auto"/>
                      <w:szCs w:val="21"/>
                    </w:rPr>
                  </w:pPr>
                  <w:r>
                    <w:rPr>
                      <w:rFonts w:hint="eastAsia" w:ascii="Times New Roman" w:hAnsi="Times New Roman"/>
                      <w:b/>
                      <w:bCs/>
                      <w:color w:val="auto"/>
                      <w:szCs w:val="21"/>
                    </w:rPr>
                    <w:t>夜间</w:t>
                  </w:r>
                </w:p>
              </w:tc>
            </w:tr>
            <w:tr w14:paraId="6FBD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752" w:type="dxa"/>
                  <w:vAlign w:val="center"/>
                </w:tcPr>
                <w:p w14:paraId="44FE0E3A">
                  <w:pPr>
                    <w:snapToGrid w:val="0"/>
                    <w:jc w:val="center"/>
                    <w:rPr>
                      <w:rFonts w:ascii="Times New Roman" w:hAnsi="Times New Roman"/>
                      <w:color w:val="auto"/>
                      <w:szCs w:val="21"/>
                    </w:rPr>
                  </w:pPr>
                  <w:r>
                    <w:rPr>
                      <w:rFonts w:hint="eastAsia" w:ascii="Times New Roman" w:hAnsi="Times New Roman"/>
                      <w:color w:val="auto"/>
                      <w:szCs w:val="21"/>
                    </w:rPr>
                    <w:t>2</w:t>
                  </w:r>
                </w:p>
              </w:tc>
              <w:tc>
                <w:tcPr>
                  <w:tcW w:w="2748" w:type="dxa"/>
                  <w:vAlign w:val="center"/>
                </w:tcPr>
                <w:p w14:paraId="666414F8">
                  <w:pPr>
                    <w:snapToGrid w:val="0"/>
                    <w:jc w:val="center"/>
                    <w:rPr>
                      <w:rFonts w:ascii="Times New Roman" w:hAnsi="Times New Roman"/>
                      <w:color w:val="auto"/>
                      <w:szCs w:val="21"/>
                    </w:rPr>
                  </w:pPr>
                  <w:r>
                    <w:rPr>
                      <w:rFonts w:hint="eastAsia" w:ascii="Times New Roman" w:hAnsi="Times New Roman"/>
                      <w:color w:val="auto"/>
                      <w:szCs w:val="21"/>
                    </w:rPr>
                    <w:t>60</w:t>
                  </w:r>
                </w:p>
              </w:tc>
              <w:tc>
                <w:tcPr>
                  <w:tcW w:w="2752" w:type="dxa"/>
                  <w:vAlign w:val="center"/>
                </w:tcPr>
                <w:p w14:paraId="27892357">
                  <w:pPr>
                    <w:snapToGrid w:val="0"/>
                    <w:jc w:val="center"/>
                    <w:rPr>
                      <w:rFonts w:ascii="Times New Roman" w:hAnsi="Times New Roman"/>
                      <w:color w:val="auto"/>
                      <w:szCs w:val="21"/>
                    </w:rPr>
                  </w:pPr>
                  <w:r>
                    <w:rPr>
                      <w:rFonts w:hint="eastAsia" w:ascii="Times New Roman" w:hAnsi="Times New Roman"/>
                      <w:color w:val="auto"/>
                      <w:szCs w:val="21"/>
                    </w:rPr>
                    <w:t>50</w:t>
                  </w:r>
                </w:p>
              </w:tc>
            </w:tr>
          </w:tbl>
          <w:p w14:paraId="70A90F08">
            <w:pPr>
              <w:spacing w:line="360" w:lineRule="auto"/>
              <w:ind w:firstLine="480" w:firstLineChars="200"/>
              <w:rPr>
                <w:rFonts w:hint="eastAsia" w:ascii="Times New Roman" w:hAnsi="Times New Roman"/>
                <w:color w:val="auto"/>
                <w:sz w:val="24"/>
                <w:szCs w:val="24"/>
              </w:rPr>
            </w:pPr>
          </w:p>
        </w:tc>
      </w:tr>
      <w:tr w14:paraId="303B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0" w:hRule="atLeast"/>
          <w:jc w:val="center"/>
        </w:trPr>
        <w:tc>
          <w:tcPr>
            <w:tcW w:w="663" w:type="dxa"/>
            <w:vAlign w:val="center"/>
          </w:tcPr>
          <w:p w14:paraId="35F8E3CB">
            <w:pPr>
              <w:spacing w:line="360" w:lineRule="auto"/>
              <w:rPr>
                <w:rFonts w:hint="eastAsia" w:ascii="Times New Roman" w:hAnsi="Times New Roman"/>
                <w:color w:val="auto"/>
                <w:sz w:val="24"/>
                <w:szCs w:val="24"/>
              </w:rPr>
            </w:pPr>
          </w:p>
          <w:p w14:paraId="7E864691">
            <w:pPr>
              <w:spacing w:line="360" w:lineRule="auto"/>
              <w:rPr>
                <w:rFonts w:hint="eastAsia" w:ascii="Times New Roman" w:hAnsi="Times New Roman"/>
                <w:color w:val="auto"/>
                <w:sz w:val="24"/>
                <w:szCs w:val="24"/>
              </w:rPr>
            </w:pPr>
          </w:p>
          <w:p w14:paraId="7704965A">
            <w:pPr>
              <w:spacing w:line="360" w:lineRule="auto"/>
              <w:rPr>
                <w:rFonts w:hint="eastAsia" w:ascii="Times New Roman" w:hAnsi="Times New Roman"/>
                <w:color w:val="auto"/>
                <w:sz w:val="24"/>
                <w:szCs w:val="24"/>
              </w:rPr>
            </w:pPr>
          </w:p>
          <w:p w14:paraId="68601C0E">
            <w:pPr>
              <w:spacing w:line="360" w:lineRule="auto"/>
              <w:rPr>
                <w:rFonts w:hint="eastAsia" w:ascii="Times New Roman" w:hAnsi="Times New Roman"/>
                <w:color w:val="auto"/>
                <w:sz w:val="24"/>
                <w:szCs w:val="24"/>
              </w:rPr>
            </w:pPr>
          </w:p>
          <w:p w14:paraId="418DEB8F">
            <w:pPr>
              <w:spacing w:line="360" w:lineRule="auto"/>
              <w:rPr>
                <w:rFonts w:hint="eastAsia" w:ascii="Times New Roman" w:hAnsi="Times New Roman"/>
                <w:color w:val="auto"/>
                <w:sz w:val="24"/>
                <w:szCs w:val="24"/>
              </w:rPr>
            </w:pPr>
          </w:p>
          <w:p w14:paraId="53D88C6D">
            <w:pPr>
              <w:spacing w:line="360" w:lineRule="auto"/>
              <w:rPr>
                <w:rFonts w:hint="eastAsia" w:ascii="Times New Roman" w:hAnsi="Times New Roman"/>
                <w:color w:val="auto"/>
                <w:sz w:val="24"/>
                <w:szCs w:val="24"/>
              </w:rPr>
            </w:pPr>
          </w:p>
          <w:p w14:paraId="66781A4B">
            <w:pPr>
              <w:spacing w:line="360" w:lineRule="auto"/>
              <w:rPr>
                <w:rFonts w:hint="eastAsia" w:ascii="Times New Roman" w:hAnsi="Times New Roman"/>
                <w:color w:val="auto"/>
                <w:sz w:val="24"/>
                <w:szCs w:val="24"/>
              </w:rPr>
            </w:pPr>
          </w:p>
          <w:p w14:paraId="167858A4">
            <w:pPr>
              <w:spacing w:line="360" w:lineRule="auto"/>
              <w:rPr>
                <w:rFonts w:ascii="Times New Roman" w:hAnsi="Times New Roman"/>
                <w:color w:val="auto"/>
                <w:sz w:val="24"/>
                <w:szCs w:val="24"/>
              </w:rPr>
            </w:pPr>
            <w:r>
              <w:rPr>
                <w:rFonts w:ascii="Times New Roman" w:hAnsi="Times New Roman"/>
                <w:color w:val="auto"/>
                <w:sz w:val="24"/>
                <w:szCs w:val="24"/>
              </w:rPr>
              <w:t>污染物排放标准</w:t>
            </w:r>
          </w:p>
          <w:p w14:paraId="6EB88E87">
            <w:pPr>
              <w:spacing w:line="360" w:lineRule="auto"/>
              <w:rPr>
                <w:rFonts w:ascii="Times New Roman" w:hAnsi="Times New Roman"/>
                <w:color w:val="auto"/>
                <w:sz w:val="24"/>
                <w:szCs w:val="24"/>
              </w:rPr>
            </w:pPr>
          </w:p>
          <w:p w14:paraId="26B54DEA">
            <w:pPr>
              <w:spacing w:line="360" w:lineRule="auto"/>
              <w:rPr>
                <w:rFonts w:ascii="Times New Roman" w:hAnsi="Times New Roman"/>
                <w:color w:val="auto"/>
                <w:sz w:val="24"/>
                <w:szCs w:val="24"/>
              </w:rPr>
            </w:pPr>
          </w:p>
          <w:p w14:paraId="3A8F0865">
            <w:pPr>
              <w:spacing w:line="360" w:lineRule="auto"/>
              <w:rPr>
                <w:rFonts w:ascii="Times New Roman" w:hAnsi="Times New Roman"/>
                <w:color w:val="auto"/>
                <w:sz w:val="24"/>
                <w:szCs w:val="24"/>
              </w:rPr>
            </w:pPr>
          </w:p>
          <w:p w14:paraId="20EA549F">
            <w:pPr>
              <w:spacing w:line="360" w:lineRule="auto"/>
              <w:rPr>
                <w:rFonts w:ascii="Times New Roman" w:hAnsi="Times New Roman"/>
                <w:color w:val="auto"/>
                <w:sz w:val="24"/>
                <w:szCs w:val="24"/>
              </w:rPr>
            </w:pPr>
          </w:p>
          <w:p w14:paraId="102CD441">
            <w:pPr>
              <w:spacing w:line="360" w:lineRule="auto"/>
              <w:rPr>
                <w:rFonts w:ascii="Times New Roman" w:hAnsi="Times New Roman"/>
                <w:color w:val="auto"/>
                <w:sz w:val="24"/>
                <w:szCs w:val="24"/>
              </w:rPr>
            </w:pPr>
          </w:p>
          <w:p w14:paraId="15AD6E1E">
            <w:pPr>
              <w:spacing w:line="360" w:lineRule="auto"/>
              <w:rPr>
                <w:rFonts w:ascii="Times New Roman" w:hAnsi="Times New Roman"/>
                <w:color w:val="auto"/>
                <w:sz w:val="24"/>
                <w:szCs w:val="24"/>
              </w:rPr>
            </w:pPr>
          </w:p>
          <w:p w14:paraId="13813DEC">
            <w:pPr>
              <w:spacing w:line="360" w:lineRule="auto"/>
              <w:rPr>
                <w:rFonts w:ascii="Times New Roman" w:hAnsi="Times New Roman"/>
                <w:color w:val="auto"/>
                <w:sz w:val="24"/>
                <w:szCs w:val="24"/>
              </w:rPr>
            </w:pPr>
          </w:p>
          <w:p w14:paraId="39AE0B7B">
            <w:pPr>
              <w:spacing w:line="360" w:lineRule="auto"/>
              <w:rPr>
                <w:rFonts w:ascii="Times New Roman" w:hAnsi="Times New Roman"/>
                <w:color w:val="auto"/>
                <w:sz w:val="24"/>
                <w:szCs w:val="24"/>
              </w:rPr>
            </w:pPr>
          </w:p>
          <w:p w14:paraId="246B1884">
            <w:pPr>
              <w:spacing w:line="360" w:lineRule="auto"/>
              <w:rPr>
                <w:rFonts w:ascii="Times New Roman" w:hAnsi="Times New Roman"/>
                <w:color w:val="auto"/>
                <w:sz w:val="24"/>
                <w:szCs w:val="24"/>
              </w:rPr>
            </w:pPr>
          </w:p>
          <w:p w14:paraId="3EF665FB">
            <w:pPr>
              <w:spacing w:line="360" w:lineRule="auto"/>
              <w:rPr>
                <w:rFonts w:ascii="Times New Roman" w:hAnsi="Times New Roman"/>
                <w:color w:val="auto"/>
                <w:sz w:val="24"/>
                <w:szCs w:val="24"/>
              </w:rPr>
            </w:pPr>
          </w:p>
          <w:p w14:paraId="3B20AB1D">
            <w:pPr>
              <w:spacing w:line="360" w:lineRule="auto"/>
              <w:rPr>
                <w:rFonts w:ascii="Times New Roman" w:hAnsi="Times New Roman"/>
                <w:color w:val="auto"/>
                <w:sz w:val="24"/>
                <w:szCs w:val="24"/>
              </w:rPr>
            </w:pPr>
          </w:p>
          <w:p w14:paraId="48B1CE2C">
            <w:pPr>
              <w:spacing w:line="360" w:lineRule="auto"/>
              <w:rPr>
                <w:rFonts w:ascii="Times New Roman" w:hAnsi="Times New Roman"/>
                <w:color w:val="auto"/>
                <w:sz w:val="24"/>
                <w:szCs w:val="24"/>
              </w:rPr>
            </w:pPr>
          </w:p>
          <w:p w14:paraId="14C07054">
            <w:pPr>
              <w:spacing w:line="360" w:lineRule="auto"/>
              <w:rPr>
                <w:rFonts w:ascii="Times New Roman" w:hAnsi="Times New Roman"/>
                <w:color w:val="auto"/>
                <w:sz w:val="24"/>
                <w:szCs w:val="24"/>
              </w:rPr>
            </w:pPr>
          </w:p>
          <w:p w14:paraId="1C9A4207">
            <w:pPr>
              <w:spacing w:line="360" w:lineRule="auto"/>
              <w:rPr>
                <w:rFonts w:ascii="Times New Roman" w:hAnsi="Times New Roman"/>
                <w:color w:val="auto"/>
                <w:sz w:val="24"/>
                <w:szCs w:val="24"/>
              </w:rPr>
            </w:pPr>
          </w:p>
          <w:p w14:paraId="4EFE0911">
            <w:pPr>
              <w:spacing w:line="360" w:lineRule="auto"/>
              <w:rPr>
                <w:rFonts w:ascii="Times New Roman" w:hAnsi="Times New Roman"/>
                <w:color w:val="auto"/>
                <w:sz w:val="24"/>
                <w:szCs w:val="24"/>
              </w:rPr>
            </w:pPr>
          </w:p>
          <w:p w14:paraId="57D8566B">
            <w:pPr>
              <w:spacing w:line="360" w:lineRule="auto"/>
              <w:rPr>
                <w:rFonts w:ascii="Times New Roman" w:hAnsi="Times New Roman"/>
                <w:color w:val="auto"/>
                <w:sz w:val="24"/>
                <w:szCs w:val="24"/>
              </w:rPr>
            </w:pPr>
          </w:p>
          <w:p w14:paraId="209CBF7A">
            <w:pPr>
              <w:spacing w:line="360" w:lineRule="auto"/>
              <w:rPr>
                <w:rFonts w:ascii="Times New Roman" w:hAnsi="Times New Roman"/>
                <w:color w:val="auto"/>
                <w:sz w:val="24"/>
                <w:szCs w:val="24"/>
              </w:rPr>
            </w:pPr>
          </w:p>
          <w:p w14:paraId="1E2D7C4A">
            <w:pPr>
              <w:spacing w:line="360" w:lineRule="auto"/>
              <w:rPr>
                <w:rFonts w:ascii="Times New Roman" w:hAnsi="Times New Roman"/>
                <w:color w:val="auto"/>
                <w:sz w:val="24"/>
                <w:szCs w:val="24"/>
              </w:rPr>
            </w:pPr>
          </w:p>
          <w:p w14:paraId="0DE0879C">
            <w:pPr>
              <w:spacing w:line="360" w:lineRule="auto"/>
              <w:rPr>
                <w:rFonts w:ascii="Times New Roman" w:hAnsi="Times New Roman"/>
                <w:color w:val="auto"/>
                <w:sz w:val="24"/>
                <w:szCs w:val="24"/>
              </w:rPr>
            </w:pPr>
          </w:p>
          <w:p w14:paraId="5BBAA737">
            <w:pPr>
              <w:spacing w:line="360" w:lineRule="auto"/>
              <w:rPr>
                <w:rFonts w:ascii="Times New Roman" w:hAnsi="Times New Roman"/>
                <w:color w:val="auto"/>
                <w:sz w:val="24"/>
                <w:szCs w:val="24"/>
              </w:rPr>
            </w:pPr>
          </w:p>
          <w:p w14:paraId="0CD8E862">
            <w:pPr>
              <w:spacing w:line="360" w:lineRule="auto"/>
              <w:rPr>
                <w:rFonts w:ascii="Times New Roman" w:hAnsi="Times New Roman"/>
                <w:color w:val="auto"/>
                <w:sz w:val="24"/>
                <w:szCs w:val="24"/>
              </w:rPr>
            </w:pPr>
          </w:p>
          <w:p w14:paraId="79BFB5EE">
            <w:pPr>
              <w:spacing w:line="360" w:lineRule="auto"/>
              <w:rPr>
                <w:rFonts w:ascii="Times New Roman" w:hAnsi="Times New Roman"/>
                <w:color w:val="auto"/>
                <w:sz w:val="24"/>
                <w:szCs w:val="24"/>
              </w:rPr>
            </w:pPr>
          </w:p>
          <w:p w14:paraId="663F6A34">
            <w:pPr>
              <w:spacing w:line="360" w:lineRule="auto"/>
              <w:rPr>
                <w:rFonts w:ascii="Times New Roman" w:hAnsi="Times New Roman"/>
                <w:color w:val="auto"/>
                <w:sz w:val="24"/>
                <w:szCs w:val="24"/>
              </w:rPr>
            </w:pPr>
          </w:p>
          <w:p w14:paraId="3ED7CC6F">
            <w:pPr>
              <w:spacing w:line="360" w:lineRule="auto"/>
              <w:rPr>
                <w:rFonts w:ascii="Times New Roman" w:hAnsi="Times New Roman"/>
                <w:color w:val="auto"/>
                <w:sz w:val="24"/>
                <w:szCs w:val="24"/>
              </w:rPr>
            </w:pPr>
          </w:p>
          <w:p w14:paraId="2C6C4A4C">
            <w:pPr>
              <w:spacing w:line="360" w:lineRule="auto"/>
              <w:rPr>
                <w:rFonts w:ascii="Times New Roman" w:hAnsi="Times New Roman"/>
                <w:color w:val="auto"/>
                <w:sz w:val="24"/>
                <w:szCs w:val="24"/>
              </w:rPr>
            </w:pPr>
          </w:p>
          <w:p w14:paraId="48972E68">
            <w:pPr>
              <w:spacing w:line="360" w:lineRule="auto"/>
              <w:rPr>
                <w:rFonts w:ascii="Times New Roman" w:hAnsi="Times New Roman"/>
                <w:color w:val="auto"/>
                <w:sz w:val="24"/>
                <w:szCs w:val="24"/>
              </w:rPr>
            </w:pPr>
          </w:p>
          <w:p w14:paraId="7B63ED0F">
            <w:pPr>
              <w:spacing w:line="360" w:lineRule="auto"/>
              <w:rPr>
                <w:rFonts w:ascii="Times New Roman" w:hAnsi="Times New Roman"/>
                <w:color w:val="auto"/>
                <w:sz w:val="24"/>
                <w:szCs w:val="24"/>
              </w:rPr>
            </w:pPr>
          </w:p>
          <w:p w14:paraId="33A06D34">
            <w:pPr>
              <w:spacing w:line="360" w:lineRule="auto"/>
              <w:rPr>
                <w:rFonts w:ascii="Times New Roman" w:hAnsi="Times New Roman"/>
                <w:color w:val="auto"/>
                <w:sz w:val="24"/>
                <w:szCs w:val="24"/>
              </w:rPr>
            </w:pPr>
          </w:p>
          <w:p w14:paraId="424A5F22">
            <w:pPr>
              <w:spacing w:line="360" w:lineRule="auto"/>
              <w:rPr>
                <w:rFonts w:ascii="Times New Roman" w:hAnsi="Times New Roman"/>
                <w:color w:val="auto"/>
                <w:sz w:val="24"/>
                <w:szCs w:val="24"/>
              </w:rPr>
            </w:pPr>
          </w:p>
          <w:p w14:paraId="38F65450">
            <w:pPr>
              <w:spacing w:line="360" w:lineRule="auto"/>
              <w:rPr>
                <w:rFonts w:ascii="Times New Roman" w:hAnsi="Times New Roman"/>
                <w:color w:val="auto"/>
                <w:sz w:val="24"/>
                <w:szCs w:val="24"/>
              </w:rPr>
            </w:pPr>
          </w:p>
          <w:p w14:paraId="7BBD9F0B">
            <w:pPr>
              <w:spacing w:line="360" w:lineRule="auto"/>
              <w:rPr>
                <w:rFonts w:ascii="Times New Roman" w:hAnsi="Times New Roman"/>
                <w:color w:val="auto"/>
                <w:sz w:val="24"/>
                <w:szCs w:val="24"/>
              </w:rPr>
            </w:pPr>
          </w:p>
          <w:p w14:paraId="373FED9E">
            <w:pPr>
              <w:spacing w:line="360" w:lineRule="auto"/>
              <w:rPr>
                <w:rFonts w:ascii="Times New Roman" w:hAnsi="Times New Roman"/>
                <w:color w:val="auto"/>
                <w:sz w:val="24"/>
                <w:szCs w:val="24"/>
              </w:rPr>
            </w:pPr>
          </w:p>
          <w:p w14:paraId="0603B5FE">
            <w:pPr>
              <w:spacing w:line="360" w:lineRule="auto"/>
              <w:rPr>
                <w:rFonts w:ascii="Times New Roman" w:hAnsi="Times New Roman"/>
                <w:color w:val="auto"/>
                <w:sz w:val="24"/>
                <w:szCs w:val="24"/>
              </w:rPr>
            </w:pPr>
          </w:p>
          <w:p w14:paraId="4B61BC61">
            <w:pPr>
              <w:spacing w:line="360" w:lineRule="auto"/>
              <w:rPr>
                <w:rFonts w:ascii="Times New Roman" w:hAnsi="Times New Roman"/>
                <w:color w:val="auto"/>
                <w:sz w:val="24"/>
                <w:szCs w:val="24"/>
              </w:rPr>
            </w:pPr>
          </w:p>
          <w:p w14:paraId="7266DB46">
            <w:pPr>
              <w:spacing w:line="360" w:lineRule="auto"/>
              <w:rPr>
                <w:rFonts w:ascii="Times New Roman" w:hAnsi="Times New Roman"/>
                <w:color w:val="auto"/>
                <w:sz w:val="24"/>
                <w:szCs w:val="24"/>
              </w:rPr>
            </w:pPr>
          </w:p>
          <w:p w14:paraId="4C0D32F5">
            <w:pPr>
              <w:spacing w:line="360" w:lineRule="auto"/>
              <w:rPr>
                <w:rFonts w:ascii="Times New Roman" w:hAnsi="Times New Roman"/>
                <w:color w:val="auto"/>
                <w:sz w:val="24"/>
                <w:szCs w:val="24"/>
              </w:rPr>
            </w:pPr>
          </w:p>
          <w:p w14:paraId="7574E78F">
            <w:pPr>
              <w:spacing w:line="360" w:lineRule="auto"/>
              <w:rPr>
                <w:rFonts w:ascii="Times New Roman" w:hAnsi="Times New Roman"/>
                <w:color w:val="auto"/>
                <w:sz w:val="24"/>
                <w:szCs w:val="24"/>
              </w:rPr>
            </w:pPr>
          </w:p>
          <w:p w14:paraId="6B8DD50B">
            <w:pPr>
              <w:spacing w:line="360" w:lineRule="auto"/>
              <w:rPr>
                <w:rFonts w:ascii="Times New Roman" w:hAnsi="Times New Roman"/>
                <w:color w:val="auto"/>
                <w:sz w:val="24"/>
                <w:szCs w:val="24"/>
              </w:rPr>
            </w:pPr>
          </w:p>
          <w:p w14:paraId="272609B6">
            <w:pPr>
              <w:spacing w:line="360" w:lineRule="auto"/>
              <w:rPr>
                <w:rFonts w:ascii="Times New Roman" w:hAnsi="Times New Roman"/>
                <w:color w:val="auto"/>
                <w:sz w:val="24"/>
                <w:szCs w:val="24"/>
              </w:rPr>
            </w:pPr>
          </w:p>
          <w:p w14:paraId="00045EEA">
            <w:pPr>
              <w:spacing w:line="360" w:lineRule="auto"/>
              <w:rPr>
                <w:rFonts w:ascii="Times New Roman" w:hAnsi="Times New Roman"/>
                <w:color w:val="auto"/>
                <w:sz w:val="24"/>
                <w:szCs w:val="24"/>
              </w:rPr>
            </w:pPr>
            <w:r>
              <w:rPr>
                <w:color w:val="auto"/>
                <w:sz w:val="24"/>
              </w:rPr>
              <mc:AlternateContent>
                <mc:Choice Requires="wps">
                  <w:drawing>
                    <wp:anchor distT="0" distB="0" distL="114300" distR="114300" simplePos="0" relativeHeight="251724800" behindDoc="0" locked="0" layoutInCell="1" allowOverlap="1">
                      <wp:simplePos x="0" y="0"/>
                      <wp:positionH relativeFrom="column">
                        <wp:posOffset>-42545</wp:posOffset>
                      </wp:positionH>
                      <wp:positionV relativeFrom="paragraph">
                        <wp:posOffset>245110</wp:posOffset>
                      </wp:positionV>
                      <wp:extent cx="5829300" cy="0"/>
                      <wp:effectExtent l="0" t="0" r="0" b="0"/>
                      <wp:wrapNone/>
                      <wp:docPr id="1" name="直接连接符 1"/>
                      <wp:cNvGraphicFramePr/>
                      <a:graphic xmlns:a="http://schemas.openxmlformats.org/drawingml/2006/main">
                        <a:graphicData uri="http://schemas.microsoft.com/office/word/2010/wordprocessingShape">
                          <wps:wsp>
                            <wps:cNvCnPr/>
                            <wps:spPr>
                              <a:xfrm>
                                <a:off x="913130" y="124206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35pt;margin-top:19.3pt;height:0pt;width:459pt;z-index:251724800;mso-width-relative:page;mso-height-relative:page;" filled="f" stroked="t" coordsize="21600,21600" o:gfxdata="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A&#10;syrVAAAACAEAAA8AAAAAAAAAAQAgAAAAIgAAAGRycy9kb3ducmV2LnhtbFBLAQIUABQAAAAIAIdO&#10;4kDKxZ9g7QEAALwDAAAOAAAAAAAAAAEAIAAAACQBAABkcnMvZTJvRG9jLnhtbFBLBQYAAAAABgAG&#10;AFkBAACDBQAAAAA=&#10;">
                      <v:fill on="f" focussize="0,0"/>
                      <v:stroke weight="0.5pt" color="#000000 [3213]" miterlimit="8" joinstyle="miter"/>
                      <v:imagedata o:title=""/>
                      <o:lock v:ext="edit" aspectratio="f"/>
                    </v:line>
                  </w:pict>
                </mc:Fallback>
              </mc:AlternateContent>
            </w:r>
          </w:p>
          <w:p w14:paraId="28CC1CB0">
            <w:pPr>
              <w:spacing w:line="360" w:lineRule="auto"/>
              <w:rPr>
                <w:rFonts w:ascii="Times New Roman" w:hAnsi="Times New Roman"/>
                <w:color w:val="auto"/>
                <w:sz w:val="24"/>
                <w:szCs w:val="24"/>
              </w:rPr>
            </w:pPr>
          </w:p>
          <w:p w14:paraId="5B1DC87E">
            <w:pPr>
              <w:spacing w:line="360" w:lineRule="auto"/>
              <w:rPr>
                <w:rFonts w:ascii="Times New Roman" w:hAnsi="Times New Roman"/>
                <w:color w:val="auto"/>
                <w:sz w:val="24"/>
                <w:szCs w:val="24"/>
              </w:rPr>
            </w:pPr>
          </w:p>
          <w:p w14:paraId="4BC7C6C4">
            <w:pPr>
              <w:spacing w:line="360" w:lineRule="auto"/>
              <w:rPr>
                <w:rFonts w:ascii="Times New Roman" w:hAnsi="Times New Roman"/>
                <w:color w:val="auto"/>
                <w:sz w:val="24"/>
                <w:szCs w:val="24"/>
              </w:rPr>
            </w:pPr>
            <w:r>
              <w:rPr>
                <w:rFonts w:ascii="Times New Roman" w:hAnsi="Times New Roman"/>
                <w:color w:val="auto"/>
                <w:sz w:val="24"/>
                <w:szCs w:val="24"/>
              </w:rPr>
              <w:t>总量控制</w:t>
            </w:r>
          </w:p>
          <w:p w14:paraId="2F7EE50D">
            <w:pPr>
              <w:spacing w:line="360" w:lineRule="auto"/>
              <w:rPr>
                <w:rFonts w:ascii="Times New Roman" w:hAnsi="Times New Roman"/>
                <w:color w:val="auto"/>
                <w:sz w:val="24"/>
                <w:szCs w:val="24"/>
              </w:rPr>
            </w:pPr>
            <w:r>
              <w:rPr>
                <w:rFonts w:ascii="Times New Roman" w:hAnsi="Times New Roman"/>
                <w:color w:val="auto"/>
                <w:sz w:val="24"/>
                <w:szCs w:val="24"/>
              </w:rPr>
              <w:t>指 标</w:t>
            </w:r>
          </w:p>
        </w:tc>
        <w:tc>
          <w:tcPr>
            <w:tcW w:w="8478" w:type="dxa"/>
            <w:vAlign w:val="top"/>
          </w:tcPr>
          <w:p w14:paraId="050C38BF">
            <w:pPr>
              <w:snapToGrid w:val="0"/>
              <w:spacing w:line="360" w:lineRule="auto"/>
              <w:outlineLvl w:val="0"/>
              <w:rPr>
                <w:rFonts w:ascii="Times New Roman" w:hAnsi="Times New Roman"/>
                <w:b/>
                <w:bCs/>
                <w:color w:val="auto"/>
                <w:sz w:val="24"/>
                <w:szCs w:val="24"/>
              </w:rPr>
            </w:pPr>
            <w:r>
              <w:rPr>
                <w:rFonts w:ascii="Times New Roman" w:hAnsi="Times New Roman"/>
                <w:b/>
                <w:bCs/>
                <w:color w:val="auto"/>
                <w:sz w:val="24"/>
                <w:szCs w:val="24"/>
              </w:rPr>
              <w:t>1、大气污染物排放标准</w:t>
            </w:r>
          </w:p>
          <w:p w14:paraId="7B3AEC4C">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施工期</w:t>
            </w:r>
            <w:r>
              <w:rPr>
                <w:rFonts w:hint="eastAsia" w:ascii="宋体" w:hAnsi="宋体" w:eastAsia="宋体" w:cs="宋体"/>
                <w:color w:val="auto"/>
                <w:sz w:val="24"/>
                <w:szCs w:val="24"/>
                <w:lang w:eastAsia="zh-CN"/>
              </w:rPr>
              <w:t>大气污染物主要为扬尘和汽车尾气</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扬尘（颗粒物）、汽车尾气</w:t>
            </w:r>
            <w:r>
              <w:rPr>
                <w:rFonts w:hint="eastAsia" w:ascii="宋体" w:hAnsi="宋体" w:eastAsia="宋体" w:cs="宋体"/>
                <w:color w:val="auto"/>
                <w:sz w:val="24"/>
                <w:szCs w:val="24"/>
              </w:rPr>
              <w:t>执行《大气污染物综合排放标准》（GB16297-1996）中表2无组织排放限值，标准值见</w:t>
            </w:r>
            <w:r>
              <w:rPr>
                <w:rFonts w:hint="eastAsia" w:ascii="宋体" w:hAnsi="宋体" w:eastAsia="宋体" w:cs="宋体"/>
                <w:color w:val="auto"/>
                <w:sz w:val="24"/>
                <w:szCs w:val="24"/>
                <w:lang w:eastAsia="zh-CN"/>
              </w:rPr>
              <w:t>下表：</w:t>
            </w:r>
          </w:p>
          <w:p w14:paraId="58E14AEF">
            <w:pPr>
              <w:pStyle w:val="52"/>
              <w:numPr>
                <w:ilvl w:val="0"/>
                <w:numId w:val="0"/>
              </w:numPr>
              <w:ind w:left="718" w:right="105"/>
              <w:rPr>
                <w:rFonts w:hint="eastAsia" w:ascii="宋体" w:hAnsi="宋体" w:eastAsia="宋体" w:cs="宋体"/>
                <w:color w:val="auto"/>
                <w:kern w:val="2"/>
                <w:sz w:val="24"/>
                <w:szCs w:val="24"/>
              </w:rPr>
            </w:pPr>
            <w:bookmarkStart w:id="8" w:name="_Ref381256867"/>
            <w:r>
              <w:rPr>
                <w:rFonts w:hint="eastAsia" w:ascii="宋体" w:hAnsi="宋体" w:eastAsia="宋体" w:cs="宋体"/>
                <w:color w:val="auto"/>
                <w:kern w:val="2"/>
                <w:sz w:val="24"/>
                <w:szCs w:val="24"/>
              </w:rPr>
              <w:t>表4-4大气污染物综合排放标准</w:t>
            </w:r>
            <w:bookmarkEnd w:id="8"/>
          </w:p>
          <w:tbl>
            <w:tblPr>
              <w:tblStyle w:val="24"/>
              <w:tblW w:w="82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53"/>
              <w:gridCol w:w="2831"/>
              <w:gridCol w:w="3658"/>
            </w:tblGrid>
            <w:tr w14:paraId="0F9C40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3" w:hRule="atLeast"/>
                <w:jc w:val="center"/>
              </w:trPr>
              <w:tc>
                <w:tcPr>
                  <w:tcW w:w="1753" w:type="dxa"/>
                  <w:vMerge w:val="restart"/>
                  <w:tcBorders>
                    <w:top w:val="single" w:color="auto" w:sz="8" w:space="0"/>
                    <w:left w:val="single" w:color="auto" w:sz="8" w:space="0"/>
                    <w:bottom w:val="single" w:color="auto" w:sz="6" w:space="0"/>
                    <w:right w:val="single" w:color="auto" w:sz="6" w:space="0"/>
                  </w:tcBorders>
                  <w:vAlign w:val="center"/>
                </w:tcPr>
                <w:p w14:paraId="0C0932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w:t>
                  </w:r>
                </w:p>
              </w:tc>
              <w:tc>
                <w:tcPr>
                  <w:tcW w:w="6489" w:type="dxa"/>
                  <w:gridSpan w:val="2"/>
                  <w:tcBorders>
                    <w:top w:val="single" w:color="auto" w:sz="8" w:space="0"/>
                    <w:left w:val="single" w:color="auto" w:sz="6" w:space="0"/>
                    <w:bottom w:val="single" w:color="auto" w:sz="6" w:space="0"/>
                    <w:right w:val="single" w:color="auto" w:sz="8" w:space="0"/>
                  </w:tcBorders>
                  <w:vAlign w:val="center"/>
                </w:tcPr>
                <w:p w14:paraId="57C45F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无组织排放监控浓度限值</w:t>
                  </w:r>
                </w:p>
              </w:tc>
            </w:tr>
            <w:tr w14:paraId="093128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42" w:hRule="atLeast"/>
                <w:jc w:val="center"/>
              </w:trPr>
              <w:tc>
                <w:tcPr>
                  <w:tcW w:w="1753" w:type="dxa"/>
                  <w:vMerge w:val="continue"/>
                  <w:tcBorders>
                    <w:top w:val="single" w:color="auto" w:sz="6" w:space="0"/>
                    <w:left w:val="single" w:color="auto" w:sz="8" w:space="0"/>
                    <w:bottom w:val="single" w:color="auto" w:sz="6" w:space="0"/>
                    <w:right w:val="single" w:color="auto" w:sz="6" w:space="0"/>
                  </w:tcBorders>
                  <w:vAlign w:val="center"/>
                </w:tcPr>
                <w:p w14:paraId="03FB2A9C">
                  <w:pPr>
                    <w:jc w:val="center"/>
                    <w:rPr>
                      <w:rFonts w:hint="eastAsia" w:ascii="宋体" w:hAnsi="宋体" w:eastAsia="宋体" w:cs="宋体"/>
                      <w:color w:val="auto"/>
                      <w:sz w:val="21"/>
                      <w:szCs w:val="21"/>
                    </w:rPr>
                  </w:pPr>
                </w:p>
              </w:tc>
              <w:tc>
                <w:tcPr>
                  <w:tcW w:w="2831" w:type="dxa"/>
                  <w:tcBorders>
                    <w:top w:val="single" w:color="auto" w:sz="6" w:space="0"/>
                    <w:left w:val="single" w:color="auto" w:sz="6" w:space="0"/>
                    <w:bottom w:val="single" w:color="auto" w:sz="6" w:space="0"/>
                    <w:right w:val="single" w:color="auto" w:sz="6" w:space="0"/>
                  </w:tcBorders>
                  <w:vAlign w:val="center"/>
                </w:tcPr>
                <w:p w14:paraId="6620BE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监控点</w:t>
                  </w:r>
                </w:p>
              </w:tc>
              <w:tc>
                <w:tcPr>
                  <w:tcW w:w="3658" w:type="dxa"/>
                  <w:tcBorders>
                    <w:top w:val="single" w:color="auto" w:sz="6" w:space="0"/>
                    <w:left w:val="single" w:color="auto" w:sz="6" w:space="0"/>
                    <w:bottom w:val="single" w:color="auto" w:sz="6" w:space="0"/>
                    <w:right w:val="single" w:color="auto" w:sz="8" w:space="0"/>
                  </w:tcBorders>
                  <w:vAlign w:val="center"/>
                </w:tcPr>
                <w:p w14:paraId="40452C8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r>
            <w:tr w14:paraId="7B0611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753" w:type="dxa"/>
                  <w:tcBorders>
                    <w:top w:val="single" w:color="auto" w:sz="6" w:space="0"/>
                    <w:left w:val="single" w:color="auto" w:sz="8" w:space="0"/>
                    <w:bottom w:val="single" w:color="auto" w:sz="6" w:space="0"/>
                    <w:right w:val="single" w:color="auto" w:sz="6" w:space="0"/>
                  </w:tcBorders>
                  <w:vAlign w:val="center"/>
                </w:tcPr>
                <w:p w14:paraId="24AA01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颗粒物</w:t>
                  </w:r>
                </w:p>
              </w:tc>
              <w:tc>
                <w:tcPr>
                  <w:tcW w:w="2831" w:type="dxa"/>
                  <w:tcBorders>
                    <w:top w:val="single" w:color="auto" w:sz="6" w:space="0"/>
                    <w:left w:val="single" w:color="auto" w:sz="6" w:space="0"/>
                    <w:bottom w:val="single" w:color="auto" w:sz="6" w:space="0"/>
                    <w:right w:val="single" w:color="auto" w:sz="6" w:space="0"/>
                  </w:tcBorders>
                  <w:vAlign w:val="center"/>
                </w:tcPr>
                <w:p w14:paraId="4F1015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周界外浓度最高点</w:t>
                  </w:r>
                </w:p>
              </w:tc>
              <w:tc>
                <w:tcPr>
                  <w:tcW w:w="3658" w:type="dxa"/>
                  <w:tcBorders>
                    <w:top w:val="single" w:color="auto" w:sz="6" w:space="0"/>
                    <w:left w:val="single" w:color="auto" w:sz="6" w:space="0"/>
                    <w:bottom w:val="single" w:color="auto" w:sz="6" w:space="0"/>
                    <w:right w:val="single" w:color="auto" w:sz="8" w:space="0"/>
                  </w:tcBorders>
                  <w:vAlign w:val="center"/>
                </w:tcPr>
                <w:p w14:paraId="458E25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p w14:paraId="78206F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（监控点与参照点浓度差值）</w:t>
                  </w:r>
                </w:p>
              </w:tc>
            </w:tr>
          </w:tbl>
          <w:p w14:paraId="0EEB3F8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bCs/>
                <w:color w:val="auto"/>
                <w:sz w:val="24"/>
                <w:szCs w:val="24"/>
              </w:rPr>
              <w:t>项目运营期加工过程中产生的</w:t>
            </w:r>
            <w:r>
              <w:rPr>
                <w:rFonts w:hint="eastAsia" w:ascii="宋体" w:hAnsi="宋体" w:eastAsia="宋体" w:cs="宋体"/>
                <w:bCs/>
                <w:color w:val="auto"/>
                <w:sz w:val="24"/>
                <w:szCs w:val="24"/>
                <w:lang w:eastAsia="zh-CN"/>
              </w:rPr>
              <w:t>粉尘</w:t>
            </w:r>
            <w:r>
              <w:rPr>
                <w:rFonts w:hint="eastAsia" w:ascii="宋体" w:hAnsi="宋体" w:eastAsia="宋体" w:cs="宋体"/>
                <w:bCs/>
                <w:color w:val="auto"/>
                <w:sz w:val="24"/>
                <w:szCs w:val="24"/>
              </w:rPr>
              <w:t>执行《大气污染物综合排放标准》（GB16297-1996）</w:t>
            </w:r>
            <w:r>
              <w:rPr>
                <w:rFonts w:hint="eastAsia" w:ascii="宋体" w:hAnsi="宋体" w:eastAsia="宋体" w:cs="宋体"/>
                <w:bCs/>
                <w:color w:val="auto"/>
                <w:sz w:val="24"/>
                <w:szCs w:val="24"/>
                <w:lang w:eastAsia="zh-CN"/>
              </w:rPr>
              <w:t>中</w:t>
            </w:r>
            <w:r>
              <w:rPr>
                <w:rFonts w:hint="eastAsia" w:ascii="宋体" w:hAnsi="宋体" w:eastAsia="宋体" w:cs="宋体"/>
                <w:color w:val="auto"/>
                <w:sz w:val="24"/>
                <w:szCs w:val="24"/>
              </w:rPr>
              <w:t>无组织监控浓度限值</w:t>
            </w:r>
            <w:r>
              <w:rPr>
                <w:rFonts w:hint="eastAsia" w:ascii="宋体" w:hAnsi="宋体" w:eastAsia="宋体" w:cs="宋体"/>
                <w:color w:val="auto"/>
                <w:sz w:val="24"/>
                <w:szCs w:val="24"/>
                <w:lang w:eastAsia="zh-CN"/>
              </w:rPr>
              <w:t>；热风炉烟囱高度及废气参照执行《锅炉大气污染物排放标准》（</w:t>
            </w:r>
            <w:r>
              <w:rPr>
                <w:rFonts w:hint="eastAsia" w:ascii="宋体" w:hAnsi="宋体" w:eastAsia="宋体" w:cs="宋体"/>
                <w:color w:val="auto"/>
                <w:sz w:val="24"/>
                <w:szCs w:val="24"/>
                <w:lang w:val="en-US" w:eastAsia="zh-CN"/>
              </w:rPr>
              <w:t>GB12317-2014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中燃煤锅炉的标</w:t>
            </w:r>
            <w:r>
              <w:rPr>
                <w:rFonts w:hint="eastAsia" w:ascii="Times New Roman" w:hAnsi="Times New Roman"/>
                <w:color w:val="auto"/>
                <w:sz w:val="24"/>
                <w:lang w:eastAsia="zh-CN"/>
              </w:rPr>
              <w:t>准；</w:t>
            </w:r>
            <w:r>
              <w:rPr>
                <w:rFonts w:hint="eastAsia" w:ascii="宋体" w:hAnsi="宋体" w:eastAsia="宋体" w:cs="宋体"/>
                <w:bCs/>
                <w:color w:val="auto"/>
                <w:sz w:val="24"/>
                <w:szCs w:val="24"/>
              </w:rPr>
              <w:t>具</w:t>
            </w:r>
            <w:r>
              <w:rPr>
                <w:rFonts w:hint="eastAsia" w:ascii="宋体" w:hAnsi="宋体" w:cs="宋体"/>
                <w:bCs/>
                <w:color w:val="auto"/>
                <w:sz w:val="24"/>
                <w:szCs w:val="24"/>
                <w:lang w:eastAsia="zh-CN"/>
              </w:rPr>
              <w:t>体</w:t>
            </w:r>
            <w:r>
              <w:rPr>
                <w:rFonts w:hint="eastAsia" w:ascii="宋体" w:hAnsi="宋体" w:eastAsia="宋体" w:cs="宋体"/>
                <w:bCs/>
                <w:color w:val="auto"/>
                <w:sz w:val="24"/>
                <w:szCs w:val="24"/>
                <w:lang w:eastAsia="zh-CN"/>
              </w:rPr>
              <w:t>详</w:t>
            </w:r>
            <w:r>
              <w:rPr>
                <w:rFonts w:hint="eastAsia" w:ascii="宋体" w:hAnsi="宋体" w:eastAsia="宋体" w:cs="宋体"/>
                <w:bCs/>
                <w:color w:val="auto"/>
                <w:sz w:val="24"/>
                <w:szCs w:val="24"/>
              </w:rPr>
              <w:t>见表4-</w:t>
            </w:r>
            <w:r>
              <w:rPr>
                <w:rFonts w:hint="eastAsia" w:ascii="宋体" w:hAnsi="宋体" w:eastAsia="宋体" w:cs="宋体"/>
                <w:bCs/>
                <w:color w:val="auto"/>
                <w:sz w:val="24"/>
                <w:szCs w:val="24"/>
                <w:lang w:val="en-US" w:eastAsia="zh-CN"/>
              </w:rPr>
              <w:t>5，4-6</w:t>
            </w:r>
            <w:r>
              <w:rPr>
                <w:rFonts w:hint="eastAsia" w:ascii="宋体" w:hAnsi="宋体" w:eastAsia="宋体" w:cs="宋体"/>
                <w:bCs/>
                <w:color w:val="auto"/>
                <w:sz w:val="24"/>
                <w:szCs w:val="24"/>
              </w:rPr>
              <w:t>。</w:t>
            </w:r>
          </w:p>
          <w:p w14:paraId="27631BDB">
            <w:pPr>
              <w:spacing w:line="360" w:lineRule="auto"/>
              <w:jc w:val="center"/>
              <w:rPr>
                <w:rFonts w:hint="eastAsia" w:ascii="宋体" w:hAnsi="宋体" w:eastAsia="宋体" w:cs="宋体"/>
                <w:b/>
                <w:color w:val="auto"/>
                <w:szCs w:val="24"/>
              </w:rPr>
            </w:pPr>
            <w:r>
              <w:rPr>
                <w:rFonts w:hint="eastAsia" w:ascii="宋体" w:hAnsi="宋体" w:eastAsia="宋体" w:cs="宋体"/>
                <w:b/>
                <w:color w:val="auto"/>
                <w:sz w:val="24"/>
                <w:szCs w:val="24"/>
              </w:rPr>
              <w:t>表4-</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 xml:space="preserve">  废气排放标准浓度限值</w:t>
            </w:r>
          </w:p>
          <w:tbl>
            <w:tblPr>
              <w:tblStyle w:val="24"/>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995"/>
              <w:gridCol w:w="1567"/>
              <w:gridCol w:w="3426"/>
            </w:tblGrid>
            <w:tr w14:paraId="3479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64" w:type="dxa"/>
                  <w:vMerge w:val="restart"/>
                  <w:vAlign w:val="center"/>
                </w:tcPr>
                <w:p w14:paraId="6A6A2895">
                  <w:pPr>
                    <w:spacing w:line="0" w:lineRule="atLeast"/>
                    <w:jc w:val="center"/>
                    <w:rPr>
                      <w:rFonts w:hint="eastAsia" w:ascii="宋体" w:hAnsi="宋体" w:eastAsia="宋体" w:cs="宋体"/>
                      <w:b/>
                      <w:color w:val="auto"/>
                      <w:szCs w:val="21"/>
                    </w:rPr>
                  </w:pPr>
                  <w:r>
                    <w:rPr>
                      <w:rFonts w:hint="eastAsia" w:ascii="宋体" w:hAnsi="宋体" w:eastAsia="宋体" w:cs="宋体"/>
                      <w:b/>
                      <w:color w:val="auto"/>
                      <w:szCs w:val="21"/>
                    </w:rPr>
                    <w:t>种类</w:t>
                  </w:r>
                </w:p>
              </w:tc>
              <w:tc>
                <w:tcPr>
                  <w:tcW w:w="1995" w:type="dxa"/>
                  <w:vMerge w:val="restart"/>
                  <w:vAlign w:val="center"/>
                </w:tcPr>
                <w:p w14:paraId="322EC798">
                  <w:pPr>
                    <w:spacing w:line="0" w:lineRule="atLeast"/>
                    <w:jc w:val="center"/>
                    <w:rPr>
                      <w:rFonts w:hint="eastAsia" w:ascii="宋体" w:hAnsi="宋体" w:eastAsia="宋体" w:cs="宋体"/>
                      <w:b/>
                      <w:color w:val="auto"/>
                      <w:szCs w:val="21"/>
                    </w:rPr>
                  </w:pPr>
                  <w:r>
                    <w:rPr>
                      <w:rFonts w:hint="eastAsia" w:ascii="宋体" w:hAnsi="宋体" w:eastAsia="宋体" w:cs="宋体"/>
                      <w:b/>
                      <w:color w:val="auto"/>
                      <w:szCs w:val="21"/>
                    </w:rPr>
                    <w:t>执行标准</w:t>
                  </w:r>
                </w:p>
              </w:tc>
              <w:tc>
                <w:tcPr>
                  <w:tcW w:w="1567" w:type="dxa"/>
                  <w:vMerge w:val="restart"/>
                  <w:vAlign w:val="center"/>
                </w:tcPr>
                <w:p w14:paraId="4E9E5F66">
                  <w:pPr>
                    <w:spacing w:line="0" w:lineRule="atLeast"/>
                    <w:jc w:val="center"/>
                    <w:rPr>
                      <w:rFonts w:hint="eastAsia" w:ascii="宋体" w:hAnsi="宋体" w:eastAsia="宋体" w:cs="宋体"/>
                      <w:b/>
                      <w:color w:val="auto"/>
                      <w:szCs w:val="21"/>
                    </w:rPr>
                  </w:pPr>
                  <w:r>
                    <w:rPr>
                      <w:rFonts w:hint="eastAsia" w:ascii="宋体" w:hAnsi="宋体" w:eastAsia="宋体" w:cs="宋体"/>
                      <w:b/>
                      <w:color w:val="auto"/>
                      <w:szCs w:val="21"/>
                    </w:rPr>
                    <w:t>指标</w:t>
                  </w:r>
                </w:p>
              </w:tc>
              <w:tc>
                <w:tcPr>
                  <w:tcW w:w="3426" w:type="dxa"/>
                  <w:vMerge w:val="restart"/>
                  <w:vAlign w:val="center"/>
                </w:tcPr>
                <w:p w14:paraId="3F120FC6">
                  <w:pPr>
                    <w:spacing w:line="0" w:lineRule="atLeast"/>
                    <w:jc w:val="center"/>
                    <w:rPr>
                      <w:rFonts w:hint="eastAsia" w:ascii="宋体" w:hAnsi="宋体" w:eastAsia="宋体" w:cs="宋体"/>
                      <w:b/>
                      <w:color w:val="auto"/>
                      <w:szCs w:val="21"/>
                    </w:rPr>
                  </w:pPr>
                  <w:r>
                    <w:rPr>
                      <w:rFonts w:hint="eastAsia" w:ascii="宋体" w:hAnsi="宋体" w:eastAsia="宋体" w:cs="宋体"/>
                      <w:b/>
                      <w:color w:val="auto"/>
                      <w:szCs w:val="21"/>
                    </w:rPr>
                    <w:t>无组织监控浓度限值（周界外浓度最高点）mg/m</w:t>
                  </w:r>
                  <w:r>
                    <w:rPr>
                      <w:rFonts w:hint="eastAsia" w:ascii="宋体" w:hAnsi="宋体" w:eastAsia="宋体" w:cs="宋体"/>
                      <w:b/>
                      <w:color w:val="auto"/>
                      <w:szCs w:val="21"/>
                      <w:vertAlign w:val="superscript"/>
                    </w:rPr>
                    <w:t>3</w:t>
                  </w:r>
                </w:p>
              </w:tc>
            </w:tr>
            <w:tr w14:paraId="6B6A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4" w:type="dxa"/>
                  <w:vMerge w:val="continue"/>
                  <w:vAlign w:val="center"/>
                </w:tcPr>
                <w:p w14:paraId="19C84FC3">
                  <w:pPr>
                    <w:spacing w:line="0" w:lineRule="atLeast"/>
                    <w:jc w:val="center"/>
                    <w:rPr>
                      <w:rFonts w:hint="eastAsia" w:ascii="宋体" w:hAnsi="宋体" w:eastAsia="宋体" w:cs="宋体"/>
                      <w:color w:val="auto"/>
                    </w:rPr>
                  </w:pPr>
                </w:p>
              </w:tc>
              <w:tc>
                <w:tcPr>
                  <w:tcW w:w="1995" w:type="dxa"/>
                  <w:vMerge w:val="continue"/>
                  <w:vAlign w:val="center"/>
                </w:tcPr>
                <w:p w14:paraId="1152B9AF">
                  <w:pPr>
                    <w:spacing w:line="0" w:lineRule="atLeast"/>
                    <w:jc w:val="center"/>
                    <w:rPr>
                      <w:rFonts w:hint="eastAsia" w:ascii="宋体" w:hAnsi="宋体" w:eastAsia="宋体" w:cs="宋体"/>
                      <w:color w:val="auto"/>
                    </w:rPr>
                  </w:pPr>
                </w:p>
              </w:tc>
              <w:tc>
                <w:tcPr>
                  <w:tcW w:w="1567" w:type="dxa"/>
                  <w:vMerge w:val="continue"/>
                  <w:vAlign w:val="center"/>
                </w:tcPr>
                <w:p w14:paraId="4ED6C9A2">
                  <w:pPr>
                    <w:spacing w:line="0" w:lineRule="atLeast"/>
                    <w:jc w:val="center"/>
                    <w:rPr>
                      <w:rFonts w:hint="eastAsia" w:ascii="宋体" w:hAnsi="宋体" w:eastAsia="宋体" w:cs="宋体"/>
                      <w:color w:val="auto"/>
                    </w:rPr>
                  </w:pPr>
                </w:p>
              </w:tc>
              <w:tc>
                <w:tcPr>
                  <w:tcW w:w="3426" w:type="dxa"/>
                  <w:vMerge w:val="continue"/>
                  <w:vAlign w:val="center"/>
                </w:tcPr>
                <w:p w14:paraId="31446C2A">
                  <w:pPr>
                    <w:spacing w:line="0" w:lineRule="atLeast"/>
                    <w:jc w:val="center"/>
                    <w:rPr>
                      <w:rFonts w:hint="eastAsia" w:ascii="宋体" w:hAnsi="宋体" w:eastAsia="宋体" w:cs="宋体"/>
                      <w:b/>
                      <w:color w:val="auto"/>
                      <w:szCs w:val="21"/>
                    </w:rPr>
                  </w:pPr>
                </w:p>
              </w:tc>
            </w:tr>
            <w:tr w14:paraId="268D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64" w:type="dxa"/>
                  <w:vAlign w:val="center"/>
                </w:tcPr>
                <w:p w14:paraId="460AABD6">
                  <w:pPr>
                    <w:spacing w:line="0" w:lineRule="atLeast"/>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粉尘</w:t>
                  </w:r>
                </w:p>
              </w:tc>
              <w:tc>
                <w:tcPr>
                  <w:tcW w:w="1995" w:type="dxa"/>
                  <w:vAlign w:val="center"/>
                </w:tcPr>
                <w:p w14:paraId="00397661">
                  <w:pPr>
                    <w:spacing w:line="0" w:lineRule="atLeast"/>
                    <w:jc w:val="center"/>
                    <w:rPr>
                      <w:rFonts w:hint="eastAsia" w:ascii="宋体" w:hAnsi="宋体" w:eastAsia="宋体" w:cs="宋体"/>
                      <w:bCs/>
                      <w:color w:val="auto"/>
                      <w:szCs w:val="21"/>
                    </w:rPr>
                  </w:pPr>
                  <w:r>
                    <w:rPr>
                      <w:rFonts w:hint="eastAsia" w:ascii="宋体" w:hAnsi="宋体" w:eastAsia="宋体" w:cs="宋体"/>
                      <w:color w:val="auto"/>
                      <w:szCs w:val="21"/>
                    </w:rPr>
                    <w:t>GB16297-1996</w:t>
                  </w:r>
                </w:p>
              </w:tc>
              <w:tc>
                <w:tcPr>
                  <w:tcW w:w="1567" w:type="dxa"/>
                  <w:vAlign w:val="center"/>
                </w:tcPr>
                <w:p w14:paraId="40BB3468">
                  <w:pPr>
                    <w:spacing w:line="0" w:lineRule="atLeast"/>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颗粒物</w:t>
                  </w:r>
                </w:p>
              </w:tc>
              <w:tc>
                <w:tcPr>
                  <w:tcW w:w="3426" w:type="dxa"/>
                  <w:vAlign w:val="center"/>
                </w:tcPr>
                <w:p w14:paraId="0EBF8CD1">
                  <w:pPr>
                    <w:spacing w:line="0" w:lineRule="atLeast"/>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1.0</w:t>
                  </w:r>
                </w:p>
              </w:tc>
            </w:tr>
          </w:tbl>
          <w:p w14:paraId="51A2A15C">
            <w:pPr>
              <w:snapToGrid w:val="0"/>
              <w:spacing w:line="360" w:lineRule="auto"/>
              <w:ind w:firstLine="2168" w:firstLineChars="900"/>
              <w:rPr>
                <w:rFonts w:hint="eastAsia" w:ascii="Times New Roman" w:hAnsi="Times New Roman"/>
                <w:b/>
                <w:bCs w:val="0"/>
                <w:color w:val="auto"/>
                <w:sz w:val="24"/>
                <w:lang w:val="en-US" w:eastAsia="zh-CN"/>
              </w:rPr>
            </w:pPr>
            <w:r>
              <w:rPr>
                <w:rFonts w:hint="eastAsia" w:ascii="Times New Roman" w:hAnsi="Times New Roman"/>
                <w:b/>
                <w:bCs w:val="0"/>
                <w:color w:val="auto"/>
                <w:sz w:val="24"/>
                <w:lang w:eastAsia="zh-CN"/>
              </w:rPr>
              <w:t>表</w:t>
            </w:r>
            <w:r>
              <w:rPr>
                <w:rFonts w:hint="eastAsia" w:ascii="Times New Roman" w:hAnsi="Times New Roman"/>
                <w:b/>
                <w:bCs w:val="0"/>
                <w:color w:val="auto"/>
                <w:sz w:val="24"/>
                <w:lang w:val="en-US" w:eastAsia="zh-CN"/>
              </w:rPr>
              <w:t>4-6《锅炉大气污染物排放标准》</w:t>
            </w:r>
          </w:p>
          <w:tbl>
            <w:tblPr>
              <w:tblStyle w:val="25"/>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93"/>
              <w:gridCol w:w="1232"/>
              <w:gridCol w:w="1693"/>
              <w:gridCol w:w="1459"/>
              <w:gridCol w:w="1460"/>
            </w:tblGrid>
            <w:tr w14:paraId="797D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top"/>
                </w:tcPr>
                <w:p w14:paraId="30BC55B9">
                  <w:pPr>
                    <w:snapToGrid w:val="0"/>
                    <w:spacing w:line="240" w:lineRule="auto"/>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锅炉类别</w:t>
                  </w:r>
                </w:p>
              </w:tc>
              <w:tc>
                <w:tcPr>
                  <w:tcW w:w="1493" w:type="dxa"/>
                  <w:vAlign w:val="top"/>
                </w:tcPr>
                <w:p w14:paraId="591B7C52">
                  <w:pPr>
                    <w:snapToGrid w:val="0"/>
                    <w:spacing w:line="240" w:lineRule="auto"/>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污染物种类</w:t>
                  </w:r>
                </w:p>
              </w:tc>
              <w:tc>
                <w:tcPr>
                  <w:tcW w:w="1232" w:type="dxa"/>
                  <w:vAlign w:val="top"/>
                </w:tcPr>
                <w:p w14:paraId="7EB54A84">
                  <w:pPr>
                    <w:snapToGrid w:val="0"/>
                    <w:spacing w:line="240" w:lineRule="auto"/>
                    <w:ind w:firstLine="210" w:firstLineChars="100"/>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限值</w:t>
                  </w:r>
                </w:p>
              </w:tc>
              <w:tc>
                <w:tcPr>
                  <w:tcW w:w="1693" w:type="dxa"/>
                  <w:vAlign w:val="top"/>
                </w:tcPr>
                <w:p w14:paraId="0E88CFFE">
                  <w:pPr>
                    <w:snapToGrid w:val="0"/>
                    <w:spacing w:line="240" w:lineRule="auto"/>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污染物排放监控位置</w:t>
                  </w:r>
                </w:p>
              </w:tc>
              <w:tc>
                <w:tcPr>
                  <w:tcW w:w="1459" w:type="dxa"/>
                  <w:vAlign w:val="top"/>
                </w:tcPr>
                <w:p w14:paraId="4D836917">
                  <w:pPr>
                    <w:snapToGrid w:val="0"/>
                    <w:spacing w:line="240" w:lineRule="auto"/>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锅炉房容量</w:t>
                  </w:r>
                </w:p>
              </w:tc>
              <w:tc>
                <w:tcPr>
                  <w:tcW w:w="1460" w:type="dxa"/>
                  <w:vAlign w:val="top"/>
                </w:tcPr>
                <w:p w14:paraId="6645CC13">
                  <w:pPr>
                    <w:snapToGrid w:val="0"/>
                    <w:spacing w:line="240" w:lineRule="auto"/>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烟囱高度</w:t>
                  </w:r>
                </w:p>
              </w:tc>
            </w:tr>
            <w:tr w14:paraId="6EAF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15" w:type="dxa"/>
                  <w:vMerge w:val="restart"/>
                  <w:vAlign w:val="top"/>
                </w:tcPr>
                <w:p w14:paraId="1CEE29AE">
                  <w:pPr>
                    <w:snapToGrid w:val="0"/>
                    <w:spacing w:line="240" w:lineRule="auto"/>
                    <w:rPr>
                      <w:rFonts w:hint="eastAsia" w:ascii="宋体" w:hAnsi="宋体" w:eastAsia="宋体" w:cs="宋体"/>
                      <w:bCs/>
                      <w:color w:val="auto"/>
                      <w:sz w:val="21"/>
                      <w:szCs w:val="21"/>
                      <w:vertAlign w:val="baseline"/>
                      <w:lang w:eastAsia="zh-CN"/>
                    </w:rPr>
                  </w:pPr>
                </w:p>
                <w:p w14:paraId="39F7A700">
                  <w:pPr>
                    <w:snapToGrid w:val="0"/>
                    <w:spacing w:line="240" w:lineRule="auto"/>
                    <w:rPr>
                      <w:rFonts w:hint="eastAsia" w:ascii="宋体" w:hAnsi="宋体" w:eastAsia="宋体" w:cs="宋体"/>
                      <w:bCs/>
                      <w:color w:val="auto"/>
                      <w:sz w:val="21"/>
                      <w:szCs w:val="21"/>
                      <w:vertAlign w:val="baseline"/>
                      <w:lang w:eastAsia="zh-CN"/>
                    </w:rPr>
                  </w:pPr>
                </w:p>
                <w:p w14:paraId="5B225E56">
                  <w:pPr>
                    <w:snapToGrid w:val="0"/>
                    <w:spacing w:line="240" w:lineRule="auto"/>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燃煤锅炉</w:t>
                  </w:r>
                </w:p>
              </w:tc>
              <w:tc>
                <w:tcPr>
                  <w:tcW w:w="1493" w:type="dxa"/>
                  <w:vAlign w:val="top"/>
                </w:tcPr>
                <w:p w14:paraId="47BB1ECD">
                  <w:pPr>
                    <w:snapToGrid w:val="0"/>
                    <w:spacing w:line="240" w:lineRule="auto"/>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颗粒物</w:t>
                  </w:r>
                </w:p>
              </w:tc>
              <w:tc>
                <w:tcPr>
                  <w:tcW w:w="1232" w:type="dxa"/>
                  <w:vAlign w:val="top"/>
                </w:tcPr>
                <w:p w14:paraId="25A1823B">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50</w:t>
                  </w:r>
                </w:p>
              </w:tc>
              <w:tc>
                <w:tcPr>
                  <w:tcW w:w="1693" w:type="dxa"/>
                  <w:vMerge w:val="restart"/>
                  <w:vAlign w:val="top"/>
                </w:tcPr>
                <w:p w14:paraId="15C3A9DA">
                  <w:pPr>
                    <w:snapToGrid w:val="0"/>
                    <w:spacing w:line="240" w:lineRule="auto"/>
                    <w:rPr>
                      <w:rFonts w:hint="eastAsia" w:ascii="宋体" w:hAnsi="宋体" w:eastAsia="宋体" w:cs="宋体"/>
                      <w:bCs/>
                      <w:color w:val="auto"/>
                      <w:sz w:val="21"/>
                      <w:szCs w:val="21"/>
                      <w:vertAlign w:val="baseline"/>
                      <w:lang w:eastAsia="zh-CN"/>
                    </w:rPr>
                  </w:pPr>
                </w:p>
                <w:p w14:paraId="72CA679B">
                  <w:pPr>
                    <w:snapToGrid w:val="0"/>
                    <w:spacing w:line="240" w:lineRule="auto"/>
                    <w:rPr>
                      <w:rFonts w:hint="eastAsia" w:ascii="宋体" w:hAnsi="宋体" w:eastAsia="宋体" w:cs="宋体"/>
                      <w:bCs/>
                      <w:color w:val="auto"/>
                      <w:sz w:val="21"/>
                      <w:szCs w:val="21"/>
                      <w:vertAlign w:val="baseline"/>
                      <w:lang w:eastAsia="zh-CN"/>
                    </w:rPr>
                  </w:pPr>
                </w:p>
                <w:p w14:paraId="131C070C">
                  <w:pPr>
                    <w:snapToGrid w:val="0"/>
                    <w:spacing w:line="240" w:lineRule="auto"/>
                    <w:ind w:firstLine="210" w:firstLineChars="100"/>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烟囱或烟道</w:t>
                  </w:r>
                </w:p>
              </w:tc>
              <w:tc>
                <w:tcPr>
                  <w:tcW w:w="1459" w:type="dxa"/>
                  <w:vMerge w:val="restart"/>
                  <w:vAlign w:val="top"/>
                </w:tcPr>
                <w:p w14:paraId="6DE17F1D">
                  <w:pPr>
                    <w:snapToGrid w:val="0"/>
                    <w:spacing w:line="240" w:lineRule="auto"/>
                    <w:rPr>
                      <w:rFonts w:hint="eastAsia"/>
                      <w:color w:val="auto"/>
                      <w:lang w:eastAsia="zh-CN"/>
                    </w:rPr>
                  </w:pPr>
                </w:p>
                <w:p w14:paraId="0E2E3F1B">
                  <w:pPr>
                    <w:pStyle w:val="2"/>
                    <w:rPr>
                      <w:rFonts w:hint="eastAsia"/>
                      <w:color w:val="auto"/>
                      <w:lang w:val="en-US" w:eastAsia="zh-CN"/>
                    </w:rPr>
                  </w:pPr>
                  <w:r>
                    <w:rPr>
                      <w:rFonts w:hint="eastAsia" w:ascii="宋体" w:hAnsi="宋体" w:cs="宋体"/>
                      <w:b w:val="0"/>
                      <w:bCs w:val="0"/>
                      <w:color w:val="auto"/>
                      <w:sz w:val="21"/>
                      <w:szCs w:val="21"/>
                      <w:vertAlign w:val="baseline"/>
                      <w:lang w:val="en-US" w:eastAsia="zh-CN"/>
                    </w:rPr>
                    <w:t>4-＜10（t/h）</w:t>
                  </w:r>
                </w:p>
              </w:tc>
              <w:tc>
                <w:tcPr>
                  <w:tcW w:w="1460" w:type="dxa"/>
                  <w:vMerge w:val="restart"/>
                  <w:vAlign w:val="top"/>
                </w:tcPr>
                <w:p w14:paraId="677712C7">
                  <w:pPr>
                    <w:snapToGrid w:val="0"/>
                    <w:spacing w:line="240" w:lineRule="auto"/>
                    <w:ind w:firstLine="420" w:firstLineChars="200"/>
                    <w:rPr>
                      <w:rFonts w:hint="eastAsia" w:ascii="宋体" w:hAnsi="宋体" w:eastAsia="宋体" w:cs="宋体"/>
                      <w:bCs/>
                      <w:color w:val="auto"/>
                      <w:sz w:val="21"/>
                      <w:szCs w:val="21"/>
                      <w:vertAlign w:val="baseline"/>
                      <w:lang w:val="en-US" w:eastAsia="zh-CN"/>
                    </w:rPr>
                  </w:pPr>
                </w:p>
                <w:p w14:paraId="039FA34F">
                  <w:pPr>
                    <w:snapToGrid w:val="0"/>
                    <w:spacing w:line="240" w:lineRule="auto"/>
                    <w:ind w:firstLine="420" w:firstLineChars="200"/>
                    <w:rPr>
                      <w:rFonts w:hint="eastAsia" w:ascii="宋体" w:hAnsi="宋体" w:eastAsia="宋体" w:cs="宋体"/>
                      <w:bCs/>
                      <w:color w:val="auto"/>
                      <w:sz w:val="21"/>
                      <w:szCs w:val="21"/>
                      <w:vertAlign w:val="baseline"/>
                      <w:lang w:val="en-US" w:eastAsia="zh-CN"/>
                    </w:rPr>
                  </w:pPr>
                </w:p>
                <w:p w14:paraId="0C8AD971">
                  <w:pPr>
                    <w:snapToGrid w:val="0"/>
                    <w:spacing w:line="240" w:lineRule="auto"/>
                    <w:ind w:firstLine="420" w:firstLineChars="200"/>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35m</w:t>
                  </w:r>
                </w:p>
              </w:tc>
            </w:tr>
            <w:tr w14:paraId="188F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vAlign w:val="top"/>
                </w:tcPr>
                <w:p w14:paraId="4521F08F">
                  <w:pPr>
                    <w:snapToGrid w:val="0"/>
                    <w:spacing w:line="240" w:lineRule="auto"/>
                    <w:rPr>
                      <w:rFonts w:hint="eastAsia" w:ascii="宋体" w:hAnsi="宋体" w:eastAsia="宋体" w:cs="宋体"/>
                      <w:bCs/>
                      <w:color w:val="auto"/>
                      <w:sz w:val="21"/>
                      <w:szCs w:val="21"/>
                      <w:vertAlign w:val="baseline"/>
                      <w:lang w:eastAsia="zh-CN"/>
                    </w:rPr>
                  </w:pPr>
                </w:p>
              </w:tc>
              <w:tc>
                <w:tcPr>
                  <w:tcW w:w="1493" w:type="dxa"/>
                  <w:vAlign w:val="top"/>
                </w:tcPr>
                <w:p w14:paraId="40FCA73A">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SO</w:t>
                  </w:r>
                  <w:r>
                    <w:rPr>
                      <w:rFonts w:hint="eastAsia" w:ascii="宋体" w:hAnsi="宋体" w:eastAsia="宋体" w:cs="宋体"/>
                      <w:bCs/>
                      <w:color w:val="auto"/>
                      <w:sz w:val="21"/>
                      <w:szCs w:val="21"/>
                      <w:vertAlign w:val="subscript"/>
                      <w:lang w:val="en-US" w:eastAsia="zh-CN"/>
                    </w:rPr>
                    <w:t>2</w:t>
                  </w:r>
                </w:p>
              </w:tc>
              <w:tc>
                <w:tcPr>
                  <w:tcW w:w="1232" w:type="dxa"/>
                  <w:vAlign w:val="top"/>
                </w:tcPr>
                <w:p w14:paraId="69CA3348">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300</w:t>
                  </w:r>
                </w:p>
              </w:tc>
              <w:tc>
                <w:tcPr>
                  <w:tcW w:w="1693" w:type="dxa"/>
                  <w:vMerge w:val="continue"/>
                  <w:vAlign w:val="top"/>
                </w:tcPr>
                <w:p w14:paraId="672AEF4A">
                  <w:pPr>
                    <w:snapToGrid w:val="0"/>
                    <w:spacing w:line="240" w:lineRule="auto"/>
                    <w:rPr>
                      <w:rFonts w:hint="eastAsia" w:ascii="宋体" w:hAnsi="宋体" w:eastAsia="宋体" w:cs="宋体"/>
                      <w:bCs/>
                      <w:color w:val="auto"/>
                      <w:sz w:val="21"/>
                      <w:szCs w:val="21"/>
                      <w:vertAlign w:val="baseline"/>
                      <w:lang w:eastAsia="zh-CN"/>
                    </w:rPr>
                  </w:pPr>
                </w:p>
              </w:tc>
              <w:tc>
                <w:tcPr>
                  <w:tcW w:w="1459" w:type="dxa"/>
                  <w:vMerge w:val="continue"/>
                  <w:vAlign w:val="top"/>
                </w:tcPr>
                <w:p w14:paraId="5256506B">
                  <w:pPr>
                    <w:snapToGrid w:val="0"/>
                    <w:spacing w:line="240" w:lineRule="auto"/>
                    <w:rPr>
                      <w:rFonts w:hint="eastAsia" w:ascii="宋体" w:hAnsi="宋体" w:eastAsia="宋体" w:cs="宋体"/>
                      <w:bCs/>
                      <w:color w:val="auto"/>
                      <w:sz w:val="21"/>
                      <w:szCs w:val="21"/>
                      <w:vertAlign w:val="baseline"/>
                      <w:lang w:eastAsia="zh-CN"/>
                    </w:rPr>
                  </w:pPr>
                </w:p>
              </w:tc>
              <w:tc>
                <w:tcPr>
                  <w:tcW w:w="1460" w:type="dxa"/>
                  <w:vMerge w:val="continue"/>
                  <w:vAlign w:val="top"/>
                </w:tcPr>
                <w:p w14:paraId="39FCA52E">
                  <w:pPr>
                    <w:snapToGrid w:val="0"/>
                    <w:spacing w:line="240" w:lineRule="auto"/>
                    <w:rPr>
                      <w:rFonts w:hint="eastAsia" w:ascii="宋体" w:hAnsi="宋体" w:eastAsia="宋体" w:cs="宋体"/>
                      <w:bCs/>
                      <w:color w:val="auto"/>
                      <w:sz w:val="21"/>
                      <w:szCs w:val="21"/>
                      <w:vertAlign w:val="baseline"/>
                      <w:lang w:eastAsia="zh-CN"/>
                    </w:rPr>
                  </w:pPr>
                </w:p>
              </w:tc>
            </w:tr>
            <w:tr w14:paraId="286D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vAlign w:val="top"/>
                </w:tcPr>
                <w:p w14:paraId="0FA707F1">
                  <w:pPr>
                    <w:snapToGrid w:val="0"/>
                    <w:spacing w:line="240" w:lineRule="auto"/>
                    <w:rPr>
                      <w:rFonts w:hint="eastAsia" w:ascii="宋体" w:hAnsi="宋体" w:eastAsia="宋体" w:cs="宋体"/>
                      <w:bCs/>
                      <w:color w:val="auto"/>
                      <w:sz w:val="21"/>
                      <w:szCs w:val="21"/>
                      <w:vertAlign w:val="baseline"/>
                      <w:lang w:eastAsia="zh-CN"/>
                    </w:rPr>
                  </w:pPr>
                </w:p>
              </w:tc>
              <w:tc>
                <w:tcPr>
                  <w:tcW w:w="1493" w:type="dxa"/>
                  <w:vAlign w:val="top"/>
                </w:tcPr>
                <w:p w14:paraId="0A5C4105">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NO</w:t>
                  </w:r>
                  <w:r>
                    <w:rPr>
                      <w:rFonts w:hint="eastAsia" w:ascii="宋体" w:hAnsi="宋体" w:eastAsia="宋体" w:cs="宋体"/>
                      <w:bCs/>
                      <w:color w:val="auto"/>
                      <w:sz w:val="21"/>
                      <w:szCs w:val="21"/>
                      <w:vertAlign w:val="subscript"/>
                      <w:lang w:val="en-US" w:eastAsia="zh-CN"/>
                    </w:rPr>
                    <w:t>X</w:t>
                  </w:r>
                </w:p>
              </w:tc>
              <w:tc>
                <w:tcPr>
                  <w:tcW w:w="1232" w:type="dxa"/>
                  <w:vAlign w:val="top"/>
                </w:tcPr>
                <w:p w14:paraId="7E705871">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300</w:t>
                  </w:r>
                </w:p>
              </w:tc>
              <w:tc>
                <w:tcPr>
                  <w:tcW w:w="1693" w:type="dxa"/>
                  <w:vMerge w:val="continue"/>
                  <w:vAlign w:val="top"/>
                </w:tcPr>
                <w:p w14:paraId="5796CEE4">
                  <w:pPr>
                    <w:snapToGrid w:val="0"/>
                    <w:spacing w:line="240" w:lineRule="auto"/>
                    <w:rPr>
                      <w:rFonts w:hint="eastAsia" w:ascii="宋体" w:hAnsi="宋体" w:eastAsia="宋体" w:cs="宋体"/>
                      <w:bCs/>
                      <w:color w:val="auto"/>
                      <w:sz w:val="21"/>
                      <w:szCs w:val="21"/>
                      <w:vertAlign w:val="baseline"/>
                      <w:lang w:eastAsia="zh-CN"/>
                    </w:rPr>
                  </w:pPr>
                </w:p>
              </w:tc>
              <w:tc>
                <w:tcPr>
                  <w:tcW w:w="1459" w:type="dxa"/>
                  <w:vMerge w:val="continue"/>
                  <w:vAlign w:val="top"/>
                </w:tcPr>
                <w:p w14:paraId="022EF123">
                  <w:pPr>
                    <w:snapToGrid w:val="0"/>
                    <w:spacing w:line="240" w:lineRule="auto"/>
                    <w:rPr>
                      <w:rFonts w:hint="eastAsia" w:ascii="宋体" w:hAnsi="宋体" w:eastAsia="宋体" w:cs="宋体"/>
                      <w:bCs/>
                      <w:color w:val="auto"/>
                      <w:sz w:val="21"/>
                      <w:szCs w:val="21"/>
                      <w:vertAlign w:val="baseline"/>
                      <w:lang w:eastAsia="zh-CN"/>
                    </w:rPr>
                  </w:pPr>
                </w:p>
              </w:tc>
              <w:tc>
                <w:tcPr>
                  <w:tcW w:w="1460" w:type="dxa"/>
                  <w:vMerge w:val="continue"/>
                  <w:vAlign w:val="top"/>
                </w:tcPr>
                <w:p w14:paraId="5350F8F4">
                  <w:pPr>
                    <w:snapToGrid w:val="0"/>
                    <w:spacing w:line="240" w:lineRule="auto"/>
                    <w:rPr>
                      <w:rFonts w:hint="eastAsia" w:ascii="宋体" w:hAnsi="宋体" w:eastAsia="宋体" w:cs="宋体"/>
                      <w:bCs/>
                      <w:color w:val="auto"/>
                      <w:sz w:val="21"/>
                      <w:szCs w:val="21"/>
                      <w:vertAlign w:val="baseline"/>
                      <w:lang w:eastAsia="zh-CN"/>
                    </w:rPr>
                  </w:pPr>
                </w:p>
              </w:tc>
            </w:tr>
            <w:tr w14:paraId="1748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vAlign w:val="top"/>
                </w:tcPr>
                <w:p w14:paraId="6E473B55">
                  <w:pPr>
                    <w:snapToGrid w:val="0"/>
                    <w:spacing w:line="240" w:lineRule="auto"/>
                    <w:rPr>
                      <w:rFonts w:hint="eastAsia" w:ascii="宋体" w:hAnsi="宋体" w:eastAsia="宋体" w:cs="宋体"/>
                      <w:bCs/>
                      <w:color w:val="auto"/>
                      <w:sz w:val="21"/>
                      <w:szCs w:val="21"/>
                      <w:vertAlign w:val="baseline"/>
                      <w:lang w:eastAsia="zh-CN"/>
                    </w:rPr>
                  </w:pPr>
                </w:p>
              </w:tc>
              <w:tc>
                <w:tcPr>
                  <w:tcW w:w="1493" w:type="dxa"/>
                  <w:vAlign w:val="top"/>
                </w:tcPr>
                <w:p w14:paraId="5E50AC20">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汞及其化合物</w:t>
                  </w:r>
                </w:p>
              </w:tc>
              <w:tc>
                <w:tcPr>
                  <w:tcW w:w="1232" w:type="dxa"/>
                  <w:vAlign w:val="top"/>
                </w:tcPr>
                <w:p w14:paraId="66A906D1">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0.05</w:t>
                  </w:r>
                </w:p>
              </w:tc>
              <w:tc>
                <w:tcPr>
                  <w:tcW w:w="1693" w:type="dxa"/>
                  <w:vMerge w:val="continue"/>
                  <w:vAlign w:val="top"/>
                </w:tcPr>
                <w:p w14:paraId="22441BCE">
                  <w:pPr>
                    <w:snapToGrid w:val="0"/>
                    <w:spacing w:line="240" w:lineRule="auto"/>
                    <w:rPr>
                      <w:rFonts w:hint="eastAsia" w:ascii="宋体" w:hAnsi="宋体" w:eastAsia="宋体" w:cs="宋体"/>
                      <w:bCs/>
                      <w:color w:val="auto"/>
                      <w:sz w:val="21"/>
                      <w:szCs w:val="21"/>
                      <w:vertAlign w:val="baseline"/>
                      <w:lang w:eastAsia="zh-CN"/>
                    </w:rPr>
                  </w:pPr>
                </w:p>
              </w:tc>
              <w:tc>
                <w:tcPr>
                  <w:tcW w:w="1459" w:type="dxa"/>
                  <w:vMerge w:val="continue"/>
                  <w:vAlign w:val="top"/>
                </w:tcPr>
                <w:p w14:paraId="377EC024">
                  <w:pPr>
                    <w:snapToGrid w:val="0"/>
                    <w:spacing w:line="240" w:lineRule="auto"/>
                    <w:rPr>
                      <w:rFonts w:hint="eastAsia" w:ascii="宋体" w:hAnsi="宋体" w:eastAsia="宋体" w:cs="宋体"/>
                      <w:bCs/>
                      <w:color w:val="auto"/>
                      <w:sz w:val="21"/>
                      <w:szCs w:val="21"/>
                      <w:vertAlign w:val="baseline"/>
                      <w:lang w:eastAsia="zh-CN"/>
                    </w:rPr>
                  </w:pPr>
                </w:p>
              </w:tc>
              <w:tc>
                <w:tcPr>
                  <w:tcW w:w="1460" w:type="dxa"/>
                  <w:vMerge w:val="continue"/>
                  <w:vAlign w:val="top"/>
                </w:tcPr>
                <w:p w14:paraId="48311575">
                  <w:pPr>
                    <w:snapToGrid w:val="0"/>
                    <w:spacing w:line="240" w:lineRule="auto"/>
                    <w:rPr>
                      <w:rFonts w:hint="eastAsia" w:ascii="宋体" w:hAnsi="宋体" w:eastAsia="宋体" w:cs="宋体"/>
                      <w:bCs/>
                      <w:color w:val="auto"/>
                      <w:sz w:val="21"/>
                      <w:szCs w:val="21"/>
                      <w:vertAlign w:val="baseline"/>
                      <w:lang w:eastAsia="zh-CN"/>
                    </w:rPr>
                  </w:pPr>
                </w:p>
              </w:tc>
            </w:tr>
            <w:tr w14:paraId="4091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vAlign w:val="top"/>
                </w:tcPr>
                <w:p w14:paraId="07EC03D9">
                  <w:pPr>
                    <w:snapToGrid w:val="0"/>
                    <w:spacing w:line="240" w:lineRule="auto"/>
                    <w:rPr>
                      <w:rFonts w:hint="eastAsia" w:ascii="宋体" w:hAnsi="宋体" w:eastAsia="宋体" w:cs="宋体"/>
                      <w:bCs/>
                      <w:color w:val="auto"/>
                      <w:sz w:val="21"/>
                      <w:szCs w:val="21"/>
                      <w:vertAlign w:val="baseline"/>
                      <w:lang w:eastAsia="zh-CN"/>
                    </w:rPr>
                  </w:pPr>
                </w:p>
              </w:tc>
              <w:tc>
                <w:tcPr>
                  <w:tcW w:w="1493" w:type="dxa"/>
                  <w:vAlign w:val="top"/>
                </w:tcPr>
                <w:p w14:paraId="5DE7429C">
                  <w:pPr>
                    <w:snapToGrid w:val="0"/>
                    <w:spacing w:line="240" w:lineRule="auto"/>
                    <w:rPr>
                      <w:rFonts w:hint="eastAsia" w:ascii="宋体" w:hAnsi="宋体" w:eastAsia="宋体" w:cs="宋体"/>
                      <w:bCs/>
                      <w:color w:val="auto"/>
                      <w:sz w:val="21"/>
                      <w:szCs w:val="21"/>
                      <w:vertAlign w:val="baseline"/>
                      <w:lang w:eastAsia="zh-CN"/>
                    </w:rPr>
                  </w:pPr>
                  <w:r>
                    <w:rPr>
                      <w:rFonts w:hint="eastAsia" w:ascii="宋体" w:hAnsi="宋体" w:eastAsia="宋体" w:cs="宋体"/>
                      <w:bCs/>
                      <w:color w:val="auto"/>
                      <w:sz w:val="21"/>
                      <w:szCs w:val="21"/>
                      <w:vertAlign w:val="baseline"/>
                      <w:lang w:eastAsia="zh-CN"/>
                    </w:rPr>
                    <w:t>烟气黑度（林格曼黑度，级）</w:t>
                  </w:r>
                </w:p>
              </w:tc>
              <w:tc>
                <w:tcPr>
                  <w:tcW w:w="1232" w:type="dxa"/>
                  <w:vAlign w:val="top"/>
                </w:tcPr>
                <w:p w14:paraId="0A8FB17D">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eastAsia="zh-CN"/>
                    </w:rPr>
                    <w:t>≦</w:t>
                  </w:r>
                  <w:r>
                    <w:rPr>
                      <w:rFonts w:hint="eastAsia" w:ascii="宋体" w:hAnsi="宋体" w:eastAsia="宋体" w:cs="宋体"/>
                      <w:bCs/>
                      <w:color w:val="auto"/>
                      <w:sz w:val="21"/>
                      <w:szCs w:val="21"/>
                      <w:vertAlign w:val="baseline"/>
                      <w:lang w:val="en-US" w:eastAsia="zh-CN"/>
                    </w:rPr>
                    <w:t>1</w:t>
                  </w:r>
                </w:p>
              </w:tc>
              <w:tc>
                <w:tcPr>
                  <w:tcW w:w="1693" w:type="dxa"/>
                  <w:vAlign w:val="top"/>
                </w:tcPr>
                <w:p w14:paraId="21D89CE0">
                  <w:pPr>
                    <w:snapToGrid w:val="0"/>
                    <w:spacing w:line="240" w:lineRule="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烟囱排放口</w:t>
                  </w:r>
                </w:p>
              </w:tc>
              <w:tc>
                <w:tcPr>
                  <w:tcW w:w="1459" w:type="dxa"/>
                  <w:vMerge w:val="continue"/>
                  <w:vAlign w:val="top"/>
                </w:tcPr>
                <w:p w14:paraId="20C73034">
                  <w:pPr>
                    <w:snapToGrid w:val="0"/>
                    <w:spacing w:line="240" w:lineRule="auto"/>
                    <w:rPr>
                      <w:rFonts w:hint="eastAsia" w:ascii="宋体" w:hAnsi="宋体" w:eastAsia="宋体" w:cs="宋体"/>
                      <w:bCs/>
                      <w:color w:val="auto"/>
                      <w:sz w:val="21"/>
                      <w:szCs w:val="21"/>
                      <w:vertAlign w:val="baseline"/>
                      <w:lang w:eastAsia="zh-CN"/>
                    </w:rPr>
                  </w:pPr>
                </w:p>
              </w:tc>
              <w:tc>
                <w:tcPr>
                  <w:tcW w:w="1460" w:type="dxa"/>
                  <w:vMerge w:val="continue"/>
                  <w:vAlign w:val="top"/>
                </w:tcPr>
                <w:p w14:paraId="508F1470">
                  <w:pPr>
                    <w:snapToGrid w:val="0"/>
                    <w:spacing w:line="240" w:lineRule="auto"/>
                    <w:rPr>
                      <w:rFonts w:hint="eastAsia" w:ascii="宋体" w:hAnsi="宋体" w:eastAsia="宋体" w:cs="宋体"/>
                      <w:bCs/>
                      <w:color w:val="auto"/>
                      <w:sz w:val="21"/>
                      <w:szCs w:val="21"/>
                      <w:vertAlign w:val="baseline"/>
                      <w:lang w:eastAsia="zh-CN"/>
                    </w:rPr>
                  </w:pPr>
                </w:p>
              </w:tc>
            </w:tr>
          </w:tbl>
          <w:p w14:paraId="0AF76704">
            <w:pPr>
              <w:spacing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lang w:val="en-US" w:eastAsia="zh-CN"/>
              </w:rPr>
              <w:t>（3</w:t>
            </w:r>
            <w:r>
              <w:rPr>
                <w:rFonts w:hint="eastAsia" w:ascii="宋体" w:hAnsi="宋体" w:eastAsia="宋体" w:cs="宋体"/>
                <w:bCs/>
                <w:color w:val="auto"/>
                <w:sz w:val="24"/>
                <w:lang w:eastAsia="zh-CN"/>
              </w:rPr>
              <w:t>）</w:t>
            </w:r>
            <w:r>
              <w:rPr>
                <w:rFonts w:hint="eastAsia" w:ascii="宋体" w:hAnsi="宋体" w:eastAsia="宋体" w:cs="宋体"/>
                <w:bCs/>
                <w:color w:val="auto"/>
                <w:sz w:val="24"/>
              </w:rPr>
              <w:t>项目区</w:t>
            </w:r>
            <w:r>
              <w:rPr>
                <w:rFonts w:hint="eastAsia" w:ascii="宋体" w:hAnsi="宋体" w:eastAsia="宋体" w:cs="宋体"/>
                <w:bCs/>
                <w:color w:val="auto"/>
                <w:sz w:val="24"/>
                <w:lang w:eastAsia="zh-CN"/>
              </w:rPr>
              <w:t>厨房</w:t>
            </w:r>
            <w:r>
              <w:rPr>
                <w:rFonts w:hint="eastAsia" w:ascii="宋体" w:hAnsi="宋体" w:eastAsia="宋体" w:cs="宋体"/>
                <w:bCs/>
                <w:color w:val="auto"/>
                <w:sz w:val="24"/>
              </w:rPr>
              <w:t>规模为小型，运营期</w:t>
            </w:r>
            <w:r>
              <w:rPr>
                <w:rFonts w:hint="eastAsia" w:ascii="宋体" w:hAnsi="宋体" w:eastAsia="宋体" w:cs="宋体"/>
                <w:bCs/>
                <w:color w:val="auto"/>
                <w:sz w:val="24"/>
                <w:lang w:eastAsia="zh-CN"/>
              </w:rPr>
              <w:t>厨房</w:t>
            </w:r>
            <w:r>
              <w:rPr>
                <w:rFonts w:hint="eastAsia" w:ascii="宋体" w:hAnsi="宋体" w:eastAsia="宋体" w:cs="宋体"/>
                <w:color w:val="auto"/>
                <w:sz w:val="24"/>
              </w:rPr>
              <w:t>油烟排放执行《饮食业油烟排放标准》(GB18483-2001)中小型标准，详见表4-</w:t>
            </w:r>
            <w:r>
              <w:rPr>
                <w:rFonts w:hint="eastAsia" w:ascii="宋体" w:hAnsi="宋体" w:cs="宋体"/>
                <w:color w:val="auto"/>
                <w:sz w:val="24"/>
                <w:lang w:val="en-US" w:eastAsia="zh-CN"/>
              </w:rPr>
              <w:t>7</w:t>
            </w:r>
            <w:r>
              <w:rPr>
                <w:rFonts w:hint="eastAsia" w:ascii="宋体" w:hAnsi="宋体" w:eastAsia="宋体" w:cs="宋体"/>
                <w:color w:val="auto"/>
                <w:sz w:val="24"/>
              </w:rPr>
              <w:t>。</w:t>
            </w:r>
          </w:p>
          <w:p w14:paraId="072C61F2">
            <w:pPr>
              <w:ind w:right="210"/>
              <w:jc w:val="both"/>
              <w:rPr>
                <w:rFonts w:hint="eastAsia" w:ascii="宋体" w:hAnsi="宋体" w:eastAsia="宋体" w:cs="宋体"/>
                <w:b/>
                <w:color w:val="auto"/>
                <w:sz w:val="24"/>
              </w:rPr>
            </w:pPr>
          </w:p>
          <w:p w14:paraId="011A82E4">
            <w:pPr>
              <w:ind w:right="210"/>
              <w:jc w:val="center"/>
              <w:rPr>
                <w:rFonts w:hint="eastAsia" w:ascii="宋体" w:hAnsi="宋体" w:eastAsia="宋体" w:cs="宋体"/>
                <w:b/>
                <w:bCs/>
                <w:color w:val="auto"/>
                <w:sz w:val="24"/>
              </w:rPr>
            </w:pPr>
            <w:r>
              <w:rPr>
                <w:rFonts w:hint="eastAsia" w:ascii="宋体" w:hAnsi="宋体" w:eastAsia="宋体" w:cs="宋体"/>
                <w:b/>
                <w:color w:val="auto"/>
                <w:sz w:val="24"/>
              </w:rPr>
              <w:t>表4-</w:t>
            </w:r>
            <w:r>
              <w:rPr>
                <w:rFonts w:hint="eastAsia" w:ascii="宋体" w:hAnsi="宋体" w:cs="宋体"/>
                <w:b/>
                <w:color w:val="auto"/>
                <w:sz w:val="24"/>
                <w:lang w:val="en-US" w:eastAsia="zh-CN"/>
              </w:rPr>
              <w:t>7</w:t>
            </w:r>
            <w:r>
              <w:rPr>
                <w:rFonts w:hint="eastAsia" w:ascii="宋体" w:hAnsi="宋体" w:eastAsia="宋体" w:cs="宋体"/>
                <w:b/>
                <w:color w:val="auto"/>
                <w:sz w:val="24"/>
              </w:rPr>
              <w:t xml:space="preserve"> </w:t>
            </w:r>
            <w:r>
              <w:rPr>
                <w:rFonts w:hint="eastAsia" w:ascii="宋体" w:hAnsi="宋体" w:eastAsia="宋体" w:cs="宋体"/>
                <w:b/>
                <w:bCs/>
                <w:color w:val="auto"/>
                <w:sz w:val="24"/>
              </w:rPr>
              <w:t>《饮食业油烟排放标准》限值  单位：mg/L</w:t>
            </w:r>
          </w:p>
          <w:tbl>
            <w:tblPr>
              <w:tblStyle w:val="24"/>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4"/>
              <w:gridCol w:w="4498"/>
            </w:tblGrid>
            <w:tr w14:paraId="4071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754" w:type="dxa"/>
                  <w:vAlign w:val="center"/>
                </w:tcPr>
                <w:p w14:paraId="404BB10B">
                  <w:pPr>
                    <w:adjustRightInd w:val="0"/>
                    <w:snapToGrid w:val="0"/>
                    <w:spacing w:line="24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规模</w:t>
                  </w:r>
                </w:p>
              </w:tc>
              <w:tc>
                <w:tcPr>
                  <w:tcW w:w="4498" w:type="dxa"/>
                  <w:vAlign w:val="center"/>
                </w:tcPr>
                <w:p w14:paraId="3CEDDB21">
                  <w:pPr>
                    <w:adjustRightInd w:val="0"/>
                    <w:snapToGrid w:val="0"/>
                    <w:spacing w:line="24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小型</w:t>
                  </w:r>
                </w:p>
              </w:tc>
            </w:tr>
            <w:tr w14:paraId="7F1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754" w:type="dxa"/>
                  <w:vAlign w:val="center"/>
                </w:tcPr>
                <w:p w14:paraId="256D0425">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基准灶头数</w:t>
                  </w:r>
                </w:p>
              </w:tc>
              <w:tc>
                <w:tcPr>
                  <w:tcW w:w="4498" w:type="dxa"/>
                  <w:vAlign w:val="center"/>
                </w:tcPr>
                <w:p w14:paraId="739183AB">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≥1，&lt;3</w:t>
                  </w:r>
                </w:p>
              </w:tc>
            </w:tr>
            <w:tr w14:paraId="49F3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754" w:type="dxa"/>
                  <w:vAlign w:val="center"/>
                </w:tcPr>
                <w:p w14:paraId="7DD2859C">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油烟最高允许排放浓度(mg/m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4498" w:type="dxa"/>
                  <w:vAlign w:val="center"/>
                </w:tcPr>
                <w:p w14:paraId="3C9062AA">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r>
            <w:tr w14:paraId="1ADE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54" w:type="dxa"/>
                  <w:vAlign w:val="center"/>
                </w:tcPr>
                <w:p w14:paraId="3E76B614">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净化设施最低去除效率(%)</w:t>
                  </w:r>
                </w:p>
              </w:tc>
              <w:tc>
                <w:tcPr>
                  <w:tcW w:w="4498" w:type="dxa"/>
                  <w:vAlign w:val="center"/>
                </w:tcPr>
                <w:p w14:paraId="3D2BF6F5">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r>
          </w:tbl>
          <w:p w14:paraId="154E2365">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）化粪池、发酵过程产生的</w:t>
            </w:r>
            <w:r>
              <w:rPr>
                <w:rFonts w:hint="eastAsia" w:ascii="宋体" w:hAnsi="宋体" w:eastAsia="宋体" w:cs="宋体"/>
                <w:b w:val="0"/>
                <w:bCs w:val="0"/>
                <w:color w:val="auto"/>
                <w:sz w:val="24"/>
                <w:szCs w:val="24"/>
              </w:rPr>
              <w:t>异味</w:t>
            </w:r>
            <w:r>
              <w:rPr>
                <w:rFonts w:hint="eastAsia" w:ascii="宋体" w:hAnsi="宋体" w:eastAsia="宋体" w:cs="宋体"/>
                <w:b w:val="0"/>
                <w:bCs w:val="0"/>
                <w:color w:val="auto"/>
                <w:sz w:val="24"/>
              </w:rPr>
              <w:t>执行《恶臭污染物排放标准》（GB14554-1993）表</w:t>
            </w:r>
            <w:r>
              <w:rPr>
                <w:rFonts w:hint="eastAsia" w:ascii="宋体" w:hAnsi="宋体" w:eastAsia="宋体" w:cs="宋体"/>
                <w:b w:val="0"/>
                <w:bCs w:val="0"/>
                <w:color w:val="auto"/>
                <w:sz w:val="24"/>
                <w:lang w:eastAsia="zh-CN"/>
              </w:rPr>
              <w:t>中的</w:t>
            </w:r>
            <w:r>
              <w:rPr>
                <w:rFonts w:hint="eastAsia" w:ascii="宋体" w:hAnsi="宋体" w:eastAsia="宋体" w:cs="宋体"/>
                <w:b w:val="0"/>
                <w:bCs w:val="0"/>
                <w:color w:val="auto"/>
                <w:sz w:val="24"/>
              </w:rPr>
              <w:t>二级</w:t>
            </w:r>
            <w:r>
              <w:rPr>
                <w:rFonts w:hint="eastAsia" w:ascii="宋体" w:hAnsi="宋体" w:eastAsia="宋体" w:cs="宋体"/>
                <w:b w:val="0"/>
                <w:bCs w:val="0"/>
                <w:color w:val="auto"/>
                <w:sz w:val="24"/>
                <w:lang w:eastAsia="zh-CN"/>
              </w:rPr>
              <w:t>标准，具体见表</w:t>
            </w:r>
            <w:r>
              <w:rPr>
                <w:rFonts w:hint="eastAsia" w:ascii="宋体" w:hAnsi="宋体" w:eastAsia="宋体" w:cs="宋体"/>
                <w:b w:val="0"/>
                <w:bCs w:val="0"/>
                <w:color w:val="auto"/>
                <w:sz w:val="24"/>
                <w:lang w:val="en-US" w:eastAsia="zh-CN"/>
              </w:rPr>
              <w:t>4-</w:t>
            </w:r>
            <w:r>
              <w:rPr>
                <w:rFonts w:hint="eastAsia" w:ascii="宋体" w:hAnsi="宋体" w:cs="宋体"/>
                <w:b w:val="0"/>
                <w:bCs w:val="0"/>
                <w:color w:val="auto"/>
                <w:sz w:val="24"/>
                <w:lang w:val="en-US" w:eastAsia="zh-CN"/>
              </w:rPr>
              <w:t>8</w:t>
            </w:r>
            <w:r>
              <w:rPr>
                <w:rFonts w:hint="eastAsia" w:ascii="宋体" w:hAnsi="宋体" w:eastAsia="宋体" w:cs="宋体"/>
                <w:b w:val="0"/>
                <w:bCs w:val="0"/>
                <w:color w:val="auto"/>
                <w:sz w:val="24"/>
                <w:lang w:val="en-US" w:eastAsia="zh-CN"/>
              </w:rPr>
              <w:t>。</w:t>
            </w:r>
          </w:p>
          <w:p w14:paraId="45D18754">
            <w:pPr>
              <w:spacing w:line="360" w:lineRule="auto"/>
              <w:ind w:firstLine="1928" w:firstLineChars="800"/>
              <w:rPr>
                <w:rFonts w:hint="eastAsia" w:ascii="Times New Roman" w:hAnsi="Times New Roman" w:eastAsia="宋体"/>
                <w:b/>
                <w:bCs/>
                <w:color w:val="auto"/>
                <w:sz w:val="24"/>
                <w:szCs w:val="24"/>
                <w:lang w:val="en-US" w:eastAsia="zh-CN"/>
              </w:rPr>
            </w:pPr>
            <w:r>
              <w:rPr>
                <w:rFonts w:hint="eastAsia" w:ascii="宋体" w:hAnsi="宋体" w:eastAsia="宋体" w:cs="宋体"/>
                <w:b/>
                <w:bCs/>
                <w:color w:val="auto"/>
                <w:sz w:val="24"/>
                <w:szCs w:val="24"/>
                <w:lang w:eastAsia="zh-CN"/>
              </w:rPr>
              <w:t>表</w:t>
            </w:r>
            <w:r>
              <w:rPr>
                <w:rFonts w:hint="eastAsia" w:ascii="宋体" w:hAnsi="宋体" w:eastAsia="宋体" w:cs="宋体"/>
                <w:b/>
                <w:bCs/>
                <w:color w:val="auto"/>
                <w:sz w:val="24"/>
                <w:szCs w:val="24"/>
                <w:lang w:val="en-US" w:eastAsia="zh-CN"/>
              </w:rPr>
              <w:t>4-</w:t>
            </w:r>
            <w:r>
              <w:rPr>
                <w:rFonts w:hint="eastAsia" w:ascii="宋体" w:hAnsi="宋体" w:cs="宋体"/>
                <w:b/>
                <w:bCs/>
                <w:color w:val="auto"/>
                <w:sz w:val="24"/>
                <w:szCs w:val="24"/>
                <w:lang w:val="en-US" w:eastAsia="zh-CN"/>
              </w:rPr>
              <w:t>8</w:t>
            </w:r>
            <w:r>
              <w:rPr>
                <w:rFonts w:hint="eastAsia" w:ascii="宋体" w:hAnsi="宋体" w:eastAsia="宋体" w:cs="宋体"/>
                <w:b/>
                <w:bCs/>
                <w:color w:val="auto"/>
                <w:sz w:val="24"/>
              </w:rPr>
              <w:t>《恶臭污染物排放标准》（GB14554-1993）</w:t>
            </w:r>
          </w:p>
          <w:tbl>
            <w:tblPr>
              <w:tblStyle w:val="25"/>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1547"/>
              <w:gridCol w:w="1224"/>
              <w:gridCol w:w="1180"/>
              <w:gridCol w:w="1377"/>
              <w:gridCol w:w="1375"/>
            </w:tblGrid>
            <w:tr w14:paraId="2AB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Merge w:val="restart"/>
                  <w:vAlign w:val="top"/>
                </w:tcPr>
                <w:p w14:paraId="48B06B24">
                  <w:pPr>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eastAsia="zh-CN"/>
                    </w:rPr>
                    <w:t>恶臭污染物排放标准</w:t>
                  </w:r>
                </w:p>
              </w:tc>
              <w:tc>
                <w:tcPr>
                  <w:tcW w:w="1547" w:type="dxa"/>
                  <w:vMerge w:val="restart"/>
                  <w:vAlign w:val="top"/>
                </w:tcPr>
                <w:p w14:paraId="1F2E6580">
                  <w:pPr>
                    <w:spacing w:line="240" w:lineRule="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GB14554-1993</w:t>
                  </w:r>
                </w:p>
              </w:tc>
              <w:tc>
                <w:tcPr>
                  <w:tcW w:w="1224" w:type="dxa"/>
                  <w:vMerge w:val="restart"/>
                  <w:vAlign w:val="top"/>
                </w:tcPr>
                <w:p w14:paraId="7D4068B4">
                  <w:pPr>
                    <w:spacing w:line="240" w:lineRule="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二级标准</w:t>
                  </w:r>
                </w:p>
              </w:tc>
              <w:tc>
                <w:tcPr>
                  <w:tcW w:w="3932" w:type="dxa"/>
                  <w:gridSpan w:val="3"/>
                  <w:vAlign w:val="top"/>
                </w:tcPr>
                <w:p w14:paraId="2FC55B05">
                  <w:pPr>
                    <w:spacing w:line="240" w:lineRule="auto"/>
                    <w:ind w:firstLine="630" w:firstLineChars="300"/>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eastAsia="zh-CN"/>
                    </w:rPr>
                    <w:t>臭气浓度</w:t>
                  </w:r>
                  <w:r>
                    <w:rPr>
                      <w:rFonts w:hint="eastAsia" w:ascii="宋体" w:hAnsi="宋体" w:eastAsia="宋体" w:cs="宋体"/>
                      <w:b w:val="0"/>
                      <w:bCs w:val="0"/>
                      <w:color w:val="auto"/>
                      <w:sz w:val="21"/>
                      <w:szCs w:val="21"/>
                      <w:vertAlign w:val="baseline"/>
                      <w:lang w:val="en-US" w:eastAsia="zh-CN"/>
                    </w:rPr>
                    <w:t xml:space="preserve"> </w:t>
                  </w:r>
                </w:p>
              </w:tc>
            </w:tr>
            <w:tr w14:paraId="4513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vMerge w:val="continue"/>
                  <w:vAlign w:val="top"/>
                </w:tcPr>
                <w:p w14:paraId="6B324CF2">
                  <w:pPr>
                    <w:spacing w:line="240" w:lineRule="auto"/>
                    <w:rPr>
                      <w:rFonts w:hint="eastAsia" w:ascii="宋体" w:hAnsi="宋体" w:eastAsia="宋体" w:cs="宋体"/>
                      <w:b w:val="0"/>
                      <w:bCs w:val="0"/>
                      <w:color w:val="auto"/>
                      <w:sz w:val="21"/>
                      <w:szCs w:val="21"/>
                      <w:vertAlign w:val="baseline"/>
                    </w:rPr>
                  </w:pPr>
                </w:p>
              </w:tc>
              <w:tc>
                <w:tcPr>
                  <w:tcW w:w="1547" w:type="dxa"/>
                  <w:vMerge w:val="continue"/>
                  <w:vAlign w:val="top"/>
                </w:tcPr>
                <w:p w14:paraId="2D48D8D2">
                  <w:pPr>
                    <w:spacing w:line="240" w:lineRule="auto"/>
                    <w:rPr>
                      <w:rFonts w:hint="eastAsia" w:ascii="宋体" w:hAnsi="宋体" w:eastAsia="宋体" w:cs="宋体"/>
                      <w:b w:val="0"/>
                      <w:bCs w:val="0"/>
                      <w:color w:val="auto"/>
                      <w:sz w:val="21"/>
                      <w:szCs w:val="21"/>
                      <w:vertAlign w:val="baseline"/>
                    </w:rPr>
                  </w:pPr>
                </w:p>
              </w:tc>
              <w:tc>
                <w:tcPr>
                  <w:tcW w:w="1224" w:type="dxa"/>
                  <w:vMerge w:val="continue"/>
                  <w:vAlign w:val="top"/>
                </w:tcPr>
                <w:p w14:paraId="4A5E5D8B">
                  <w:pPr>
                    <w:spacing w:line="240" w:lineRule="auto"/>
                    <w:rPr>
                      <w:rFonts w:hint="eastAsia" w:ascii="宋体" w:hAnsi="宋体" w:eastAsia="宋体" w:cs="宋体"/>
                      <w:b w:val="0"/>
                      <w:bCs w:val="0"/>
                      <w:color w:val="auto"/>
                      <w:sz w:val="21"/>
                      <w:szCs w:val="21"/>
                      <w:vertAlign w:val="baseline"/>
                    </w:rPr>
                  </w:pPr>
                </w:p>
              </w:tc>
              <w:tc>
                <w:tcPr>
                  <w:tcW w:w="1180" w:type="dxa"/>
                  <w:vAlign w:val="top"/>
                </w:tcPr>
                <w:p w14:paraId="0C4B5161">
                  <w:pPr>
                    <w:spacing w:line="240" w:lineRule="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新建</w:t>
                  </w:r>
                </w:p>
              </w:tc>
              <w:tc>
                <w:tcPr>
                  <w:tcW w:w="1377" w:type="dxa"/>
                  <w:vAlign w:val="top"/>
                </w:tcPr>
                <w:p w14:paraId="4083123B">
                  <w:pPr>
                    <w:spacing w:line="240" w:lineRule="auto"/>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无量纲</w:t>
                  </w:r>
                </w:p>
              </w:tc>
              <w:tc>
                <w:tcPr>
                  <w:tcW w:w="1375" w:type="dxa"/>
                  <w:vAlign w:val="top"/>
                </w:tcPr>
                <w:p w14:paraId="3E67D160">
                  <w:pPr>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w:t>
                  </w:r>
                </w:p>
              </w:tc>
            </w:tr>
          </w:tbl>
          <w:p w14:paraId="6C1ADC40">
            <w:pPr>
              <w:spacing w:line="360" w:lineRule="auto"/>
              <w:rPr>
                <w:rFonts w:ascii="Times New Roman" w:hAnsi="Times New Roman"/>
                <w:b/>
                <w:bCs/>
                <w:color w:val="auto"/>
                <w:sz w:val="24"/>
                <w:szCs w:val="24"/>
              </w:rPr>
            </w:pPr>
            <w:r>
              <w:rPr>
                <w:rFonts w:ascii="Times New Roman" w:hAnsi="Times New Roman"/>
                <w:b/>
                <w:bCs/>
                <w:color w:val="auto"/>
                <w:sz w:val="24"/>
                <w:szCs w:val="24"/>
              </w:rPr>
              <w:t>2、污水排放标准</w:t>
            </w:r>
          </w:p>
          <w:p w14:paraId="677D522E">
            <w:pPr>
              <w:spacing w:before="48" w:after="48"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施工期：</w:t>
            </w:r>
            <w:r>
              <w:rPr>
                <w:rFonts w:hint="eastAsia" w:ascii="宋体" w:hAnsi="宋体" w:eastAsia="宋体" w:cs="宋体"/>
                <w:color w:val="auto"/>
                <w:sz w:val="24"/>
              </w:rPr>
              <w:t>本项目施工废水、施工生活污水通过施工沉淀池处理后用于洒水抑尘和混凝土养护，不外排，不涉及废水排放标准</w:t>
            </w:r>
            <w:r>
              <w:rPr>
                <w:rFonts w:hint="eastAsia" w:ascii="宋体" w:hAnsi="宋体" w:eastAsia="宋体" w:cs="宋体"/>
                <w:color w:val="auto"/>
                <w:sz w:val="24"/>
                <w:lang w:eastAsia="zh-CN"/>
              </w:rPr>
              <w:t>。</w:t>
            </w:r>
          </w:p>
          <w:p w14:paraId="1A7649E6">
            <w:pPr>
              <w:kinsoku/>
              <w:autoSpaceDE/>
              <w:autoSpaceDN w:val="0"/>
              <w:spacing w:line="360" w:lineRule="auto"/>
              <w:ind w:firstLine="420" w:firstLineChars="0"/>
              <w:jc w:val="left"/>
              <w:outlineLvl w:val="9"/>
              <w:rPr>
                <w:rFonts w:hint="eastAsia" w:ascii="Times New Roman" w:hAnsi="Times New Roman"/>
                <w:color w:val="auto"/>
                <w:spacing w:val="-6"/>
                <w:sz w:val="24"/>
                <w:szCs w:val="24"/>
              </w:rPr>
            </w:pPr>
            <w:r>
              <w:rPr>
                <w:rFonts w:hint="eastAsia" w:ascii="宋体" w:hAnsi="宋体" w:eastAsia="宋体" w:cs="宋体"/>
                <w:color w:val="auto"/>
                <w:sz w:val="24"/>
                <w:lang w:eastAsia="zh-CN"/>
              </w:rPr>
              <w:t>运营期：</w:t>
            </w:r>
            <w:r>
              <w:rPr>
                <w:rFonts w:hint="eastAsia" w:ascii="Times New Roman" w:hAnsi="Times New Roman" w:cs="宋体"/>
                <w:bCs/>
                <w:color w:val="auto"/>
                <w:sz w:val="24"/>
                <w:szCs w:val="24"/>
              </w:rPr>
              <w:t>项目运营期无生产废水产生，</w:t>
            </w:r>
            <w:r>
              <w:rPr>
                <w:rFonts w:hint="default" w:ascii="Times New Roman" w:hAnsi="Times New Roman" w:eastAsia="宋体" w:cs="Times New Roman"/>
                <w:snapToGrid/>
                <w:color w:val="auto"/>
                <w:sz w:val="24"/>
                <w:highlight w:val="none"/>
                <w:u w:val="none" w:color="auto"/>
                <w:lang w:eastAsia="zh-CN"/>
              </w:rPr>
              <w:t>生活污水</w:t>
            </w:r>
            <w:r>
              <w:rPr>
                <w:rFonts w:hint="default" w:ascii="Times New Roman" w:hAnsi="Times New Roman" w:eastAsia="宋体" w:cs="Times New Roman"/>
                <w:snapToGrid/>
                <w:color w:val="auto"/>
                <w:sz w:val="24"/>
                <w:highlight w:val="none"/>
                <w:u w:val="none" w:color="auto"/>
                <w:lang w:val="en-US" w:eastAsia="zh-CN"/>
              </w:rPr>
              <w:t>中</w:t>
            </w:r>
            <w:r>
              <w:rPr>
                <w:rFonts w:hint="default" w:ascii="Times New Roman" w:hAnsi="Times New Roman" w:eastAsia="宋体" w:cs="Times New Roman"/>
                <w:color w:val="auto"/>
                <w:sz w:val="24"/>
                <w:highlight w:val="none"/>
                <w:u w:val="none" w:color="auto"/>
                <w:lang w:val="en-US" w:eastAsia="zh-CN"/>
              </w:rPr>
              <w:t>食堂废水经隔油池处理后</w:t>
            </w:r>
            <w:r>
              <w:rPr>
                <w:rFonts w:hint="eastAsia" w:ascii="Times New Roman" w:hAnsi="Times New Roman" w:cs="Times New Roman"/>
                <w:color w:val="auto"/>
                <w:sz w:val="24"/>
                <w:highlight w:val="none"/>
                <w:u w:val="none" w:color="auto"/>
                <w:lang w:val="en-US" w:eastAsia="zh-CN"/>
              </w:rPr>
              <w:t>与其他生活污水排入化粪池后，定期委托周</w:t>
            </w:r>
            <w:r>
              <w:rPr>
                <w:rFonts w:hint="eastAsia" w:cs="Times New Roman"/>
                <w:color w:val="auto"/>
                <w:sz w:val="24"/>
                <w:highlight w:val="none"/>
                <w:u w:val="none" w:color="auto"/>
                <w:lang w:val="en-US" w:eastAsia="zh-CN"/>
              </w:rPr>
              <w:t>边</w:t>
            </w:r>
            <w:r>
              <w:rPr>
                <w:rFonts w:hint="eastAsia" w:ascii="Times New Roman" w:hAnsi="Times New Roman" w:cs="Times New Roman"/>
                <w:color w:val="auto"/>
                <w:sz w:val="24"/>
                <w:highlight w:val="none"/>
                <w:u w:val="none" w:color="auto"/>
                <w:lang w:val="en-US" w:eastAsia="zh-CN"/>
              </w:rPr>
              <w:t>农民清掏作为农肥</w:t>
            </w:r>
            <w:r>
              <w:rPr>
                <w:rFonts w:hint="default" w:ascii="Times New Roman"/>
                <w:snapToGrid/>
                <w:color w:val="auto"/>
                <w:sz w:val="24"/>
                <w:u w:val="none" w:color="auto"/>
              </w:rPr>
              <w:t>。故本项目废水不</w:t>
            </w:r>
            <w:r>
              <w:rPr>
                <w:rFonts w:hint="eastAsia" w:ascii="Times New Roman"/>
                <w:snapToGrid/>
                <w:color w:val="auto"/>
                <w:sz w:val="24"/>
                <w:u w:val="none" w:color="auto"/>
                <w:lang w:eastAsia="zh-CN"/>
              </w:rPr>
              <w:t>设排放</w:t>
            </w:r>
            <w:r>
              <w:rPr>
                <w:rFonts w:hint="default" w:ascii="Times New Roman"/>
                <w:snapToGrid/>
                <w:color w:val="auto"/>
                <w:sz w:val="24"/>
                <w:u w:val="none" w:color="auto"/>
              </w:rPr>
              <w:t>标准。</w:t>
            </w:r>
          </w:p>
          <w:p w14:paraId="60758A3C">
            <w:pPr>
              <w:numPr>
                <w:ilvl w:val="0"/>
                <w:numId w:val="7"/>
              </w:numPr>
              <w:spacing w:line="360" w:lineRule="auto"/>
              <w:rPr>
                <w:rFonts w:ascii="Times New Roman" w:hAnsi="Times New Roman"/>
                <w:b/>
                <w:bCs/>
                <w:color w:val="auto"/>
                <w:sz w:val="24"/>
                <w:szCs w:val="24"/>
              </w:rPr>
            </w:pPr>
            <w:r>
              <w:rPr>
                <w:rFonts w:ascii="Times New Roman" w:hAnsi="Times New Roman"/>
                <w:b/>
                <w:bCs/>
                <w:color w:val="auto"/>
                <w:sz w:val="24"/>
                <w:szCs w:val="24"/>
              </w:rPr>
              <w:t>噪声限值标准</w:t>
            </w:r>
          </w:p>
          <w:p w14:paraId="5144D0FD">
            <w:pPr>
              <w:snapToGrid w:val="0"/>
              <w:spacing w:line="360" w:lineRule="auto"/>
              <w:ind w:firstLine="480" w:firstLineChars="200"/>
              <w:rPr>
                <w:rFonts w:hint="eastAsia" w:ascii="宋体" w:hAnsi="宋体" w:eastAsia="宋体" w:cs="宋体"/>
                <w:color w:val="auto"/>
                <w:sz w:val="24"/>
                <w:lang w:eastAsia="zh-CN"/>
              </w:rPr>
            </w:pPr>
            <w:bookmarkStart w:id="9" w:name="_Toc77126798"/>
            <w:bookmarkStart w:id="10" w:name="_Toc77126849"/>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项目施工期噪声排放执行《建筑施工场界环境噪声排放标准》（GB12523-2011）,标准限值见</w:t>
            </w:r>
            <w:r>
              <w:rPr>
                <w:rFonts w:hint="eastAsia" w:ascii="宋体" w:hAnsi="宋体" w:eastAsia="宋体" w:cs="宋体"/>
                <w:color w:val="auto"/>
                <w:sz w:val="24"/>
                <w:lang w:eastAsia="zh-CN"/>
              </w:rPr>
              <w:t>下表：</w:t>
            </w:r>
          </w:p>
          <w:tbl>
            <w:tblPr>
              <w:tblStyle w:val="24"/>
              <w:tblpPr w:leftFromText="180" w:rightFromText="180" w:vertAnchor="text" w:horzAnchor="page" w:tblpX="76" w:tblpY="640"/>
              <w:tblOverlap w:val="never"/>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3"/>
              <w:gridCol w:w="4259"/>
            </w:tblGrid>
            <w:tr w14:paraId="6BE5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3993" w:type="dxa"/>
                  <w:tcBorders>
                    <w:top w:val="single" w:color="auto" w:sz="4" w:space="0"/>
                    <w:left w:val="single" w:color="auto" w:sz="4" w:space="0"/>
                    <w:bottom w:val="single" w:color="auto" w:sz="4" w:space="0"/>
                    <w:right w:val="single" w:color="auto" w:sz="4" w:space="0"/>
                  </w:tcBorders>
                  <w:vAlign w:val="center"/>
                </w:tcPr>
                <w:p w14:paraId="33E65D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昼间[dB(A)]</w:t>
                  </w:r>
                </w:p>
              </w:tc>
              <w:tc>
                <w:tcPr>
                  <w:tcW w:w="4259" w:type="dxa"/>
                  <w:tcBorders>
                    <w:top w:val="single" w:color="auto" w:sz="4" w:space="0"/>
                    <w:left w:val="single" w:color="auto" w:sz="4" w:space="0"/>
                    <w:bottom w:val="single" w:color="auto" w:sz="4" w:space="0"/>
                    <w:right w:val="single" w:color="auto" w:sz="4" w:space="0"/>
                  </w:tcBorders>
                  <w:vAlign w:val="center"/>
                </w:tcPr>
                <w:p w14:paraId="47B8C0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夜间[dB(A)]</w:t>
                  </w:r>
                </w:p>
              </w:tc>
            </w:tr>
            <w:tr w14:paraId="733A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3993" w:type="dxa"/>
                  <w:tcBorders>
                    <w:top w:val="single" w:color="auto" w:sz="4" w:space="0"/>
                    <w:left w:val="single" w:color="auto" w:sz="4" w:space="0"/>
                    <w:bottom w:val="single" w:color="auto" w:sz="4" w:space="0"/>
                    <w:right w:val="single" w:color="auto" w:sz="4" w:space="0"/>
                  </w:tcBorders>
                  <w:vAlign w:val="center"/>
                </w:tcPr>
                <w:p w14:paraId="55717A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w:t>
                  </w:r>
                </w:p>
              </w:tc>
              <w:tc>
                <w:tcPr>
                  <w:tcW w:w="4259" w:type="dxa"/>
                  <w:tcBorders>
                    <w:top w:val="single" w:color="auto" w:sz="4" w:space="0"/>
                    <w:left w:val="single" w:color="auto" w:sz="4" w:space="0"/>
                    <w:bottom w:val="single" w:color="auto" w:sz="4" w:space="0"/>
                    <w:right w:val="single" w:color="auto" w:sz="4" w:space="0"/>
                  </w:tcBorders>
                  <w:vAlign w:val="center"/>
                </w:tcPr>
                <w:p w14:paraId="603E3BA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55</w:t>
                  </w:r>
                </w:p>
              </w:tc>
            </w:tr>
          </w:tbl>
          <w:p w14:paraId="3BF68484">
            <w:pPr>
              <w:jc w:val="center"/>
              <w:rPr>
                <w:rFonts w:ascii="Times New Roman" w:hAnsi="Times New Roman"/>
                <w:color w:val="auto"/>
                <w:szCs w:val="24"/>
              </w:rPr>
            </w:pPr>
            <w:r>
              <w:rPr>
                <w:rFonts w:hint="eastAsia"/>
                <w:b/>
                <w:color w:val="auto"/>
                <w:sz w:val="24"/>
                <w:szCs w:val="24"/>
              </w:rPr>
              <w:t>表</w:t>
            </w:r>
            <w:r>
              <w:rPr>
                <w:b/>
                <w:color w:val="auto"/>
                <w:sz w:val="24"/>
                <w:szCs w:val="24"/>
              </w:rPr>
              <w:t>4-</w:t>
            </w:r>
            <w:r>
              <w:rPr>
                <w:rFonts w:hint="eastAsia"/>
                <w:b/>
                <w:color w:val="auto"/>
                <w:sz w:val="24"/>
                <w:szCs w:val="24"/>
                <w:lang w:val="en-US" w:eastAsia="zh-CN"/>
              </w:rPr>
              <w:t>9</w:t>
            </w:r>
            <w:r>
              <w:rPr>
                <w:rFonts w:hint="eastAsia"/>
                <w:b/>
                <w:color w:val="auto"/>
                <w:sz w:val="24"/>
                <w:szCs w:val="24"/>
              </w:rPr>
              <w:t>《建筑施工场界环境噪声排放标准》</w:t>
            </w:r>
          </w:p>
          <w:p w14:paraId="16E640B0">
            <w:pPr>
              <w:pStyle w:val="13"/>
              <w:adjustRightInd w:val="0"/>
              <w:snapToGrid w:val="0"/>
              <w:spacing w:line="360" w:lineRule="auto"/>
              <w:ind w:firstLine="480" w:firstLineChars="200"/>
              <w:jc w:val="both"/>
              <w:rPr>
                <w:rFonts w:hint="eastAsia" w:ascii="宋体" w:hAnsi="宋体" w:eastAsia="宋体" w:cs="宋体"/>
                <w:bCs/>
                <w:color w:val="auto"/>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2</w:t>
            </w:r>
            <w:r>
              <w:rPr>
                <w:rFonts w:hint="eastAsia" w:ascii="宋体" w:hAnsi="宋体" w:eastAsia="宋体" w:cs="宋体"/>
                <w:color w:val="auto"/>
                <w:szCs w:val="24"/>
                <w:lang w:eastAsia="zh-CN"/>
              </w:rPr>
              <w:t>）</w:t>
            </w:r>
            <w:r>
              <w:rPr>
                <w:rFonts w:hint="eastAsia" w:ascii="宋体" w:hAnsi="宋体" w:eastAsia="宋体" w:cs="宋体"/>
                <w:color w:val="auto"/>
                <w:szCs w:val="24"/>
              </w:rPr>
              <w:t>项目运营期噪声执行《工业企业厂界环境噪声排放标准》(GB12348-2008)中的2类区标准，</w:t>
            </w:r>
            <w:r>
              <w:rPr>
                <w:rFonts w:hint="eastAsia" w:ascii="宋体" w:hAnsi="宋体" w:eastAsia="宋体" w:cs="宋体"/>
                <w:bCs/>
                <w:color w:val="auto"/>
              </w:rPr>
              <w:t>具体标准值见表4-</w:t>
            </w:r>
            <w:r>
              <w:rPr>
                <w:rFonts w:hint="eastAsia" w:ascii="宋体" w:hAnsi="宋体" w:cs="宋体"/>
                <w:bCs/>
                <w:color w:val="auto"/>
                <w:lang w:val="en-US" w:eastAsia="zh-CN"/>
              </w:rPr>
              <w:t>10</w:t>
            </w:r>
            <w:r>
              <w:rPr>
                <w:rFonts w:hint="eastAsia" w:ascii="宋体" w:hAnsi="宋体" w:eastAsia="宋体" w:cs="宋体"/>
                <w:bCs/>
                <w:color w:val="auto"/>
              </w:rPr>
              <w:t>。</w:t>
            </w:r>
          </w:p>
          <w:p w14:paraId="617EB6FA">
            <w:pPr>
              <w:pStyle w:val="13"/>
              <w:adjustRightInd w:val="0"/>
              <w:snapToGrid w:val="0"/>
              <w:ind w:firstLine="560"/>
              <w:rPr>
                <w:rFonts w:hint="eastAsia" w:ascii="Times New Roman" w:hAnsi="Times New Roman" w:cs="宋体"/>
                <w:b/>
                <w:color w:val="auto"/>
              </w:rPr>
            </w:pPr>
            <w:r>
              <w:rPr>
                <w:rFonts w:hint="eastAsia" w:ascii="Times New Roman" w:hAnsi="Times New Roman" w:cs="宋体"/>
                <w:b/>
                <w:color w:val="auto"/>
              </w:rPr>
              <w:t>表4-</w:t>
            </w:r>
            <w:r>
              <w:rPr>
                <w:rFonts w:hint="eastAsia" w:cs="宋体"/>
                <w:b/>
                <w:color w:val="auto"/>
                <w:lang w:val="en-US" w:eastAsia="zh-CN"/>
              </w:rPr>
              <w:t>10</w:t>
            </w:r>
            <w:r>
              <w:rPr>
                <w:rFonts w:hint="eastAsia" w:ascii="Times New Roman" w:hAnsi="Times New Roman" w:cs="宋体"/>
                <w:b/>
                <w:color w:val="auto"/>
              </w:rPr>
              <w:t xml:space="preserve"> 工业企业厂界环境噪声排放限值  </w:t>
            </w:r>
            <w:r>
              <w:rPr>
                <w:rFonts w:ascii="Times New Roman" w:hAnsi="Times New Roman" w:eastAsia="黑体"/>
                <w:b/>
                <w:color w:val="auto"/>
                <w:szCs w:val="24"/>
              </w:rPr>
              <w:t>单位: dB（A）</w:t>
            </w:r>
          </w:p>
          <w:tbl>
            <w:tblPr>
              <w:tblStyle w:val="24"/>
              <w:tblW w:w="82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57"/>
              <w:gridCol w:w="3192"/>
              <w:gridCol w:w="3193"/>
            </w:tblGrid>
            <w:tr w14:paraId="20B41D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857" w:type="dxa"/>
                  <w:vAlign w:val="center"/>
                </w:tcPr>
                <w:p w14:paraId="08745FF0">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类别</w:t>
                  </w:r>
                </w:p>
              </w:tc>
              <w:tc>
                <w:tcPr>
                  <w:tcW w:w="3192" w:type="dxa"/>
                  <w:vAlign w:val="center"/>
                </w:tcPr>
                <w:p w14:paraId="1E569A65">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昼间</w:t>
                  </w:r>
                </w:p>
              </w:tc>
              <w:tc>
                <w:tcPr>
                  <w:tcW w:w="3193" w:type="dxa"/>
                  <w:vAlign w:val="center"/>
                </w:tcPr>
                <w:p w14:paraId="79E9F272">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夜间</w:t>
                  </w:r>
                </w:p>
              </w:tc>
            </w:tr>
            <w:tr w14:paraId="757912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857" w:type="dxa"/>
                  <w:vAlign w:val="center"/>
                </w:tcPr>
                <w:p w14:paraId="6FA182DD">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2类</w:t>
                  </w:r>
                </w:p>
              </w:tc>
              <w:tc>
                <w:tcPr>
                  <w:tcW w:w="3192" w:type="dxa"/>
                  <w:vAlign w:val="center"/>
                </w:tcPr>
                <w:p w14:paraId="3A9E1164">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60</w:t>
                  </w:r>
                </w:p>
              </w:tc>
              <w:tc>
                <w:tcPr>
                  <w:tcW w:w="3193" w:type="dxa"/>
                  <w:vAlign w:val="center"/>
                </w:tcPr>
                <w:p w14:paraId="4FBA563D">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50</w:t>
                  </w:r>
                </w:p>
              </w:tc>
            </w:tr>
            <w:bookmarkEnd w:id="9"/>
            <w:bookmarkEnd w:id="10"/>
          </w:tbl>
          <w:p w14:paraId="687623E4">
            <w:pPr>
              <w:spacing w:line="360" w:lineRule="auto"/>
              <w:rPr>
                <w:rFonts w:hint="eastAsia" w:ascii="Times New Roman" w:hAnsi="Times New Roman"/>
                <w:b/>
                <w:color w:val="auto"/>
                <w:sz w:val="24"/>
                <w:szCs w:val="24"/>
              </w:rPr>
            </w:pPr>
            <w:r>
              <w:rPr>
                <w:rFonts w:hint="eastAsia" w:ascii="Times New Roman" w:hAnsi="Times New Roman"/>
                <w:b/>
                <w:color w:val="auto"/>
                <w:sz w:val="24"/>
                <w:lang w:val="en-US" w:eastAsia="zh-CN"/>
              </w:rPr>
              <w:t>4</w:t>
            </w:r>
            <w:r>
              <w:rPr>
                <w:rFonts w:hint="eastAsia" w:ascii="Times New Roman" w:hAnsi="Times New Roman"/>
                <w:b/>
                <w:color w:val="auto"/>
                <w:sz w:val="24"/>
                <w:szCs w:val="24"/>
              </w:rPr>
              <w:t>、</w:t>
            </w:r>
            <w:r>
              <w:rPr>
                <w:rFonts w:ascii="Times New Roman" w:hAnsi="Times New Roman"/>
                <w:b/>
                <w:color w:val="auto"/>
                <w:sz w:val="24"/>
                <w:szCs w:val="24"/>
              </w:rPr>
              <w:t>固体废物控制标准</w:t>
            </w:r>
          </w:p>
          <w:p w14:paraId="3ED99E1A">
            <w:pPr>
              <w:pStyle w:val="9"/>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运营</w:t>
            </w:r>
            <w:r>
              <w:rPr>
                <w:rFonts w:hint="eastAsia" w:ascii="宋体" w:hAnsi="宋体" w:eastAsia="宋体" w:cs="宋体"/>
                <w:color w:val="auto"/>
                <w:sz w:val="24"/>
                <w:szCs w:val="24"/>
              </w:rPr>
              <w:t>过程中产生的一般固体废物，执行《一般工业固体废物贮存、处置场污染控制标准》（GB18599－2001）及2013年修改单。</w:t>
            </w:r>
          </w:p>
          <w:p w14:paraId="6E6C3432">
            <w:pPr>
              <w:pStyle w:val="9"/>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危险废物执行GB18597-2001《危险废物贮存污染控制标准》及其2013年修改单；</w:t>
            </w:r>
          </w:p>
          <w:p w14:paraId="1DB2610D">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建议总量控制指标：</w:t>
            </w:r>
          </w:p>
          <w:p w14:paraId="1A836898">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1、废水：本项目无生产废水产生，生活污水经隔油池、化粪池处理后委托农户清掏作为农肥，不外排，故不进行总量控制。</w:t>
            </w:r>
          </w:p>
          <w:p w14:paraId="00E0AAFE">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2、废气：项目烘干过程产生废气，其中NO</w:t>
            </w:r>
            <w:r>
              <w:rPr>
                <w:rFonts w:hint="eastAsia" w:ascii="宋体" w:hAnsi="宋体" w:eastAsia="宋体" w:cs="宋体"/>
                <w:b w:val="0"/>
                <w:bCs w:val="0"/>
                <w:color w:val="auto"/>
                <w:sz w:val="24"/>
                <w:szCs w:val="24"/>
                <w:highlight w:val="none"/>
                <w:u w:val="none" w:color="auto"/>
                <w:vertAlign w:val="subscript"/>
                <w:lang w:val="en-US" w:eastAsia="zh-CN"/>
              </w:rPr>
              <w:t>X</w:t>
            </w:r>
            <w:r>
              <w:rPr>
                <w:rFonts w:hint="eastAsia" w:ascii="宋体" w:hAnsi="宋体" w:eastAsia="宋体" w:cs="宋体"/>
                <w:b w:val="0"/>
                <w:bCs w:val="0"/>
                <w:color w:val="auto"/>
                <w:sz w:val="24"/>
                <w:szCs w:val="24"/>
                <w:highlight w:val="none"/>
                <w:u w:val="none" w:color="auto"/>
                <w:lang w:val="en-US" w:eastAsia="zh-CN"/>
              </w:rPr>
              <w:t>排放量为0.36t/a，SO</w:t>
            </w:r>
            <w:r>
              <w:rPr>
                <w:rFonts w:hint="eastAsia" w:ascii="宋体" w:hAnsi="宋体" w:eastAsia="宋体" w:cs="宋体"/>
                <w:b w:val="0"/>
                <w:bCs w:val="0"/>
                <w:color w:val="auto"/>
                <w:sz w:val="24"/>
                <w:szCs w:val="24"/>
                <w:highlight w:val="none"/>
                <w:u w:val="none" w:color="auto"/>
                <w:vertAlign w:val="subscript"/>
                <w:lang w:val="en-US" w:eastAsia="zh-CN"/>
              </w:rPr>
              <w:t>2</w:t>
            </w:r>
            <w:r>
              <w:rPr>
                <w:rFonts w:hint="eastAsia" w:ascii="宋体" w:hAnsi="宋体" w:eastAsia="宋体" w:cs="宋体"/>
                <w:b w:val="0"/>
                <w:bCs w:val="0"/>
                <w:color w:val="auto"/>
                <w:sz w:val="24"/>
                <w:szCs w:val="24"/>
                <w:highlight w:val="none"/>
                <w:u w:val="none" w:color="auto"/>
                <w:lang w:val="en-US" w:eastAsia="zh-CN"/>
              </w:rPr>
              <w:t>排放量为1.83t/a。故总量控制指标为：NO</w:t>
            </w:r>
            <w:r>
              <w:rPr>
                <w:rFonts w:hint="eastAsia" w:ascii="宋体" w:hAnsi="宋体" w:eastAsia="宋体" w:cs="宋体"/>
                <w:b w:val="0"/>
                <w:bCs w:val="0"/>
                <w:color w:val="auto"/>
                <w:sz w:val="24"/>
                <w:szCs w:val="24"/>
                <w:highlight w:val="none"/>
                <w:u w:val="none" w:color="auto"/>
                <w:vertAlign w:val="subscript"/>
                <w:lang w:val="en-US" w:eastAsia="zh-CN"/>
              </w:rPr>
              <w:t>X</w:t>
            </w:r>
            <w:r>
              <w:rPr>
                <w:rFonts w:hint="eastAsia" w:ascii="宋体" w:hAnsi="宋体" w:eastAsia="宋体" w:cs="宋体"/>
                <w:b w:val="0"/>
                <w:bCs w:val="0"/>
                <w:color w:val="auto"/>
                <w:sz w:val="24"/>
                <w:szCs w:val="24"/>
                <w:highlight w:val="none"/>
                <w:u w:val="none" w:color="auto"/>
                <w:lang w:val="en-US" w:eastAsia="zh-CN"/>
              </w:rPr>
              <w:t>:0.36t/a；SO</w:t>
            </w:r>
            <w:r>
              <w:rPr>
                <w:rFonts w:hint="eastAsia" w:ascii="宋体" w:hAnsi="宋体" w:eastAsia="宋体" w:cs="宋体"/>
                <w:b w:val="0"/>
                <w:bCs w:val="0"/>
                <w:color w:val="auto"/>
                <w:sz w:val="24"/>
                <w:szCs w:val="24"/>
                <w:highlight w:val="none"/>
                <w:u w:val="none" w:color="auto"/>
                <w:vertAlign w:val="subscript"/>
                <w:lang w:val="en-US" w:eastAsia="zh-CN"/>
              </w:rPr>
              <w:t>2</w:t>
            </w:r>
            <w:r>
              <w:rPr>
                <w:rFonts w:hint="eastAsia" w:ascii="宋体" w:hAnsi="宋体" w:eastAsia="宋体" w:cs="宋体"/>
                <w:b w:val="0"/>
                <w:bCs w:val="0"/>
                <w:color w:val="auto"/>
                <w:sz w:val="24"/>
                <w:szCs w:val="24"/>
                <w:highlight w:val="none"/>
                <w:u w:val="none" w:color="auto"/>
                <w:lang w:val="en-US" w:eastAsia="zh-CN"/>
              </w:rPr>
              <w:t>:1.83t/a。</w:t>
            </w:r>
          </w:p>
          <w:p w14:paraId="1267A09F">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u w:val="none" w:color="auto"/>
                <w:lang w:val="en-US" w:eastAsia="zh-CN"/>
              </w:rPr>
            </w:pPr>
            <w:r>
              <w:rPr>
                <w:rFonts w:hint="eastAsia" w:ascii="宋体" w:hAnsi="宋体" w:eastAsia="宋体" w:cs="宋体"/>
                <w:b w:val="0"/>
                <w:bCs w:val="0"/>
                <w:color w:val="auto"/>
                <w:sz w:val="24"/>
                <w:szCs w:val="24"/>
                <w:highlight w:val="none"/>
                <w:u w:val="none" w:color="auto"/>
                <w:lang w:val="en-US" w:eastAsia="zh-CN"/>
              </w:rPr>
              <w:t>3、固废：项目运营期固废处置率为100%。</w:t>
            </w:r>
          </w:p>
          <w:p w14:paraId="19702863">
            <w:pPr>
              <w:spacing w:line="360" w:lineRule="auto"/>
              <w:ind w:firstLine="480" w:firstLineChars="200"/>
              <w:rPr>
                <w:rFonts w:hint="eastAsia" w:ascii="Times New Roman" w:hAnsi="Times New Roman"/>
                <w:color w:val="auto"/>
                <w:sz w:val="24"/>
                <w:szCs w:val="24"/>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2727960</wp:posOffset>
                      </wp:positionH>
                      <wp:positionV relativeFrom="paragraph">
                        <wp:posOffset>2021205</wp:posOffset>
                      </wp:positionV>
                      <wp:extent cx="19050" cy="635"/>
                      <wp:effectExtent l="0" t="0" r="0" b="0"/>
                      <wp:wrapNone/>
                      <wp:docPr id="18" name="直接连接符 18"/>
                      <wp:cNvGraphicFramePr/>
                      <a:graphic xmlns:a="http://schemas.openxmlformats.org/drawingml/2006/main">
                        <a:graphicData uri="http://schemas.microsoft.com/office/word/2010/wordprocessingShape">
                          <wps:wsp>
                            <wps:cNvCnPr/>
                            <wps:spPr>
                              <a:xfrm>
                                <a:off x="0" y="0"/>
                                <a:ext cx="19050" cy="63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4.8pt;margin-top:159.15pt;height:0.05pt;width:1.5pt;z-index:251660288;mso-width-relative:page;mso-height-relative:page;" filled="f" stroked="t" coordsize="21600,21600" o:gfxdata="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rqJU7VAAAACwEAAA8AAAAAAAAAAQAgAAAAIgAAAGRycy9kb3ducmV2LnhtbFBL&#10;AQIUABQAAAAIAIdO4kCZq+zL+QEAAOcDAAAOAAAAAAAAAAEAIAAAACQBAABkcnMvZTJvRG9jLnht&#10;bFBLBQYAAAAABgAGAFkBAACPBQAAAAA=&#10;">
                      <v:fill on="f" focussize="0,0"/>
                      <v:stroke weight="1.25pt" color="#739CC3" joinstyle="round"/>
                      <v:imagedata o:title=""/>
                      <o:lock v:ext="edit" aspectratio="f"/>
                    </v:line>
                  </w:pict>
                </mc:Fallback>
              </mc:AlternateContent>
            </w:r>
          </w:p>
        </w:tc>
      </w:tr>
    </w:tbl>
    <w:p w14:paraId="1AD08FD6">
      <w:pPr>
        <w:rPr>
          <w:rFonts w:hint="eastAsia"/>
        </w:rPr>
      </w:pPr>
    </w:p>
    <w:p w14:paraId="6F615391">
      <w:pPr>
        <w:rPr>
          <w:rFonts w:hint="eastAsia"/>
        </w:rPr>
      </w:pPr>
    </w:p>
    <w:p w14:paraId="40731A36">
      <w:pPr>
        <w:rPr>
          <w:rFonts w:hint="eastAsia"/>
        </w:rPr>
      </w:pPr>
    </w:p>
    <w:p w14:paraId="2F231328">
      <w:pPr>
        <w:rPr>
          <w:rFonts w:hint="eastAsia"/>
        </w:rPr>
      </w:pPr>
    </w:p>
    <w:p w14:paraId="3BEDAB90">
      <w:pPr>
        <w:rPr>
          <w:rFonts w:hint="eastAsia"/>
        </w:rPr>
      </w:pPr>
    </w:p>
    <w:p w14:paraId="00242D1E">
      <w:pPr>
        <w:rPr>
          <w:rFonts w:hint="eastAsia"/>
        </w:rPr>
      </w:pPr>
    </w:p>
    <w:p w14:paraId="593A4516">
      <w:pPr>
        <w:rPr>
          <w:rFonts w:hint="eastAsia"/>
        </w:rPr>
      </w:pPr>
    </w:p>
    <w:p w14:paraId="4D3D9240">
      <w:pPr>
        <w:rPr>
          <w:rFonts w:hint="eastAsia"/>
        </w:rPr>
      </w:pPr>
    </w:p>
    <w:p w14:paraId="0708EC2B">
      <w:pPr>
        <w:rPr>
          <w:rFonts w:hint="eastAsia"/>
        </w:rPr>
      </w:pPr>
    </w:p>
    <w:p w14:paraId="4CCA3336">
      <w:pPr>
        <w:rPr>
          <w:rFonts w:hint="eastAsia"/>
        </w:rPr>
      </w:pPr>
    </w:p>
    <w:p w14:paraId="0121925C">
      <w:pPr>
        <w:rPr>
          <w:rFonts w:hint="eastAsia"/>
        </w:rPr>
      </w:pPr>
    </w:p>
    <w:p w14:paraId="16618B36">
      <w:pPr>
        <w:pStyle w:val="3"/>
        <w:rPr>
          <w:rFonts w:ascii="Times New Roman" w:hAnsi="Times New Roman"/>
          <w:color w:val="auto"/>
          <w:sz w:val="32"/>
          <w:szCs w:val="32"/>
        </w:rPr>
      </w:pPr>
      <w:r>
        <w:rPr>
          <w:rFonts w:hint="eastAsia" w:ascii="Times New Roman" w:hAnsi="Times New Roman"/>
          <w:color w:val="auto"/>
          <w:sz w:val="32"/>
          <w:szCs w:val="32"/>
        </w:rPr>
        <w:t>表</w:t>
      </w:r>
      <w:r>
        <w:rPr>
          <w:rFonts w:ascii="Times New Roman" w:hAnsi="Times New Roman"/>
          <w:color w:val="auto"/>
          <w:sz w:val="32"/>
          <w:szCs w:val="32"/>
        </w:rPr>
        <w:t>五、建设项目工程分析</w:t>
      </w:r>
      <w:bookmarkStart w:id="11" w:name="_Hlt470842579"/>
      <w:bookmarkEnd w:id="11"/>
    </w:p>
    <w:tbl>
      <w:tblPr>
        <w:tblStyle w:val="2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95D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7" w:type="dxa"/>
            <w:vAlign w:val="center"/>
          </w:tcPr>
          <w:p w14:paraId="3959C7D3">
            <w:pPr>
              <w:numPr>
                <w:ilvl w:val="0"/>
                <w:numId w:val="8"/>
              </w:numPr>
              <w:spacing w:before="156" w:beforeLines="50" w:after="156" w:afterLines="50" w:line="360" w:lineRule="auto"/>
              <w:rPr>
                <w:rFonts w:hint="eastAsia" w:ascii="宋体" w:hAnsi="宋体" w:eastAsia="宋体" w:cs="宋体"/>
                <w:b/>
                <w:color w:val="auto"/>
                <w:kern w:val="0"/>
                <w:sz w:val="24"/>
                <w:szCs w:val="24"/>
              </w:rPr>
            </w:pPr>
            <w:r>
              <w:rPr>
                <w:rFonts w:hint="eastAsia" w:ascii="宋体" w:hAnsi="宋体" w:eastAsia="宋体" w:cs="宋体"/>
                <w:b/>
                <w:color w:val="auto"/>
                <w:sz w:val="24"/>
                <w:szCs w:val="24"/>
              </w:rPr>
              <w:t>施工期</w:t>
            </w:r>
            <w:r>
              <w:rPr>
                <w:rFonts w:hint="eastAsia" w:ascii="宋体" w:hAnsi="宋体" w:eastAsia="宋体" w:cs="宋体"/>
                <w:b/>
                <w:color w:val="auto"/>
                <w:kern w:val="0"/>
                <w:sz w:val="24"/>
                <w:szCs w:val="24"/>
              </w:rPr>
              <w:t>工艺流程图及工艺简述</w:t>
            </w:r>
          </w:p>
          <w:p w14:paraId="4602C125">
            <w:pPr>
              <w:pStyle w:val="9"/>
              <w:spacing w:before="0" w:line="360" w:lineRule="auto"/>
              <w:ind w:right="0" w:rightChars="0"/>
              <w:rPr>
                <w:rFonts w:hint="eastAsia" w:ascii="宋体" w:hAnsi="宋体" w:eastAsia="宋体" w:cs="宋体"/>
                <w:bCs/>
                <w:color w:val="auto"/>
                <w:sz w:val="24"/>
              </w:rPr>
            </w:pPr>
            <w:r>
              <w:rPr>
                <w:rFonts w:hint="eastAsia" w:ascii="宋体" w:hAnsi="宋体" w:eastAsia="宋体" w:cs="宋体"/>
                <w:color w:val="auto"/>
                <w:sz w:val="24"/>
                <w:szCs w:val="24"/>
              </w:rPr>
              <w:t>项目主体工程已完工，</w:t>
            </w:r>
            <w:r>
              <w:rPr>
                <w:rFonts w:hint="eastAsia" w:ascii="宋体" w:hAnsi="宋体" w:cs="宋体"/>
                <w:color w:val="auto"/>
                <w:sz w:val="24"/>
                <w:szCs w:val="24"/>
                <w:u w:val="none"/>
                <w:lang w:eastAsia="zh-CN"/>
              </w:rPr>
              <w:t>但其相关的环保设施不健全</w:t>
            </w:r>
            <w:r>
              <w:rPr>
                <w:rFonts w:hint="eastAsia" w:cs="宋体"/>
                <w:color w:val="auto"/>
                <w:sz w:val="24"/>
                <w:szCs w:val="24"/>
                <w:u w:val="none"/>
                <w:lang w:eastAsia="zh-CN"/>
              </w:rPr>
              <w:t>，</w:t>
            </w:r>
            <w:r>
              <w:rPr>
                <w:rFonts w:hint="eastAsia" w:ascii="宋体" w:hAnsi="宋体" w:eastAsia="宋体" w:cs="宋体"/>
                <w:color w:val="auto"/>
                <w:sz w:val="24"/>
                <w:szCs w:val="24"/>
              </w:rPr>
              <w:t>本次施工主要为</w:t>
            </w:r>
            <w:r>
              <w:rPr>
                <w:rFonts w:hint="eastAsia" w:ascii="宋体" w:hAnsi="宋体" w:eastAsia="宋体" w:cs="宋体"/>
                <w:color w:val="auto"/>
                <w:sz w:val="24"/>
                <w:szCs w:val="24"/>
                <w:lang w:eastAsia="zh-CN"/>
              </w:rPr>
              <w:t>建设隔油池、</w:t>
            </w:r>
            <w:r>
              <w:rPr>
                <w:rFonts w:hint="eastAsia" w:ascii="宋体" w:hAnsi="宋体" w:cs="宋体"/>
                <w:color w:val="auto"/>
                <w:sz w:val="24"/>
                <w:szCs w:val="24"/>
                <w:lang w:eastAsia="zh-CN"/>
              </w:rPr>
              <w:t>化粪池</w:t>
            </w:r>
            <w:r>
              <w:rPr>
                <w:rFonts w:hint="eastAsia" w:ascii="宋体" w:hAnsi="宋体" w:eastAsia="宋体" w:cs="宋体"/>
                <w:color w:val="auto"/>
                <w:sz w:val="24"/>
                <w:szCs w:val="24"/>
                <w:lang w:eastAsia="zh-CN"/>
              </w:rPr>
              <w:t>、安装油烟净化装置以及</w:t>
            </w:r>
            <w:r>
              <w:rPr>
                <w:rFonts w:hint="eastAsia" w:eastAsia="宋体" w:cs="宋体"/>
                <w:color w:val="auto"/>
                <w:sz w:val="24"/>
                <w:szCs w:val="24"/>
                <w:lang w:eastAsia="zh-CN"/>
              </w:rPr>
              <w:t>安装除尘设施</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，施工工作量不大，为局部施工。根据业主介绍此部分整改施工期为1个月左右。</w:t>
            </w:r>
          </w:p>
          <w:p w14:paraId="5933B042">
            <w:pPr>
              <w:numPr>
                <w:ilvl w:val="0"/>
                <w:numId w:val="0"/>
              </w:numPr>
              <w:spacing w:line="360" w:lineRule="auto"/>
              <w:rPr>
                <w:rFonts w:hint="eastAsia" w:ascii="Times New Roman" w:hAnsi="Times New Roman" w:eastAsia="宋体"/>
                <w:b/>
                <w:color w:val="auto"/>
                <w:sz w:val="24"/>
                <w:lang w:val="en-US" w:eastAsia="zh-CN"/>
              </w:rPr>
            </w:pPr>
            <w:r>
              <w:rPr>
                <w:rFonts w:hint="eastAsia"/>
                <w:color w:val="auto"/>
                <w:u w:val="none"/>
                <w:lang w:val="en-US" w:eastAsia="zh-CN"/>
              </w:rPr>
              <w:t xml:space="preserve">   </w:t>
            </w:r>
            <w:r>
              <w:rPr>
                <w:color w:val="auto"/>
                <w:u w:val="none"/>
              </w:rPr>
              <w:object>
                <v:shape id="_x0000_i1025" o:spt="75" type="#_x0000_t75" style="height:118.9pt;width:397.5pt;" o:ole="t" filled="f" o:preferrelative="t" stroked="f" coordsize="21600,21600">
                  <v:path/>
                  <v:fill on="f" focussize="0,0"/>
                  <v:stroke on="f"/>
                  <v:imagedata r:id="rId21" o:title=""/>
                  <o:lock v:ext="edit" aspectratio="t"/>
                  <w10:wrap type="none"/>
                  <w10:anchorlock/>
                </v:shape>
                <o:OLEObject Type="Embed" ProgID="Visio.Drawing.11" ShapeID="_x0000_i1025" DrawAspect="Content" ObjectID="_1468075725" r:id="rId20">
                  <o:LockedField>false</o:LockedField>
                </o:OLEObject>
              </w:object>
            </w:r>
            <w:r>
              <w:rPr>
                <w:rFonts w:hint="eastAsia"/>
                <w:color w:val="auto"/>
                <w:u w:val="none"/>
                <w:lang w:val="en-US" w:eastAsia="zh-CN"/>
              </w:rPr>
              <w:t xml:space="preserve">   </w:t>
            </w:r>
          </w:p>
          <w:p w14:paraId="3BE059D1">
            <w:pPr>
              <w:spacing w:line="360" w:lineRule="auto"/>
              <w:ind w:firstLine="482" w:firstLineChars="200"/>
              <w:jc w:val="center"/>
              <w:rPr>
                <w:rFonts w:ascii="Times New Roman" w:hAnsi="Times New Roman"/>
                <w:b/>
                <w:color w:val="auto"/>
                <w:sz w:val="24"/>
              </w:rPr>
            </w:pPr>
            <w:r>
              <w:rPr>
                <w:rFonts w:ascii="Times New Roman" w:hAnsi="Times New Roman"/>
                <w:b/>
                <w:color w:val="auto"/>
                <w:sz w:val="24"/>
              </w:rPr>
              <w:t>图5</w:t>
            </w:r>
            <w:r>
              <w:rPr>
                <w:rFonts w:hint="eastAsia" w:ascii="Times New Roman" w:hAnsi="Times New Roman"/>
                <w:b/>
                <w:color w:val="auto"/>
                <w:sz w:val="24"/>
              </w:rPr>
              <w:t>-1</w:t>
            </w:r>
            <w:r>
              <w:rPr>
                <w:rFonts w:ascii="Times New Roman" w:hAnsi="Times New Roman"/>
                <w:b/>
                <w:color w:val="auto"/>
                <w:sz w:val="24"/>
              </w:rPr>
              <w:t xml:space="preserve">  项目施工工序及产污节点图</w:t>
            </w:r>
          </w:p>
          <w:p w14:paraId="49E6D46E">
            <w:pPr>
              <w:spacing w:line="360" w:lineRule="auto"/>
              <w:ind w:firstLine="482" w:firstLineChars="200"/>
              <w:rPr>
                <w:rFonts w:ascii="Times New Roman" w:hAnsi="Times New Roman"/>
                <w:b/>
                <w:color w:val="auto"/>
                <w:kern w:val="0"/>
                <w:sz w:val="24"/>
              </w:rPr>
            </w:pPr>
            <w:r>
              <w:rPr>
                <w:rFonts w:ascii="Times New Roman" w:hAnsi="Times New Roman"/>
                <w:b/>
                <w:color w:val="auto"/>
                <w:kern w:val="0"/>
                <w:sz w:val="24"/>
              </w:rPr>
              <w:t>施工期工艺简述：</w:t>
            </w:r>
          </w:p>
          <w:p w14:paraId="2B45EBEB">
            <w:pPr>
              <w:spacing w:line="360" w:lineRule="auto"/>
              <w:ind w:firstLine="480" w:firstLineChars="200"/>
              <w:jc w:val="both"/>
              <w:rPr>
                <w:rFonts w:ascii="Times New Roman" w:hAnsi="Times New Roman"/>
                <w:b/>
                <w:color w:val="auto"/>
                <w:sz w:val="24"/>
              </w:rPr>
            </w:pPr>
            <w:r>
              <w:rPr>
                <w:rFonts w:hint="eastAsia" w:ascii="Times New Roman" w:hAnsi="Times New Roman"/>
                <w:bCs/>
                <w:color w:val="auto"/>
                <w:sz w:val="24"/>
                <w:szCs w:val="24"/>
              </w:rPr>
              <w:t>项目施工期需</w:t>
            </w:r>
            <w:r>
              <w:rPr>
                <w:rFonts w:hint="eastAsia"/>
                <w:color w:val="auto"/>
                <w:sz w:val="24"/>
                <w:szCs w:val="24"/>
                <w:lang w:eastAsia="zh-CN"/>
              </w:rPr>
              <w:t>建设隔油池、</w:t>
            </w:r>
            <w:r>
              <w:rPr>
                <w:rFonts w:hint="eastAsia" w:ascii="宋体" w:hAnsi="宋体" w:cs="宋体"/>
                <w:color w:val="auto"/>
                <w:sz w:val="24"/>
                <w:szCs w:val="24"/>
                <w:lang w:eastAsia="zh-CN"/>
              </w:rPr>
              <w:t>化粪池</w:t>
            </w:r>
            <w:r>
              <w:rPr>
                <w:rFonts w:hint="eastAsia" w:ascii="宋体" w:hAnsi="宋体" w:eastAsia="宋体" w:cs="宋体"/>
                <w:color w:val="auto"/>
                <w:sz w:val="24"/>
                <w:szCs w:val="24"/>
                <w:lang w:eastAsia="zh-CN"/>
              </w:rPr>
              <w:t>、安装油烟净化装置以及环保</w:t>
            </w:r>
            <w:r>
              <w:rPr>
                <w:rFonts w:hint="eastAsia" w:eastAsia="宋体" w:cs="宋体"/>
                <w:color w:val="auto"/>
                <w:sz w:val="24"/>
                <w:szCs w:val="24"/>
                <w:lang w:eastAsia="zh-CN"/>
              </w:rPr>
              <w:t>收尘</w:t>
            </w:r>
            <w:r>
              <w:rPr>
                <w:rFonts w:hint="eastAsia" w:ascii="宋体" w:hAnsi="宋体" w:eastAsia="宋体" w:cs="宋体"/>
                <w:color w:val="auto"/>
                <w:sz w:val="24"/>
                <w:szCs w:val="24"/>
                <w:lang w:eastAsia="zh-CN"/>
              </w:rPr>
              <w:t>设施</w:t>
            </w:r>
            <w:r>
              <w:rPr>
                <w:rFonts w:hint="eastAsia" w:ascii="Times New Roman" w:hAnsi="Times New Roman"/>
                <w:color w:val="auto"/>
                <w:sz w:val="24"/>
                <w:szCs w:val="24"/>
              </w:rPr>
              <w:t>。施工过程中会产生废气、污水、噪声和固体废物。</w:t>
            </w:r>
          </w:p>
          <w:p w14:paraId="5578B031">
            <w:pPr>
              <w:pStyle w:val="18"/>
              <w:adjustRightInd w:val="0"/>
              <w:snapToGrid w:val="0"/>
              <w:spacing w:line="360" w:lineRule="auto"/>
              <w:ind w:firstLine="0"/>
              <w:rPr>
                <w:rFonts w:hint="eastAsia" w:ascii="Times New Roman" w:hAnsi="Times New Roman" w:cs="宋体"/>
                <w:b/>
                <w:bCs/>
                <w:color w:val="auto"/>
                <w:szCs w:val="24"/>
              </w:rPr>
            </w:pPr>
            <w:r>
              <w:rPr>
                <w:rFonts w:hint="eastAsia" w:ascii="Times New Roman" w:hAnsi="Times New Roman" w:cs="宋体"/>
                <w:b/>
                <w:bCs/>
                <w:color w:val="auto"/>
                <w:szCs w:val="24"/>
                <w:lang w:eastAsia="zh-CN"/>
              </w:rPr>
              <w:t>二</w:t>
            </w:r>
            <w:r>
              <w:rPr>
                <w:rFonts w:hint="eastAsia" w:ascii="Times New Roman" w:hAnsi="Times New Roman" w:cs="宋体"/>
                <w:b/>
                <w:bCs/>
                <w:color w:val="auto"/>
                <w:szCs w:val="24"/>
              </w:rPr>
              <w:t>、</w:t>
            </w:r>
            <w:r>
              <w:rPr>
                <w:rFonts w:hint="eastAsia" w:ascii="Times New Roman" w:hAnsi="Times New Roman" w:cs="宋体"/>
                <w:b/>
                <w:bCs/>
                <w:color w:val="auto"/>
                <w:szCs w:val="24"/>
                <w:lang w:eastAsia="zh-CN"/>
              </w:rPr>
              <w:t>施工期主要</w:t>
            </w:r>
            <w:r>
              <w:rPr>
                <w:rFonts w:hint="eastAsia" w:ascii="Times New Roman" w:hAnsi="Times New Roman" w:cs="宋体"/>
                <w:b/>
                <w:bCs/>
                <w:color w:val="auto"/>
                <w:szCs w:val="24"/>
              </w:rPr>
              <w:t>污染源</w:t>
            </w:r>
            <w:r>
              <w:rPr>
                <w:rFonts w:hint="eastAsia" w:ascii="Times New Roman" w:hAnsi="Times New Roman" w:cs="宋体"/>
                <w:b/>
                <w:bCs/>
                <w:color w:val="auto"/>
                <w:szCs w:val="24"/>
                <w:lang w:eastAsia="zh-CN"/>
              </w:rPr>
              <w:t>强</w:t>
            </w:r>
            <w:r>
              <w:rPr>
                <w:rFonts w:hint="eastAsia" w:ascii="Times New Roman" w:hAnsi="Times New Roman" w:cs="宋体"/>
                <w:b/>
                <w:bCs/>
                <w:color w:val="auto"/>
                <w:szCs w:val="24"/>
              </w:rPr>
              <w:t>分析</w:t>
            </w:r>
          </w:p>
          <w:p w14:paraId="6F5ED18C">
            <w:pPr>
              <w:spacing w:line="360" w:lineRule="auto"/>
              <w:jc w:val="left"/>
              <w:rPr>
                <w:rFonts w:hint="eastAsia" w:ascii="宋体" w:hAnsi="宋体" w:cs="宋体"/>
                <w:b/>
                <w:bCs/>
                <w:color w:val="auto"/>
                <w:sz w:val="24"/>
                <w:u w:val="none"/>
              </w:rPr>
            </w:pPr>
            <w:r>
              <w:rPr>
                <w:rFonts w:hint="eastAsia" w:ascii="宋体" w:hAnsi="宋体" w:cs="宋体"/>
                <w:b/>
                <w:bCs/>
                <w:color w:val="auto"/>
                <w:sz w:val="24"/>
                <w:u w:val="none"/>
              </w:rPr>
              <w:t>1、废水</w:t>
            </w:r>
          </w:p>
          <w:p w14:paraId="4F9D0A01">
            <w:pPr>
              <w:spacing w:line="360" w:lineRule="auto"/>
              <w:jc w:val="left"/>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w:t>
            </w:r>
            <w:r>
              <w:rPr>
                <w:rFonts w:hint="eastAsia" w:ascii="宋体" w:hAnsi="宋体" w:cs="宋体"/>
                <w:color w:val="auto"/>
                <w:sz w:val="24"/>
                <w:u w:val="none"/>
                <w:lang w:val="en-US" w:eastAsia="zh-CN"/>
              </w:rPr>
              <w:t>1</w:t>
            </w:r>
            <w:r>
              <w:rPr>
                <w:rFonts w:hint="eastAsia" w:ascii="宋体" w:hAnsi="宋体" w:cs="宋体"/>
                <w:color w:val="auto"/>
                <w:sz w:val="24"/>
                <w:u w:val="none"/>
                <w:lang w:eastAsia="zh-CN"/>
              </w:rPr>
              <w:t>）生活废水</w:t>
            </w:r>
          </w:p>
          <w:p w14:paraId="35FE8AE5">
            <w:pPr>
              <w:spacing w:line="360" w:lineRule="auto"/>
              <w:ind w:firstLine="480" w:firstLineChars="200"/>
              <w:jc w:val="left"/>
              <w:rPr>
                <w:rFonts w:hint="eastAsia" w:ascii="宋体" w:hAnsi="宋体" w:cs="宋体"/>
                <w:color w:val="auto"/>
                <w:sz w:val="24"/>
                <w:u w:val="none"/>
              </w:rPr>
            </w:pPr>
            <w:r>
              <w:rPr>
                <w:rFonts w:hint="eastAsia" w:ascii="宋体" w:hAnsi="宋体" w:cs="宋体"/>
                <w:color w:val="auto"/>
                <w:sz w:val="24"/>
                <w:u w:val="none"/>
              </w:rPr>
              <w:t>项目施工期施工人员不在项目区食宿，项目产生的生活污水主要为洗手等卫生用水。项目施工期间人员约4人，生活污水按30L/人·d计，产生量为0.12m³/d。取80%的废水量，施工人员产生的废水量为0.096m³/d。</w:t>
            </w:r>
          </w:p>
          <w:p w14:paraId="5140AB59">
            <w:pPr>
              <w:snapToGrid w:val="0"/>
              <w:spacing w:line="360" w:lineRule="auto"/>
              <w:jc w:val="left"/>
              <w:rPr>
                <w:rFonts w:hint="eastAsia" w:ascii="宋体" w:hAnsi="宋体" w:eastAsia="宋体"/>
                <w:b w:val="0"/>
                <w:bCs/>
                <w:color w:val="auto"/>
                <w:sz w:val="24"/>
                <w:szCs w:val="24"/>
                <w:u w:val="none"/>
                <w:lang w:eastAsia="zh-CN"/>
              </w:rPr>
            </w:pPr>
            <w:r>
              <w:rPr>
                <w:rFonts w:hint="eastAsia" w:ascii="宋体" w:hAnsi="宋体"/>
                <w:b w:val="0"/>
                <w:bCs/>
                <w:color w:val="auto"/>
                <w:sz w:val="24"/>
                <w:szCs w:val="24"/>
                <w:u w:val="none"/>
                <w:lang w:eastAsia="zh-CN"/>
              </w:rPr>
              <w:t>（</w:t>
            </w:r>
            <w:r>
              <w:rPr>
                <w:rFonts w:hint="eastAsia" w:ascii="宋体" w:hAnsi="宋体"/>
                <w:b w:val="0"/>
                <w:bCs/>
                <w:color w:val="auto"/>
                <w:sz w:val="24"/>
                <w:szCs w:val="24"/>
                <w:u w:val="none"/>
                <w:lang w:val="en-US" w:eastAsia="zh-CN"/>
              </w:rPr>
              <w:t>2</w:t>
            </w:r>
            <w:r>
              <w:rPr>
                <w:rFonts w:hint="eastAsia" w:ascii="宋体" w:hAnsi="宋体"/>
                <w:b w:val="0"/>
                <w:bCs/>
                <w:color w:val="auto"/>
                <w:sz w:val="24"/>
                <w:szCs w:val="24"/>
                <w:u w:val="none"/>
                <w:lang w:eastAsia="zh-CN"/>
              </w:rPr>
              <w:t>）施工废水</w:t>
            </w:r>
          </w:p>
          <w:p w14:paraId="24D3F0AF">
            <w:pPr>
              <w:keepNext w:val="0"/>
              <w:keepLines w:val="0"/>
              <w:widowControl/>
              <w:suppressLineNumbers w:val="0"/>
              <w:spacing w:after="240" w:afterAutospacing="0" w:line="360" w:lineRule="auto"/>
              <w:ind w:firstLine="480" w:firstLineChars="200"/>
              <w:jc w:val="left"/>
              <w:rPr>
                <w:rFonts w:hint="eastAsia" w:ascii="宋体" w:hAnsi="宋体" w:cs="宋体"/>
                <w:color w:val="auto"/>
                <w:kern w:val="0"/>
                <w:sz w:val="24"/>
                <w:szCs w:val="24"/>
                <w:u w:val="none"/>
                <w:lang w:val="en-US" w:eastAsia="zh-CN" w:bidi="ar"/>
              </w:rPr>
            </w:pPr>
            <w:r>
              <w:rPr>
                <w:rFonts w:ascii="宋体" w:hAnsi="宋体" w:eastAsia="宋体" w:cs="宋体"/>
                <w:color w:val="auto"/>
                <w:kern w:val="0"/>
                <w:sz w:val="24"/>
                <w:szCs w:val="24"/>
                <w:u w:val="none"/>
                <w:lang w:val="en-US" w:eastAsia="zh-CN" w:bidi="ar"/>
              </w:rPr>
              <w:t>施工时产生的废水含大量泥沙、水泥等，产生量不定。另外，</w:t>
            </w:r>
            <w:r>
              <w:rPr>
                <w:rFonts w:hint="eastAsia" w:ascii="宋体" w:hAnsi="宋体" w:cs="宋体"/>
                <w:color w:val="auto"/>
                <w:kern w:val="0"/>
                <w:sz w:val="24"/>
                <w:szCs w:val="24"/>
                <w:u w:val="none"/>
                <w:lang w:val="en-US" w:eastAsia="zh-CN" w:bidi="ar"/>
              </w:rPr>
              <w:t>施工人员有少量清洁废水产生，主要污染物为</w:t>
            </w:r>
            <w:r>
              <w:rPr>
                <w:rFonts w:ascii="宋体" w:hAnsi="宋体" w:eastAsia="宋体" w:cs="宋体"/>
                <w:color w:val="auto"/>
                <w:kern w:val="0"/>
                <w:sz w:val="24"/>
                <w:szCs w:val="24"/>
                <w:u w:val="none"/>
                <w:lang w:val="en-US" w:eastAsia="zh-CN" w:bidi="ar"/>
              </w:rPr>
              <w:t>COD</w:t>
            </w:r>
            <w:r>
              <w:rPr>
                <w:rFonts w:hint="eastAsia" w:ascii="宋体" w:hAnsi="宋体" w:cs="宋体"/>
                <w:color w:val="auto"/>
                <w:kern w:val="0"/>
                <w:sz w:val="24"/>
                <w:szCs w:val="24"/>
                <w:u w:val="none"/>
                <w:vertAlign w:val="subscript"/>
                <w:lang w:val="en-US" w:eastAsia="zh-CN" w:bidi="ar"/>
              </w:rPr>
              <w:t>c</w:t>
            </w:r>
            <w:r>
              <w:rPr>
                <w:rFonts w:ascii="宋体" w:hAnsi="宋体" w:eastAsia="宋体" w:cs="宋体"/>
                <w:color w:val="auto"/>
                <w:kern w:val="0"/>
                <w:sz w:val="24"/>
                <w:szCs w:val="24"/>
                <w:u w:val="none"/>
                <w:vertAlign w:val="subscript"/>
                <w:lang w:val="en-US" w:eastAsia="zh-CN" w:bidi="ar"/>
              </w:rPr>
              <w:t>r</w:t>
            </w:r>
            <w:r>
              <w:rPr>
                <w:rFonts w:hint="eastAsia" w:ascii="宋体" w:hAnsi="宋体" w:cs="宋体"/>
                <w:color w:val="auto"/>
                <w:kern w:val="0"/>
                <w:sz w:val="24"/>
                <w:szCs w:val="24"/>
                <w:u w:val="none"/>
                <w:lang w:val="en-US" w:eastAsia="zh-CN" w:bidi="ar"/>
              </w:rPr>
              <w:t>、</w:t>
            </w:r>
            <w:r>
              <w:rPr>
                <w:rFonts w:ascii="宋体" w:hAnsi="宋体" w:eastAsia="宋体" w:cs="宋体"/>
                <w:color w:val="auto"/>
                <w:kern w:val="0"/>
                <w:sz w:val="24"/>
                <w:szCs w:val="24"/>
                <w:u w:val="none"/>
                <w:lang w:val="en-US" w:eastAsia="zh-CN" w:bidi="ar"/>
              </w:rPr>
              <w:t>氨氨及悬浮物等。污水排放</w:t>
            </w:r>
            <w:r>
              <w:rPr>
                <w:rFonts w:hint="eastAsia" w:ascii="宋体" w:hAnsi="宋体" w:cs="宋体"/>
                <w:color w:val="auto"/>
                <w:kern w:val="0"/>
                <w:sz w:val="24"/>
                <w:szCs w:val="24"/>
                <w:u w:val="none"/>
                <w:lang w:val="en-US" w:eastAsia="zh-CN" w:bidi="ar"/>
              </w:rPr>
              <w:t>方式为随机分散，无</w:t>
            </w:r>
            <w:r>
              <w:rPr>
                <w:rFonts w:ascii="宋体" w:hAnsi="宋体" w:eastAsia="宋体" w:cs="宋体"/>
                <w:color w:val="auto"/>
                <w:kern w:val="0"/>
                <w:sz w:val="24"/>
                <w:szCs w:val="24"/>
                <w:u w:val="none"/>
                <w:lang w:val="en-US" w:eastAsia="zh-CN" w:bidi="ar"/>
              </w:rPr>
              <w:t>组织间断排放。项目不使用商品混凝</w:t>
            </w:r>
            <w:r>
              <w:rPr>
                <w:rFonts w:hint="eastAsia" w:ascii="宋体" w:hAnsi="宋体" w:cs="宋体"/>
                <w:color w:val="auto"/>
                <w:kern w:val="0"/>
                <w:sz w:val="24"/>
                <w:szCs w:val="24"/>
                <w:u w:val="none"/>
                <w:lang w:val="en-US" w:eastAsia="zh-CN" w:bidi="ar"/>
              </w:rPr>
              <w:t>土</w:t>
            </w:r>
            <w:r>
              <w:rPr>
                <w:rFonts w:ascii="宋体" w:hAnsi="宋体" w:eastAsia="宋体" w:cs="宋体"/>
                <w:color w:val="auto"/>
                <w:kern w:val="0"/>
                <w:sz w:val="24"/>
                <w:szCs w:val="24"/>
                <w:u w:val="none"/>
                <w:lang w:val="en-US" w:eastAsia="zh-CN" w:bidi="ar"/>
              </w:rPr>
              <w:t>，在场内进行混凝</w:t>
            </w:r>
            <w:r>
              <w:rPr>
                <w:rFonts w:hint="eastAsia" w:ascii="宋体" w:hAnsi="宋体" w:cs="宋体"/>
                <w:color w:val="auto"/>
                <w:kern w:val="0"/>
                <w:sz w:val="24"/>
                <w:szCs w:val="24"/>
                <w:u w:val="none"/>
                <w:lang w:val="en-US" w:eastAsia="zh-CN" w:bidi="ar"/>
              </w:rPr>
              <w:t>土</w:t>
            </w:r>
            <w:r>
              <w:rPr>
                <w:rFonts w:ascii="宋体" w:hAnsi="宋体" w:eastAsia="宋体" w:cs="宋体"/>
                <w:color w:val="auto"/>
                <w:kern w:val="0"/>
                <w:sz w:val="24"/>
                <w:szCs w:val="24"/>
                <w:u w:val="none"/>
                <w:lang w:val="en-US" w:eastAsia="zh-CN" w:bidi="ar"/>
              </w:rPr>
              <w:t>搅拌，</w:t>
            </w:r>
            <w:r>
              <w:rPr>
                <w:rFonts w:hint="eastAsia" w:ascii="宋体" w:hAnsi="宋体" w:cs="宋体"/>
                <w:color w:val="auto"/>
                <w:kern w:val="0"/>
                <w:sz w:val="24"/>
                <w:szCs w:val="24"/>
                <w:u w:val="none"/>
                <w:lang w:val="en-US" w:eastAsia="zh-CN" w:bidi="ar"/>
              </w:rPr>
              <w:t>由于项目主要为建设化粪池、隔油</w:t>
            </w:r>
            <w:r>
              <w:rPr>
                <w:rFonts w:ascii="宋体" w:hAnsi="宋体" w:eastAsia="宋体" w:cs="宋体"/>
                <w:color w:val="auto"/>
                <w:kern w:val="0"/>
                <w:sz w:val="24"/>
                <w:szCs w:val="24"/>
                <w:u w:val="none"/>
                <w:lang w:val="en-US" w:eastAsia="zh-CN" w:bidi="ar"/>
              </w:rPr>
              <w:t>池</w:t>
            </w:r>
            <w:r>
              <w:rPr>
                <w:rFonts w:hint="eastAsia" w:ascii="宋体" w:hAnsi="宋体" w:cs="宋体"/>
                <w:color w:val="auto"/>
                <w:kern w:val="0"/>
                <w:sz w:val="24"/>
                <w:szCs w:val="24"/>
                <w:u w:val="none"/>
                <w:lang w:val="en-US" w:eastAsia="zh-CN" w:bidi="ar"/>
              </w:rPr>
              <w:t>、安装油烟净化装置及除尘设施等</w:t>
            </w:r>
            <w:r>
              <w:rPr>
                <w:rFonts w:ascii="宋体" w:hAnsi="宋体" w:eastAsia="宋体" w:cs="宋体"/>
                <w:color w:val="auto"/>
                <w:kern w:val="0"/>
                <w:sz w:val="24"/>
                <w:szCs w:val="24"/>
                <w:u w:val="none"/>
                <w:lang w:val="en-US" w:eastAsia="zh-CN" w:bidi="ar"/>
              </w:rPr>
              <w:t>，因此施工</w:t>
            </w:r>
            <w:r>
              <w:rPr>
                <w:rFonts w:hint="eastAsia" w:ascii="宋体" w:hAnsi="宋体" w:cs="宋体"/>
                <w:color w:val="auto"/>
                <w:kern w:val="0"/>
                <w:sz w:val="24"/>
                <w:szCs w:val="24"/>
                <w:u w:val="none"/>
                <w:lang w:val="en-US" w:eastAsia="zh-CN" w:bidi="ar"/>
              </w:rPr>
              <w:t>期</w:t>
            </w:r>
            <w:r>
              <w:rPr>
                <w:rFonts w:ascii="宋体" w:hAnsi="宋体" w:eastAsia="宋体" w:cs="宋体"/>
                <w:color w:val="auto"/>
                <w:kern w:val="0"/>
                <w:sz w:val="24"/>
                <w:szCs w:val="24"/>
                <w:u w:val="none"/>
                <w:lang w:val="en-US" w:eastAsia="zh-CN" w:bidi="ar"/>
              </w:rPr>
              <w:t>废水产生量较少，主要污染物为S</w:t>
            </w:r>
            <w:r>
              <w:rPr>
                <w:rFonts w:hint="eastAsia" w:ascii="宋体" w:hAnsi="宋体" w:cs="宋体"/>
                <w:color w:val="auto"/>
                <w:kern w:val="0"/>
                <w:sz w:val="24"/>
                <w:szCs w:val="24"/>
                <w:u w:val="none"/>
                <w:lang w:val="en-US" w:eastAsia="zh-CN" w:bidi="ar"/>
              </w:rPr>
              <w:t>S，经临时沉淀处理后用于施工场地降尘，</w:t>
            </w:r>
            <w:r>
              <w:rPr>
                <w:rFonts w:ascii="宋体" w:hAnsi="宋体" w:eastAsia="宋体" w:cs="宋体"/>
                <w:color w:val="auto"/>
                <w:kern w:val="0"/>
                <w:sz w:val="24"/>
                <w:szCs w:val="24"/>
                <w:u w:val="none"/>
                <w:lang w:val="en-US" w:eastAsia="zh-CN" w:bidi="ar"/>
              </w:rPr>
              <w:t>不外排</w:t>
            </w:r>
            <w:r>
              <w:rPr>
                <w:rFonts w:hint="eastAsia" w:ascii="宋体" w:hAnsi="宋体" w:cs="宋体"/>
                <w:color w:val="auto"/>
                <w:kern w:val="0"/>
                <w:sz w:val="24"/>
                <w:szCs w:val="24"/>
                <w:u w:val="none"/>
                <w:lang w:val="en-US" w:eastAsia="zh-CN" w:bidi="ar"/>
              </w:rPr>
              <w:t>。</w:t>
            </w:r>
          </w:p>
          <w:p w14:paraId="05F9F7E3">
            <w:pPr>
              <w:numPr>
                <w:ilvl w:val="0"/>
                <w:numId w:val="0"/>
              </w:numPr>
              <w:spacing w:before="62" w:beforeLines="20" w:after="62" w:afterLines="20"/>
              <w:ind w:right="76" w:rightChars="36"/>
              <w:outlineLvl w:val="1"/>
              <w:rPr>
                <w:rFonts w:hint="eastAsia" w:ascii="Times New Roman" w:hAnsi="Times New Roman"/>
                <w:b/>
                <w:color w:val="auto"/>
                <w:sz w:val="24"/>
                <w:lang w:val="en-US" w:eastAsia="zh-CN"/>
              </w:rPr>
            </w:pPr>
            <w:r>
              <w:rPr>
                <w:rFonts w:hint="eastAsia" w:ascii="Times New Roman" w:hAnsi="Times New Roman"/>
                <w:b/>
                <w:color w:val="auto"/>
                <w:sz w:val="24"/>
                <w:lang w:val="en-US" w:eastAsia="zh-CN"/>
              </w:rPr>
              <w:t>2、废气</w:t>
            </w:r>
          </w:p>
          <w:p w14:paraId="75DE7E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项目施工期产生的大气污染物主要是施工扬尘、施工机械废气和运输车辆尾气、装修废气。</w:t>
            </w:r>
          </w:p>
          <w:p w14:paraId="61A2E71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①扬尘</w:t>
            </w:r>
          </w:p>
          <w:p w14:paraId="1849DE7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项目扬尘主要来源于建筑材料的运输、堆放，扬尘属无组织排放，其产生强度与施工范围、施工方法、土壤湿度、气象条件等诸多因素有关。</w:t>
            </w:r>
            <w:r>
              <w:rPr>
                <w:rFonts w:hint="eastAsia" w:ascii="宋体" w:hAnsi="宋体" w:eastAsia="宋体" w:cs="宋体"/>
                <w:color w:val="auto"/>
                <w:sz w:val="24"/>
                <w:szCs w:val="24"/>
                <w:lang w:eastAsia="zh-CN"/>
              </w:rPr>
              <w:t>施工过程中</w:t>
            </w:r>
            <w:r>
              <w:rPr>
                <w:rFonts w:hint="eastAsia" w:ascii="宋体" w:hAnsi="宋体" w:eastAsia="宋体" w:cs="宋体"/>
                <w:color w:val="auto"/>
                <w:sz w:val="24"/>
                <w:szCs w:val="24"/>
              </w:rPr>
              <w:t>对粉尘发生量较大的部位</w:t>
            </w:r>
            <w:r>
              <w:rPr>
                <w:rFonts w:hint="eastAsia" w:ascii="宋体" w:hAnsi="宋体" w:eastAsia="宋体" w:cs="宋体"/>
                <w:color w:val="auto"/>
                <w:sz w:val="24"/>
                <w:szCs w:val="24"/>
                <w:lang w:eastAsia="zh-CN"/>
              </w:rPr>
              <w:t>进行了洒水</w:t>
            </w:r>
            <w:r>
              <w:rPr>
                <w:rFonts w:hint="eastAsia" w:ascii="宋体" w:hAnsi="宋体" w:eastAsia="宋体" w:cs="宋体"/>
                <w:color w:val="auto"/>
                <w:sz w:val="24"/>
                <w:szCs w:val="24"/>
              </w:rPr>
              <w:t>降尘，对运输交通道路及时清扫、洒水。此外，在运输、装卸建筑材料时，尤其是泥砂运输车辆，采用封闭车辆</w:t>
            </w:r>
            <w:r>
              <w:rPr>
                <w:rFonts w:hint="eastAsia" w:ascii="宋体" w:hAnsi="宋体" w:eastAsia="宋体" w:cs="宋体"/>
                <w:color w:val="auto"/>
                <w:sz w:val="24"/>
                <w:szCs w:val="24"/>
                <w:lang w:eastAsia="zh-CN"/>
              </w:rPr>
              <w:t>进行运输，对环境的影响较小</w:t>
            </w:r>
            <w:r>
              <w:rPr>
                <w:rFonts w:hint="eastAsia" w:ascii="宋体" w:hAnsi="宋体" w:eastAsia="宋体" w:cs="宋体"/>
                <w:color w:val="auto"/>
                <w:sz w:val="24"/>
                <w:szCs w:val="24"/>
              </w:rPr>
              <w:t>。</w:t>
            </w:r>
          </w:p>
          <w:p w14:paraId="43A1D73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②施工机械废气和运输车辆尾气</w:t>
            </w:r>
          </w:p>
          <w:p w14:paraId="78F80A6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施工中施工机械运行产生的废气、运输车辆运输产生的尾气均是动力燃料柴油和汽油燃烧后所产生，为影响大气环境的主要污染物之一，主要成份是烯烃类、CO和NOx，其产生量及废气中污染物浓度视其使用频率及发动机对燃料的燃烧情况而异。施工机械废气和运输车辆尾气属低架点源无组织排放，具有间断性、产生量较小、产生点相对分散、易被稀释扩散等特点。经过空气稀释扩散后对环境的影响较小。</w:t>
            </w:r>
          </w:p>
          <w:p w14:paraId="485C02E2">
            <w:pPr>
              <w:pStyle w:val="9"/>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3、噪声</w:t>
            </w:r>
          </w:p>
          <w:p w14:paraId="73AB1666">
            <w:pPr>
              <w:tabs>
                <w:tab w:val="left" w:pos="2395"/>
              </w:tabs>
              <w:spacing w:line="360" w:lineRule="auto"/>
              <w:ind w:firstLine="480" w:firstLineChars="200"/>
              <w:jc w:val="left"/>
              <w:rPr>
                <w:rFonts w:hint="eastAsia" w:ascii="宋体" w:hAnsi="宋体"/>
                <w:b/>
                <w:bCs/>
                <w:color w:val="auto"/>
                <w:sz w:val="24"/>
                <w:szCs w:val="24"/>
                <w:u w:val="none"/>
              </w:rPr>
            </w:pPr>
            <w:r>
              <w:rPr>
                <w:rFonts w:hint="eastAsia" w:ascii="宋体" w:hAnsi="宋体" w:eastAsia="宋体" w:cs="宋体"/>
                <w:color w:val="auto"/>
                <w:sz w:val="24"/>
                <w:szCs w:val="24"/>
              </w:rPr>
              <w:t>项目施工</w:t>
            </w:r>
            <w:r>
              <w:rPr>
                <w:rFonts w:hint="eastAsia" w:ascii="宋体" w:hAnsi="宋体" w:eastAsia="宋体" w:cs="宋体"/>
                <w:color w:val="auto"/>
                <w:sz w:val="24"/>
                <w:szCs w:val="24"/>
                <w:lang w:eastAsia="zh-CN"/>
              </w:rPr>
              <w:t>期噪声主要为施工机械</w:t>
            </w:r>
            <w:r>
              <w:rPr>
                <w:rFonts w:hint="eastAsia" w:ascii="宋体" w:hAnsi="宋体" w:eastAsia="宋体" w:cs="宋体"/>
                <w:color w:val="auto"/>
                <w:sz w:val="24"/>
                <w:szCs w:val="24"/>
              </w:rPr>
              <w:t>噪声，施工噪声的特点是突发性和间歇性，持续时间短，</w:t>
            </w:r>
            <w:r>
              <w:rPr>
                <w:rFonts w:hint="eastAsia" w:ascii="宋体" w:hAnsi="宋体" w:eastAsia="宋体" w:cs="宋体"/>
                <w:color w:val="auto"/>
                <w:sz w:val="24"/>
                <w:szCs w:val="24"/>
                <w:lang w:eastAsia="zh-CN"/>
              </w:rPr>
              <w:t>采</w:t>
            </w:r>
            <w:r>
              <w:rPr>
                <w:rFonts w:hint="eastAsia" w:ascii="宋体" w:hAnsi="宋体" w:eastAsia="宋体" w:cs="宋体"/>
                <w:color w:val="auto"/>
                <w:sz w:val="24"/>
                <w:szCs w:val="24"/>
                <w:u w:val="none"/>
              </w:rPr>
              <w:t>用的建筑施工机械设备及噪声声级见表</w:t>
            </w:r>
            <w:r>
              <w:rPr>
                <w:rFonts w:hint="eastAsia" w:ascii="宋体" w:hAnsi="宋体" w:eastAsia="宋体" w:cs="宋体"/>
                <w:color w:val="auto"/>
                <w:sz w:val="24"/>
                <w:szCs w:val="24"/>
                <w:u w:val="none"/>
                <w:lang w:val="en-US" w:eastAsia="zh-CN"/>
              </w:rPr>
              <w:t>5-1</w:t>
            </w:r>
            <w:r>
              <w:rPr>
                <w:rFonts w:hint="eastAsia" w:ascii="宋体" w:hAnsi="宋体" w:eastAsia="宋体" w:cs="宋体"/>
                <w:color w:val="auto"/>
                <w:sz w:val="24"/>
                <w:szCs w:val="24"/>
                <w:u w:val="none"/>
              </w:rPr>
              <w:t>。</w:t>
            </w:r>
          </w:p>
          <w:p w14:paraId="5F04221F">
            <w:pPr>
              <w:spacing w:line="600" w:lineRule="exact"/>
              <w:ind w:firstLine="1687" w:firstLineChars="700"/>
              <w:jc w:val="left"/>
              <w:rPr>
                <w:rFonts w:hint="eastAsia" w:ascii="宋体" w:hAnsi="宋体"/>
                <w:b/>
                <w:bCs/>
                <w:color w:val="auto"/>
                <w:sz w:val="24"/>
                <w:szCs w:val="24"/>
                <w:u w:val="none"/>
              </w:rPr>
            </w:pPr>
            <w:r>
              <w:rPr>
                <w:rFonts w:hint="eastAsia" w:ascii="宋体" w:hAnsi="宋体"/>
                <w:b/>
                <w:bCs/>
                <w:color w:val="auto"/>
                <w:sz w:val="24"/>
                <w:szCs w:val="24"/>
                <w:u w:val="none"/>
              </w:rPr>
              <w:t>表</w:t>
            </w:r>
            <w:r>
              <w:rPr>
                <w:rFonts w:hint="eastAsia" w:ascii="宋体" w:hAnsi="宋体"/>
                <w:b/>
                <w:bCs/>
                <w:color w:val="auto"/>
                <w:sz w:val="24"/>
                <w:szCs w:val="24"/>
                <w:u w:val="none"/>
                <w:lang w:val="en-US" w:eastAsia="zh-CN"/>
              </w:rPr>
              <w:t>5-1</w:t>
            </w:r>
            <w:r>
              <w:rPr>
                <w:rFonts w:hint="eastAsia" w:ascii="宋体" w:hAnsi="宋体"/>
                <w:b/>
                <w:bCs/>
                <w:color w:val="auto"/>
                <w:sz w:val="24"/>
                <w:szCs w:val="24"/>
                <w:u w:val="none"/>
              </w:rPr>
              <w:t>建筑施工机械噪声声源强度    单位：dB（A）</w:t>
            </w:r>
          </w:p>
          <w:tbl>
            <w:tblPr>
              <w:tblStyle w:val="2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2876"/>
              <w:gridCol w:w="2705"/>
            </w:tblGrid>
            <w:tr w14:paraId="06E8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480" w:type="dxa"/>
                  <w:vAlign w:val="center"/>
                </w:tcPr>
                <w:p w14:paraId="7FC532BB">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序号</w:t>
                  </w:r>
                </w:p>
              </w:tc>
              <w:tc>
                <w:tcPr>
                  <w:tcW w:w="2876" w:type="dxa"/>
                  <w:vAlign w:val="center"/>
                </w:tcPr>
                <w:p w14:paraId="79989383">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施工机械</w:t>
                  </w:r>
                </w:p>
              </w:tc>
              <w:tc>
                <w:tcPr>
                  <w:tcW w:w="2705" w:type="dxa"/>
                  <w:vAlign w:val="center"/>
                </w:tcPr>
                <w:p w14:paraId="0B0C11F8">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测量声级</w:t>
                  </w:r>
                </w:p>
              </w:tc>
            </w:tr>
            <w:tr w14:paraId="381C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80" w:type="dxa"/>
                  <w:vAlign w:val="center"/>
                </w:tcPr>
                <w:p w14:paraId="233DE99D">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1</w:t>
                  </w:r>
                </w:p>
              </w:tc>
              <w:tc>
                <w:tcPr>
                  <w:tcW w:w="2876" w:type="dxa"/>
                  <w:vAlign w:val="center"/>
                </w:tcPr>
                <w:p w14:paraId="4931C8A4">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电钻</w:t>
                  </w:r>
                </w:p>
              </w:tc>
              <w:tc>
                <w:tcPr>
                  <w:tcW w:w="2705" w:type="dxa"/>
                  <w:vAlign w:val="center"/>
                </w:tcPr>
                <w:p w14:paraId="75F12532">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80</w:t>
                  </w:r>
                </w:p>
              </w:tc>
            </w:tr>
            <w:tr w14:paraId="6A0B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80" w:type="dxa"/>
                  <w:vAlign w:val="center"/>
                </w:tcPr>
                <w:p w14:paraId="51896D4E">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2</w:t>
                  </w:r>
                </w:p>
              </w:tc>
              <w:tc>
                <w:tcPr>
                  <w:tcW w:w="2876" w:type="dxa"/>
                  <w:vAlign w:val="center"/>
                </w:tcPr>
                <w:p w14:paraId="0EF28E78">
                  <w:pPr>
                    <w:adjustRightInd w:val="0"/>
                    <w:snapToGrid w:val="0"/>
                    <w:spacing w:line="240" w:lineRule="auto"/>
                    <w:jc w:val="center"/>
                    <w:rPr>
                      <w:rFonts w:hint="eastAsia" w:ascii="宋体" w:hAnsi="宋体" w:eastAsia="宋体"/>
                      <w:color w:val="auto"/>
                      <w:sz w:val="21"/>
                      <w:szCs w:val="21"/>
                      <w:u w:val="none"/>
                      <w:lang w:eastAsia="zh-CN"/>
                    </w:rPr>
                  </w:pPr>
                  <w:r>
                    <w:rPr>
                      <w:rFonts w:hint="eastAsia" w:ascii="宋体" w:hAnsi="宋体" w:cs="宋体"/>
                      <w:color w:val="auto"/>
                      <w:sz w:val="21"/>
                      <w:szCs w:val="21"/>
                      <w:u w:val="none"/>
                      <w:lang w:eastAsia="zh-CN"/>
                    </w:rPr>
                    <w:t>推土机</w:t>
                  </w:r>
                </w:p>
              </w:tc>
              <w:tc>
                <w:tcPr>
                  <w:tcW w:w="2705" w:type="dxa"/>
                  <w:vAlign w:val="center"/>
                </w:tcPr>
                <w:p w14:paraId="46E1EFB7">
                  <w:pPr>
                    <w:adjustRightInd w:val="0"/>
                    <w:snapToGrid w:val="0"/>
                    <w:spacing w:line="240" w:lineRule="auto"/>
                    <w:jc w:val="center"/>
                    <w:rPr>
                      <w:rFonts w:hint="eastAsia" w:ascii="宋体" w:hAnsi="宋体" w:eastAsia="宋体"/>
                      <w:color w:val="auto"/>
                      <w:sz w:val="21"/>
                      <w:szCs w:val="21"/>
                      <w:u w:val="none"/>
                      <w:lang w:val="en-US" w:eastAsia="zh-CN"/>
                    </w:rPr>
                  </w:pPr>
                  <w:r>
                    <w:rPr>
                      <w:rFonts w:hint="eastAsia" w:ascii="宋体" w:hAnsi="宋体"/>
                      <w:color w:val="auto"/>
                      <w:sz w:val="21"/>
                      <w:szCs w:val="21"/>
                      <w:u w:val="none"/>
                      <w:lang w:val="en-US" w:eastAsia="zh-CN"/>
                    </w:rPr>
                    <w:t>80</w:t>
                  </w:r>
                </w:p>
              </w:tc>
            </w:tr>
            <w:tr w14:paraId="541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3480" w:type="dxa"/>
                  <w:vAlign w:val="center"/>
                </w:tcPr>
                <w:p w14:paraId="1877269D">
                  <w:pPr>
                    <w:adjustRightInd w:val="0"/>
                    <w:snapToGrid w:val="0"/>
                    <w:spacing w:line="240" w:lineRule="auto"/>
                    <w:jc w:val="center"/>
                    <w:rPr>
                      <w:rFonts w:hint="eastAsia" w:ascii="宋体" w:hAnsi="宋体" w:eastAsia="宋体"/>
                      <w:color w:val="auto"/>
                      <w:sz w:val="21"/>
                      <w:szCs w:val="21"/>
                      <w:u w:val="none"/>
                      <w:lang w:eastAsia="zh-CN"/>
                    </w:rPr>
                  </w:pPr>
                  <w:r>
                    <w:rPr>
                      <w:rFonts w:hint="eastAsia" w:ascii="宋体" w:hAnsi="宋体"/>
                      <w:color w:val="auto"/>
                      <w:sz w:val="21"/>
                      <w:szCs w:val="21"/>
                      <w:u w:val="none"/>
                      <w:lang w:val="en-US" w:eastAsia="zh-CN"/>
                    </w:rPr>
                    <w:t>3</w:t>
                  </w:r>
                </w:p>
              </w:tc>
              <w:tc>
                <w:tcPr>
                  <w:tcW w:w="2876" w:type="dxa"/>
                  <w:vAlign w:val="center"/>
                </w:tcPr>
                <w:p w14:paraId="44DCA8B8">
                  <w:pPr>
                    <w:adjustRightInd w:val="0"/>
                    <w:snapToGrid w:val="0"/>
                    <w:spacing w:line="240" w:lineRule="auto"/>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铲车</w:t>
                  </w:r>
                </w:p>
              </w:tc>
              <w:tc>
                <w:tcPr>
                  <w:tcW w:w="2705" w:type="dxa"/>
                  <w:vAlign w:val="center"/>
                </w:tcPr>
                <w:p w14:paraId="7629DE01">
                  <w:pPr>
                    <w:adjustRightInd w:val="0"/>
                    <w:snapToGrid w:val="0"/>
                    <w:spacing w:line="240" w:lineRule="auto"/>
                    <w:jc w:val="center"/>
                    <w:rPr>
                      <w:rFonts w:hint="eastAsia" w:ascii="宋体" w:hAnsi="宋体" w:eastAsia="宋体"/>
                      <w:color w:val="auto"/>
                      <w:sz w:val="21"/>
                      <w:szCs w:val="21"/>
                      <w:u w:val="none"/>
                      <w:lang w:val="en-US" w:eastAsia="zh-CN"/>
                    </w:rPr>
                  </w:pPr>
                  <w:r>
                    <w:rPr>
                      <w:rFonts w:hint="eastAsia" w:ascii="宋体" w:hAnsi="宋体"/>
                      <w:color w:val="auto"/>
                      <w:sz w:val="21"/>
                      <w:szCs w:val="21"/>
                      <w:u w:val="none"/>
                      <w:lang w:val="en-US" w:eastAsia="zh-CN"/>
                    </w:rPr>
                    <w:t>90</w:t>
                  </w:r>
                </w:p>
              </w:tc>
            </w:tr>
          </w:tbl>
          <w:p w14:paraId="4C2EFF4A">
            <w:pPr>
              <w:numPr>
                <w:ilvl w:val="0"/>
                <w:numId w:val="0"/>
              </w:numPr>
              <w:spacing w:before="62" w:beforeLines="20" w:after="62" w:afterLines="20"/>
              <w:ind w:right="76" w:rightChars="36"/>
              <w:outlineLvl w:val="1"/>
              <w:rPr>
                <w:rFonts w:hint="eastAsia" w:ascii="Times New Roman" w:hAnsi="Times New Roman"/>
                <w:b/>
                <w:color w:val="auto"/>
                <w:sz w:val="24"/>
                <w:lang w:val="en-US" w:eastAsia="zh-CN"/>
              </w:rPr>
            </w:pPr>
            <w:r>
              <w:rPr>
                <w:rFonts w:hint="eastAsia" w:ascii="Times New Roman" w:hAnsi="Times New Roman"/>
                <w:b/>
                <w:color w:val="auto"/>
                <w:sz w:val="24"/>
                <w:lang w:val="en-US" w:eastAsia="zh-CN"/>
              </w:rPr>
              <w:t>4、固废</w:t>
            </w:r>
          </w:p>
          <w:p w14:paraId="686975B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项目施工期产生的固体废物主要为：建筑垃圾、施工人员生活垃圾。</w:t>
            </w:r>
          </w:p>
          <w:p w14:paraId="4E24FED7">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）开挖土石方</w:t>
            </w:r>
          </w:p>
          <w:p w14:paraId="45CE5882">
            <w:pPr>
              <w:spacing w:line="360" w:lineRule="auto"/>
              <w:ind w:firstLine="480" w:firstLineChars="200"/>
              <w:rPr>
                <w:rFonts w:hint="eastAsia" w:ascii="宋体" w:hAnsi="宋体" w:eastAsia="宋体" w:cs="宋体"/>
                <w:b w:val="0"/>
                <w:bCs/>
                <w:color w:val="auto"/>
                <w:sz w:val="24"/>
                <w:szCs w:val="28"/>
                <w:highlight w:val="none"/>
                <w:u w:val="none" w:color="auto"/>
                <w:lang w:eastAsia="zh-CN"/>
              </w:rPr>
            </w:pPr>
            <w:r>
              <w:rPr>
                <w:rFonts w:hint="eastAsia" w:ascii="宋体" w:hAnsi="宋体" w:eastAsia="宋体" w:cs="宋体"/>
                <w:b w:val="0"/>
                <w:bCs/>
                <w:color w:val="auto"/>
                <w:sz w:val="24"/>
                <w:szCs w:val="28"/>
                <w:highlight w:val="none"/>
                <w:u w:val="none" w:color="auto"/>
              </w:rPr>
              <w:t>本项目</w:t>
            </w:r>
            <w:r>
              <w:rPr>
                <w:rFonts w:hint="eastAsia" w:ascii="宋体" w:hAnsi="宋体" w:eastAsia="宋体" w:cs="宋体"/>
                <w:b w:val="0"/>
                <w:bCs/>
                <w:color w:val="auto"/>
                <w:sz w:val="24"/>
                <w:szCs w:val="28"/>
                <w:highlight w:val="none"/>
                <w:u w:val="none" w:color="auto"/>
                <w:lang w:eastAsia="zh-CN"/>
              </w:rPr>
              <w:t>需进行场地的平整、回填。产生的土方全部用于项目区周围低洼处的回填，无需外运处置。</w:t>
            </w:r>
          </w:p>
          <w:p w14:paraId="6E69E3C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）施工建筑垃圾</w:t>
            </w:r>
          </w:p>
          <w:p w14:paraId="557F359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根据业主介绍，项目在施工过程中会产生少量的建筑垃圾，约0.0</w:t>
            </w:r>
            <w:r>
              <w:rPr>
                <w:rFonts w:hint="eastAsia" w:ascii="宋体" w:hAnsi="宋体" w:eastAsia="宋体" w:cs="宋体"/>
                <w:color w:val="auto"/>
                <w:sz w:val="24"/>
                <w:lang w:val="en-US" w:eastAsia="zh-CN"/>
              </w:rPr>
              <w:t>5</w:t>
            </w:r>
            <w:r>
              <w:rPr>
                <w:rFonts w:hint="eastAsia" w:ascii="宋体" w:hAnsi="宋体" w:eastAsia="宋体" w:cs="宋体"/>
                <w:color w:val="auto"/>
                <w:sz w:val="24"/>
              </w:rPr>
              <w:t>t。施工建筑垃圾收集后清运至建筑管理部门指定堆放点，其中可再生利用部分回收出售给废品站，严禁随意丢弃。</w:t>
            </w:r>
          </w:p>
          <w:p w14:paraId="7A077F7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）施工人员生活垃圾</w:t>
            </w:r>
          </w:p>
          <w:p w14:paraId="483A7D3E">
            <w:pPr>
              <w:pStyle w:val="31"/>
              <w:spacing w:line="360" w:lineRule="auto"/>
              <w:rPr>
                <w:rFonts w:ascii="Times New Roman" w:hAnsi="Times New Roman"/>
                <w:b/>
                <w:color w:val="auto"/>
                <w:sz w:val="24"/>
              </w:rPr>
            </w:pPr>
            <w:r>
              <w:rPr>
                <w:rFonts w:hint="eastAsia" w:ascii="宋体" w:hAnsi="宋体" w:eastAsia="宋体" w:cs="宋体"/>
                <w:color w:val="auto"/>
              </w:rPr>
              <w:t>项目施工期平均施工人员约为</w:t>
            </w:r>
            <w:r>
              <w:rPr>
                <w:rFonts w:hint="eastAsia" w:ascii="宋体" w:hAnsi="宋体" w:eastAsia="宋体" w:cs="宋体"/>
                <w:color w:val="auto"/>
                <w:lang w:val="en-US" w:eastAsia="zh-CN"/>
              </w:rPr>
              <w:t>4</w:t>
            </w:r>
            <w:r>
              <w:rPr>
                <w:rFonts w:hint="eastAsia" w:ascii="宋体" w:hAnsi="宋体" w:eastAsia="宋体" w:cs="宋体"/>
                <w:color w:val="auto"/>
              </w:rPr>
              <w:t>人，由于施工人员不在施工现场食宿，施工人员生活垃圾产生量较小，产生量按每人每天0.</w:t>
            </w:r>
            <w:r>
              <w:rPr>
                <w:rFonts w:hint="eastAsia" w:ascii="宋体" w:hAnsi="宋体" w:eastAsia="宋体" w:cs="宋体"/>
                <w:color w:val="auto"/>
                <w:lang w:val="en-US" w:eastAsia="zh-CN"/>
              </w:rPr>
              <w:t>5</w:t>
            </w:r>
            <w:r>
              <w:rPr>
                <w:rFonts w:hint="eastAsia" w:ascii="宋体" w:hAnsi="宋体" w:eastAsia="宋体" w:cs="宋体"/>
                <w:color w:val="auto"/>
              </w:rPr>
              <w:t>kg计，则生活垃圾产生量为</w:t>
            </w:r>
            <w:r>
              <w:rPr>
                <w:rFonts w:hint="eastAsia" w:ascii="宋体" w:hAnsi="宋体" w:eastAsia="宋体" w:cs="宋体"/>
                <w:color w:val="auto"/>
                <w:lang w:val="en-US" w:eastAsia="zh-CN"/>
              </w:rPr>
              <w:t>2</w:t>
            </w:r>
            <w:r>
              <w:rPr>
                <w:rFonts w:hint="eastAsia" w:ascii="宋体" w:hAnsi="宋体" w:eastAsia="宋体" w:cs="宋体"/>
                <w:color w:val="auto"/>
              </w:rPr>
              <w:t>kg/d。施工人员生活垃圾</w:t>
            </w:r>
            <w:r>
              <w:rPr>
                <w:rFonts w:hint="eastAsia" w:ascii="宋体" w:hAnsi="宋体" w:eastAsia="宋体" w:cs="宋体"/>
                <w:bCs/>
                <w:color w:val="auto"/>
              </w:rPr>
              <w:t>集中收集后外运至垃圾堆放点由当地环卫部门清运</w:t>
            </w:r>
            <w:r>
              <w:rPr>
                <w:rFonts w:hint="eastAsia" w:ascii="宋体" w:hAnsi="宋体" w:eastAsia="宋体" w:cs="宋体"/>
                <w:color w:val="auto"/>
              </w:rPr>
              <w:t>。</w:t>
            </w:r>
          </w:p>
          <w:p w14:paraId="3864110E">
            <w:pPr>
              <w:numPr>
                <w:ilvl w:val="0"/>
                <w:numId w:val="0"/>
              </w:numPr>
              <w:spacing w:line="360" w:lineRule="auto"/>
              <w:rPr>
                <w:rFonts w:ascii="Times New Roman" w:hAnsi="Times New Roman"/>
                <w:b/>
                <w:color w:val="auto"/>
                <w:sz w:val="24"/>
              </w:rPr>
            </w:pPr>
            <w:r>
              <w:rPr>
                <w:rFonts w:hint="eastAsia" w:ascii="Times New Roman" w:hAnsi="Times New Roman"/>
                <w:b/>
                <w:color w:val="auto"/>
                <w:sz w:val="24"/>
                <w:lang w:eastAsia="zh-CN"/>
              </w:rPr>
              <w:t>三、</w:t>
            </w:r>
            <w:r>
              <w:rPr>
                <w:rFonts w:hint="eastAsia" w:ascii="Times New Roman" w:hAnsi="Times New Roman"/>
                <w:b/>
                <w:color w:val="auto"/>
                <w:sz w:val="24"/>
              </w:rPr>
              <w:t>运营期</w:t>
            </w:r>
            <w:r>
              <w:rPr>
                <w:rFonts w:ascii="Times New Roman" w:hAnsi="Times New Roman"/>
                <w:b/>
                <w:color w:val="auto"/>
                <w:sz w:val="24"/>
              </w:rPr>
              <w:t>工艺流程及产污环节简述(图示)</w:t>
            </w:r>
          </w:p>
          <w:p w14:paraId="0BF910CA">
            <w:pPr>
              <w:numPr>
                <w:ilvl w:val="0"/>
                <w:numId w:val="9"/>
              </w:numPr>
              <w:spacing w:line="360" w:lineRule="auto"/>
              <w:rPr>
                <w:rFonts w:hint="eastAsia" w:ascii="Times New Roman" w:hAnsi="Times New Roman"/>
                <w:b/>
                <w:color w:val="auto"/>
                <w:sz w:val="24"/>
              </w:rPr>
            </w:pPr>
            <w:r>
              <w:rPr>
                <w:rFonts w:hint="eastAsia" w:ascii="Times New Roman" w:hAnsi="Times New Roman"/>
                <w:b/>
                <w:color w:val="auto"/>
                <w:sz w:val="24"/>
                <w:lang w:eastAsia="zh-CN"/>
              </w:rPr>
              <w:t>红碎茶（</w:t>
            </w:r>
            <w:r>
              <w:rPr>
                <w:rFonts w:hint="eastAsia" w:ascii="Times New Roman" w:hAnsi="Times New Roman"/>
                <w:b/>
                <w:color w:val="auto"/>
                <w:sz w:val="24"/>
                <w:lang w:val="en-US" w:eastAsia="zh-CN"/>
              </w:rPr>
              <w:t>CTC</w:t>
            </w:r>
            <w:r>
              <w:rPr>
                <w:rFonts w:hint="eastAsia" w:ascii="Times New Roman" w:hAnsi="Times New Roman"/>
                <w:b/>
                <w:color w:val="auto"/>
                <w:sz w:val="24"/>
                <w:lang w:eastAsia="zh-CN"/>
              </w:rPr>
              <w:t>）加工生产线</w:t>
            </w:r>
            <w:r>
              <w:rPr>
                <w:rFonts w:hint="eastAsia" w:ascii="Times New Roman" w:hAnsi="Times New Roman"/>
                <w:b/>
                <w:color w:val="auto"/>
                <w:sz w:val="24"/>
              </w:rPr>
              <w:t>工艺流程</w:t>
            </w:r>
            <w:r>
              <w:rPr>
                <w:rFonts w:hint="eastAsia" w:ascii="Times New Roman" w:hAnsi="Times New Roman"/>
                <w:b/>
                <w:color w:val="auto"/>
                <w:sz w:val="24"/>
                <w:lang w:eastAsia="zh-CN"/>
              </w:rPr>
              <w:t>（图示）</w:t>
            </w:r>
          </w:p>
          <w:p w14:paraId="0300F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imes New Roman" w:hAnsi="Times New Roman"/>
                <w:b w:val="0"/>
                <w:bCs/>
                <w:color w:val="auto"/>
                <w:sz w:val="24"/>
              </w:rPr>
            </w:pPr>
            <w:r>
              <w:rPr>
                <w:rFonts w:hint="eastAsia" w:ascii="Times New Roman" w:hAnsi="Times New Roman"/>
                <w:b w:val="0"/>
                <w:bCs/>
                <w:color w:val="auto"/>
                <w:sz w:val="24"/>
              </w:rPr>
              <w:t>红</w:t>
            </w:r>
            <w:r>
              <w:rPr>
                <w:rFonts w:hint="eastAsia" w:ascii="Times New Roman" w:hAnsi="Times New Roman"/>
                <w:b w:val="0"/>
                <w:bCs/>
                <w:color w:val="auto"/>
                <w:sz w:val="24"/>
                <w:lang w:eastAsia="zh-CN"/>
              </w:rPr>
              <w:t>碎</w:t>
            </w:r>
            <w:r>
              <w:rPr>
                <w:rFonts w:hint="eastAsia" w:ascii="Times New Roman" w:hAnsi="Times New Roman"/>
                <w:b w:val="0"/>
                <w:bCs/>
                <w:color w:val="auto"/>
                <w:sz w:val="24"/>
              </w:rPr>
              <w:t>茶加工生产线是利用采购的新鲜茶叶采用多层工序对鲜叶进行加工生产，其主要加工工序包括</w:t>
            </w:r>
            <w:r>
              <w:rPr>
                <w:rFonts w:hint="eastAsia" w:ascii="Times New Roman" w:hAnsi="Times New Roman"/>
                <w:b w:val="0"/>
                <w:bCs/>
                <w:color w:val="auto"/>
                <w:sz w:val="24"/>
                <w:lang w:eastAsia="zh-CN"/>
              </w:rPr>
              <w:t>揉切</w:t>
            </w:r>
            <w:r>
              <w:rPr>
                <w:rFonts w:hint="eastAsia" w:ascii="Times New Roman" w:hAnsi="Times New Roman"/>
                <w:b w:val="0"/>
                <w:bCs/>
                <w:color w:val="auto"/>
                <w:sz w:val="24"/>
              </w:rPr>
              <w:t>、</w:t>
            </w:r>
            <w:r>
              <w:rPr>
                <w:rFonts w:hint="eastAsia" w:ascii="Times New Roman" w:hAnsi="Times New Roman"/>
                <w:b w:val="0"/>
                <w:bCs/>
                <w:color w:val="auto"/>
                <w:sz w:val="24"/>
                <w:lang w:eastAsia="zh-CN"/>
              </w:rPr>
              <w:t>发酵</w:t>
            </w:r>
            <w:r>
              <w:rPr>
                <w:rFonts w:hint="eastAsia" w:ascii="Times New Roman" w:hAnsi="Times New Roman"/>
                <w:b w:val="0"/>
                <w:bCs/>
                <w:color w:val="auto"/>
                <w:sz w:val="24"/>
              </w:rPr>
              <w:t>、</w:t>
            </w:r>
            <w:r>
              <w:rPr>
                <w:rFonts w:hint="eastAsia" w:ascii="Times New Roman" w:hAnsi="Times New Roman"/>
                <w:b w:val="0"/>
                <w:bCs/>
                <w:color w:val="auto"/>
                <w:sz w:val="24"/>
                <w:lang w:eastAsia="zh-CN"/>
              </w:rPr>
              <w:t>烘干</w:t>
            </w:r>
            <w:r>
              <w:rPr>
                <w:rFonts w:hint="eastAsia" w:ascii="Times New Roman" w:hAnsi="Times New Roman"/>
                <w:b w:val="0"/>
                <w:bCs/>
                <w:color w:val="auto"/>
                <w:sz w:val="24"/>
              </w:rPr>
              <w:t>、</w:t>
            </w:r>
            <w:r>
              <w:rPr>
                <w:rFonts w:hint="eastAsia" w:ascii="Times New Roman" w:hAnsi="Times New Roman"/>
                <w:b w:val="0"/>
                <w:bCs/>
                <w:color w:val="auto"/>
                <w:sz w:val="24"/>
                <w:lang w:eastAsia="zh-CN"/>
              </w:rPr>
              <w:t>筛分、拣梗</w:t>
            </w:r>
            <w:r>
              <w:rPr>
                <w:rFonts w:hint="eastAsia" w:ascii="Times New Roman" w:hAnsi="Times New Roman"/>
                <w:b w:val="0"/>
                <w:bCs/>
                <w:color w:val="auto"/>
                <w:sz w:val="24"/>
              </w:rPr>
              <w:t>、</w:t>
            </w:r>
            <w:r>
              <w:rPr>
                <w:rFonts w:hint="eastAsia" w:ascii="Times New Roman" w:hAnsi="Times New Roman"/>
                <w:b w:val="0"/>
                <w:bCs/>
                <w:color w:val="auto"/>
                <w:sz w:val="24"/>
                <w:lang w:eastAsia="zh-CN"/>
              </w:rPr>
              <w:t>包装入库</w:t>
            </w:r>
            <w:r>
              <w:rPr>
                <w:rFonts w:hint="eastAsia" w:ascii="Times New Roman" w:hAnsi="Times New Roman"/>
                <w:b w:val="0"/>
                <w:bCs/>
                <w:color w:val="auto"/>
                <w:sz w:val="24"/>
              </w:rPr>
              <w:t>等工序，具体流程如下：</w:t>
            </w:r>
          </w:p>
          <w:p w14:paraId="16AFE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
                <w:color w:val="auto"/>
                <w:sz w:val="24"/>
              </w:rPr>
            </w:pPr>
            <w:r>
              <w:rPr>
                <w:rFonts w:ascii="Times New Roman" w:hAnsi="Times New Roman"/>
                <w:color w:val="auto"/>
                <w:sz w:val="24"/>
              </w:rPr>
              <mc:AlternateContent>
                <mc:Choice Requires="wps">
                  <w:drawing>
                    <wp:anchor distT="0" distB="0" distL="114300" distR="114300" simplePos="0" relativeHeight="251701248" behindDoc="0" locked="0" layoutInCell="1" allowOverlap="1">
                      <wp:simplePos x="0" y="0"/>
                      <wp:positionH relativeFrom="column">
                        <wp:posOffset>3808730</wp:posOffset>
                      </wp:positionH>
                      <wp:positionV relativeFrom="paragraph">
                        <wp:posOffset>278765</wp:posOffset>
                      </wp:positionV>
                      <wp:extent cx="612140" cy="27622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612140" cy="276225"/>
                              </a:xfrm>
                              <a:prstGeom prst="rect">
                                <a:avLst/>
                              </a:prstGeom>
                              <a:noFill/>
                              <a:ln w="9525">
                                <a:noFill/>
                              </a:ln>
                            </wps:spPr>
                            <wps:txbx>
                              <w:txbxContent>
                                <w:p w14:paraId="4508C672">
                                  <w:pPr>
                                    <w:rPr>
                                      <w:rFonts w:hint="eastAsia" w:eastAsia="宋体"/>
                                      <w:lang w:eastAsia="zh-CN"/>
                                    </w:rPr>
                                  </w:pPr>
                                  <w:r>
                                    <w:rPr>
                                      <w:rFonts w:hint="eastAsia"/>
                                      <w:lang w:eastAsia="zh-CN"/>
                                    </w:rPr>
                                    <w:t>粉尘</w:t>
                                  </w:r>
                                </w:p>
                              </w:txbxContent>
                            </wps:txbx>
                            <wps:bodyPr lIns="91439" tIns="45719" rIns="91439" bIns="45719" upright="1"/>
                          </wps:wsp>
                        </a:graphicData>
                      </a:graphic>
                    </wp:anchor>
                  </w:drawing>
                </mc:Choice>
                <mc:Fallback>
                  <w:pict>
                    <v:shape id="_x0000_s1026" o:spid="_x0000_s1026" o:spt="202" type="#_x0000_t202" style="position:absolute;left:0pt;margin-left:299.9pt;margin-top:21.95pt;height:21.75pt;width:48.2pt;z-index:251701248;mso-width-relative:page;mso-height-relative:page;" filled="f" stroked="f" coordsize="21600,21600" o:gfxdata="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kvPzHZAAAACQEAAA8AAAAAAAAAAQAgAAAAIgAAAGRy&#10;cy9kb3ducmV2LnhtbFBLAQIUABQAAAAIAIdO4kDMafFAywEAAIwDAAAOAAAAAAAAAAEAIAAAACgB&#10;AABkcnMvZTJvRG9jLnhtbFBLBQYAAAAABgAGAFkBAABlBQAAAAA=&#10;">
                      <v:fill on="f" focussize="0,0"/>
                      <v:stroke on="f"/>
                      <v:imagedata o:title=""/>
                      <o:lock v:ext="edit" aspectratio="f"/>
                      <v:textbox inset="7.19992125984252pt,3.59992125984252pt,7.19992125984252pt,3.59992125984252pt">
                        <w:txbxContent>
                          <w:p w14:paraId="4508C672">
                            <w:pPr>
                              <w:rPr>
                                <w:rFonts w:hint="eastAsia" w:eastAsia="宋体"/>
                                <w:lang w:eastAsia="zh-CN"/>
                              </w:rPr>
                            </w:pPr>
                            <w:r>
                              <w:rPr>
                                <w:rFonts w:hint="eastAsia"/>
                                <w:lang w:eastAsia="zh-CN"/>
                              </w:rPr>
                              <w:t>粉尘</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93056" behindDoc="0" locked="0" layoutInCell="1" allowOverlap="1">
                      <wp:simplePos x="0" y="0"/>
                      <wp:positionH relativeFrom="column">
                        <wp:posOffset>2865755</wp:posOffset>
                      </wp:positionH>
                      <wp:positionV relativeFrom="paragraph">
                        <wp:posOffset>278765</wp:posOffset>
                      </wp:positionV>
                      <wp:extent cx="849630" cy="27622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849630" cy="276225"/>
                              </a:xfrm>
                              <a:prstGeom prst="rect">
                                <a:avLst/>
                              </a:prstGeom>
                              <a:noFill/>
                              <a:ln w="9525">
                                <a:noFill/>
                              </a:ln>
                            </wps:spPr>
                            <wps:txbx>
                              <w:txbxContent>
                                <w:p w14:paraId="516ACF20">
                                  <w:pPr>
                                    <w:rPr>
                                      <w:rFonts w:hint="eastAsia" w:eastAsia="宋体"/>
                                      <w:lang w:eastAsia="zh-CN"/>
                                    </w:rPr>
                                  </w:pPr>
                                  <w:r>
                                    <w:rPr>
                                      <w:rFonts w:hint="eastAsia"/>
                                      <w:lang w:eastAsia="zh-CN"/>
                                    </w:rPr>
                                    <w:t>噪声、粉尘</w:t>
                                  </w:r>
                                </w:p>
                              </w:txbxContent>
                            </wps:txbx>
                            <wps:bodyPr lIns="91439" tIns="45719" rIns="91439" bIns="45719" upright="1"/>
                          </wps:wsp>
                        </a:graphicData>
                      </a:graphic>
                    </wp:anchor>
                  </w:drawing>
                </mc:Choice>
                <mc:Fallback>
                  <w:pict>
                    <v:shape id="_x0000_s1026" o:spid="_x0000_s1026" o:spt="202" type="#_x0000_t202" style="position:absolute;left:0pt;margin-left:225.65pt;margin-top:21.95pt;height:21.75pt;width:66.9pt;z-index:251693056;mso-width-relative:page;mso-height-relative:page;" filled="f" stroked="f" coordsize="21600,21600" o:gfxdata="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lv1K2AAAAAkBAAAPAAAAAAAAAAEAIAAAACIAAABk&#10;cnMvZG93bnJldi54bWxQSwECFAAUAAAACACHTuJA/dcjoM0BAACMAwAADgAAAAAAAAABACAAAAAn&#10;AQAAZHJzL2Uyb0RvYy54bWxQSwUGAAAAAAYABgBZAQAAZgUAAAAA&#10;">
                      <v:fill on="f" focussize="0,0"/>
                      <v:stroke on="f"/>
                      <v:imagedata o:title=""/>
                      <o:lock v:ext="edit" aspectratio="f"/>
                      <v:textbox inset="7.19992125984252pt,3.59992125984252pt,7.19992125984252pt,3.59992125984252pt">
                        <w:txbxContent>
                          <w:p w14:paraId="516ACF20">
                            <w:pPr>
                              <w:rPr>
                                <w:rFonts w:hint="eastAsia" w:eastAsia="宋体"/>
                                <w:lang w:eastAsia="zh-CN"/>
                              </w:rPr>
                            </w:pPr>
                            <w:r>
                              <w:rPr>
                                <w:rFonts w:hint="eastAsia"/>
                                <w:lang w:eastAsia="zh-CN"/>
                              </w:rPr>
                              <w:t>噪声、粉尘</w:t>
                            </w:r>
                          </w:p>
                        </w:txbxContent>
                      </v:textbox>
                    </v:shape>
                  </w:pict>
                </mc:Fallback>
              </mc:AlternateContent>
            </w:r>
          </w:p>
          <w:p w14:paraId="60DBC8E6">
            <w:pPr>
              <w:spacing w:line="360" w:lineRule="auto"/>
              <w:rPr>
                <w:rFonts w:hint="eastAsia" w:ascii="Times New Roman" w:hAnsi="Times New Roman"/>
                <w:b/>
                <w:color w:val="auto"/>
                <w:sz w:val="24"/>
              </w:rPr>
            </w:pPr>
            <w:r>
              <w:rPr>
                <w:rFonts w:ascii="Times New Roman" w:hAnsi="Times New Roman"/>
                <w:color w:val="auto"/>
                <w:sz w:val="24"/>
              </w:rPr>
              <mc:AlternateContent>
                <mc:Choice Requires="wps">
                  <w:drawing>
                    <wp:anchor distT="0" distB="0" distL="114300" distR="114300" simplePos="0" relativeHeight="251706368" behindDoc="0" locked="0" layoutInCell="1" allowOverlap="1">
                      <wp:simplePos x="0" y="0"/>
                      <wp:positionH relativeFrom="column">
                        <wp:posOffset>4465955</wp:posOffset>
                      </wp:positionH>
                      <wp:positionV relativeFrom="paragraph">
                        <wp:posOffset>19685</wp:posOffset>
                      </wp:positionV>
                      <wp:extent cx="782955" cy="27622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782955" cy="276225"/>
                              </a:xfrm>
                              <a:prstGeom prst="rect">
                                <a:avLst/>
                              </a:prstGeom>
                              <a:noFill/>
                              <a:ln w="9525">
                                <a:noFill/>
                              </a:ln>
                            </wps:spPr>
                            <wps:txbx>
                              <w:txbxContent>
                                <w:p w14:paraId="3ECC6771">
                                  <w:pPr>
                                    <w:rPr>
                                      <w:rFonts w:hint="eastAsia" w:eastAsia="宋体"/>
                                      <w:lang w:eastAsia="zh-CN"/>
                                    </w:rPr>
                                  </w:pPr>
                                  <w:r>
                                    <w:rPr>
                                      <w:rFonts w:hint="eastAsia"/>
                                      <w:lang w:eastAsia="zh-CN"/>
                                    </w:rPr>
                                    <w:t>茶梗、粉尘</w:t>
                                  </w:r>
                                </w:p>
                              </w:txbxContent>
                            </wps:txbx>
                            <wps:bodyPr lIns="91439" tIns="45719" rIns="91439" bIns="45719" upright="1"/>
                          </wps:wsp>
                        </a:graphicData>
                      </a:graphic>
                    </wp:anchor>
                  </w:drawing>
                </mc:Choice>
                <mc:Fallback>
                  <w:pict>
                    <v:shape id="_x0000_s1026" o:spid="_x0000_s1026" o:spt="202" type="#_x0000_t202" style="position:absolute;left:0pt;margin-left:351.65pt;margin-top:1.55pt;height:21.75pt;width:61.65pt;z-index:251706368;mso-width-relative:page;mso-height-relative:page;" filled="f" stroked="f" coordsize="21600,21600" o:gfxdata="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z2aRfXAAAACAEAAA8AAAAAAAAAAQAgAAAAIgAAAGRy&#10;cy9kb3ducmV2LnhtbFBLAQIUABQAAAAIAIdO4kCUJZlPzQEAAIwDAAAOAAAAAAAAAAEAIAAAACYB&#10;AABkcnMvZTJvRG9jLnhtbFBLBQYAAAAABgAGAFkBAABlBQAAAAA=&#10;">
                      <v:fill on="f" focussize="0,0"/>
                      <v:stroke on="f"/>
                      <v:imagedata o:title=""/>
                      <o:lock v:ext="edit" aspectratio="f"/>
                      <v:textbox inset="7.19992125984252pt,3.59992125984252pt,7.19992125984252pt,3.59992125984252pt">
                        <w:txbxContent>
                          <w:p w14:paraId="3ECC6771">
                            <w:pPr>
                              <w:rPr>
                                <w:rFonts w:hint="eastAsia" w:eastAsia="宋体"/>
                                <w:lang w:eastAsia="zh-CN"/>
                              </w:rPr>
                            </w:pPr>
                            <w:r>
                              <w:rPr>
                                <w:rFonts w:hint="eastAsia"/>
                                <w:lang w:eastAsia="zh-CN"/>
                              </w:rPr>
                              <w:t>茶梗、粉尘</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68480" behindDoc="0" locked="0" layoutInCell="1" allowOverlap="1">
                      <wp:simplePos x="0" y="0"/>
                      <wp:positionH relativeFrom="column">
                        <wp:posOffset>2332355</wp:posOffset>
                      </wp:positionH>
                      <wp:positionV relativeFrom="paragraph">
                        <wp:posOffset>10160</wp:posOffset>
                      </wp:positionV>
                      <wp:extent cx="526415" cy="27622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526415" cy="276225"/>
                              </a:xfrm>
                              <a:prstGeom prst="rect">
                                <a:avLst/>
                              </a:prstGeom>
                              <a:noFill/>
                              <a:ln w="9525">
                                <a:noFill/>
                              </a:ln>
                            </wps:spPr>
                            <wps:txbx>
                              <w:txbxContent>
                                <w:p w14:paraId="7281189B">
                                  <w:pPr>
                                    <w:rPr>
                                      <w:rFonts w:hint="eastAsia" w:eastAsia="宋体"/>
                                      <w:lang w:eastAsia="zh-CN"/>
                                    </w:rPr>
                                  </w:pPr>
                                  <w:r>
                                    <w:rPr>
                                      <w:rFonts w:hint="eastAsia"/>
                                      <w:lang w:eastAsia="zh-CN"/>
                                    </w:rPr>
                                    <w:t>茶香</w:t>
                                  </w:r>
                                </w:p>
                              </w:txbxContent>
                            </wps:txbx>
                            <wps:bodyPr lIns="91439" tIns="45719" rIns="91439" bIns="45719" upright="1"/>
                          </wps:wsp>
                        </a:graphicData>
                      </a:graphic>
                    </wp:anchor>
                  </w:drawing>
                </mc:Choice>
                <mc:Fallback>
                  <w:pict>
                    <v:shape id="_x0000_s1026" o:spid="_x0000_s1026" o:spt="202" type="#_x0000_t202" style="position:absolute;left:0pt;margin-left:183.65pt;margin-top:0.8pt;height:21.75pt;width:41.45pt;z-index:251668480;mso-width-relative:page;mso-height-relative:page;" filled="f" stroked="f" coordsize="21600,21600" o:gfxdata="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7HQ2NYAAAAIAQAADwAAAAAAAAABACAAAAAiAAAAZHJz&#10;L2Rvd25yZXYueG1sUEsBAhQAFAAAAAgAh07iQAHYLk7NAQAAjAMAAA4AAAAAAAAAAQAgAAAAJQEA&#10;AGRycy9lMm9Eb2MueG1sUEsFBgAAAAAGAAYAWQEAAGQFAAAAAA==&#10;">
                      <v:fill on="f" focussize="0,0"/>
                      <v:stroke on="f"/>
                      <v:imagedata o:title=""/>
                      <o:lock v:ext="edit" aspectratio="f"/>
                      <v:textbox inset="7.19992125984252pt,3.59992125984252pt,7.19992125984252pt,3.59992125984252pt">
                        <w:txbxContent>
                          <w:p w14:paraId="7281189B">
                            <w:pPr>
                              <w:rPr>
                                <w:rFonts w:hint="eastAsia" w:eastAsia="宋体"/>
                                <w:lang w:eastAsia="zh-CN"/>
                              </w:rPr>
                            </w:pPr>
                            <w:r>
                              <w:rPr>
                                <w:rFonts w:hint="eastAsia"/>
                                <w:lang w:eastAsia="zh-CN"/>
                              </w:rPr>
                              <w:t>茶香</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67456" behindDoc="0" locked="0" layoutInCell="1" allowOverlap="1">
                      <wp:simplePos x="0" y="0"/>
                      <wp:positionH relativeFrom="column">
                        <wp:posOffset>2389505</wp:posOffset>
                      </wp:positionH>
                      <wp:positionV relativeFrom="paragraph">
                        <wp:posOffset>325755</wp:posOffset>
                      </wp:positionV>
                      <wp:extent cx="195580" cy="81915"/>
                      <wp:effectExtent l="5080" t="0" r="27305" b="13970"/>
                      <wp:wrapNone/>
                      <wp:docPr id="40" name="曲线连接符 40"/>
                      <wp:cNvGraphicFramePr/>
                      <a:graphic xmlns:a="http://schemas.openxmlformats.org/drawingml/2006/main">
                        <a:graphicData uri="http://schemas.microsoft.com/office/word/2010/wordprocessingShape">
                          <wps:wsp>
                            <wps:cNvCnPr>
                              <a:stCxn id="34" idx="0"/>
                            </wps:cNvCnPr>
                            <wps:spPr>
                              <a:xfrm rot="-5400000">
                                <a:off x="0" y="0"/>
                                <a:ext cx="195580" cy="81915"/>
                              </a:xfrm>
                              <a:prstGeom prst="curvedConnector3">
                                <a:avLst>
                                  <a:gd name="adj1" fmla="val 49838"/>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188.15pt;margin-top:25.65pt;height:6.45pt;width:15.4pt;rotation:-5898240f;z-index:251667456;mso-width-relative:page;mso-height-relative:page;" filled="f" stroked="t" coordsize="21600,21600" o:gfxdata="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C4/BjXAAAACQEAAA8AAAAAAAAAAQAgAAAAIgAAAGRycy9kb3ducmV2&#10;LnhtbFBLAQIUABQAAAAIAIdO4kByxUZfNgIAAFAEAAAOAAAAAAAAAAEAIAAAACYBAABkcnMvZTJv&#10;RG9jLnhtbFBLBQYAAAAABgAGAFkBAADOBQAAAAA=&#10;" adj="10765">
                      <v:fill on="f" focussize="0,0"/>
                      <v:stroke color="#000000" joinstyle="round" endarrow="block"/>
                      <v:imagedata o:title=""/>
                      <o:lock v:ext="edit" aspectratio="f"/>
                    </v:shape>
                  </w:pict>
                </mc:Fallback>
              </mc:AlternateContent>
            </w:r>
            <w:r>
              <w:rPr>
                <w:rFonts w:ascii="Times New Roman" w:hAnsi="Times New Roman"/>
                <w:color w:val="auto"/>
                <w:sz w:val="24"/>
              </w:rPr>
              <mc:AlternateContent>
                <mc:Choice Requires="wps">
                  <w:drawing>
                    <wp:anchor distT="0" distB="0" distL="114300" distR="114300" simplePos="0" relativeHeight="251666432" behindDoc="0" locked="0" layoutInCell="1" allowOverlap="1">
                      <wp:simplePos x="0" y="0"/>
                      <wp:positionH relativeFrom="column">
                        <wp:posOffset>1280160</wp:posOffset>
                      </wp:positionH>
                      <wp:positionV relativeFrom="paragraph">
                        <wp:posOffset>14605</wp:posOffset>
                      </wp:positionV>
                      <wp:extent cx="864235" cy="276225"/>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864235" cy="276225"/>
                              </a:xfrm>
                              <a:prstGeom prst="rect">
                                <a:avLst/>
                              </a:prstGeom>
                              <a:noFill/>
                              <a:ln w="9525">
                                <a:noFill/>
                              </a:ln>
                            </wps:spPr>
                            <wps:txbx>
                              <w:txbxContent>
                                <w:p w14:paraId="7969930E">
                                  <w:pPr>
                                    <w:rPr>
                                      <w:rFonts w:hint="eastAsia" w:eastAsia="宋体"/>
                                      <w:lang w:eastAsia="zh-CN"/>
                                    </w:rPr>
                                  </w:pPr>
                                  <w:r>
                                    <w:rPr>
                                      <w:rFonts w:hint="eastAsia"/>
                                      <w:bCs/>
                                      <w:szCs w:val="21"/>
                                      <w:lang w:eastAsia="zh-CN"/>
                                    </w:rPr>
                                    <w:t>噪声、废气</w:t>
                                  </w:r>
                                </w:p>
                              </w:txbxContent>
                            </wps:txbx>
                            <wps:bodyPr lIns="91439" tIns="45719" rIns="91439" bIns="45719" upright="1"/>
                          </wps:wsp>
                        </a:graphicData>
                      </a:graphic>
                    </wp:anchor>
                  </w:drawing>
                </mc:Choice>
                <mc:Fallback>
                  <w:pict>
                    <v:shape id="_x0000_s1026" o:spid="_x0000_s1026" o:spt="202" type="#_x0000_t202" style="position:absolute;left:0pt;margin-left:100.8pt;margin-top:1.15pt;height:21.75pt;width:68.05pt;z-index:251666432;mso-width-relative:page;mso-height-relative:page;" filled="f" stroked="f" coordsize="21600,21600" o:gfxdata="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udei2AAAAAgBAAAPAAAAAAAAAAEAIAAAACIAAABk&#10;cnMvZG93bnJldi54bWxQSwECFAAUAAAACACHTuJAVpPRs80BAACMAwAADgAAAAAAAAABACAAAAAn&#10;AQAAZHJzL2Uyb0RvYy54bWxQSwUGAAAAAAYABgBZAQAAZgUAAAAA&#10;">
                      <v:fill on="f" focussize="0,0"/>
                      <v:stroke on="f"/>
                      <v:imagedata o:title=""/>
                      <o:lock v:ext="edit" aspectratio="f"/>
                      <v:textbox inset="7.19992125984252pt,3.59992125984252pt,7.19992125984252pt,3.59992125984252pt">
                        <w:txbxContent>
                          <w:p w14:paraId="7969930E">
                            <w:pPr>
                              <w:rPr>
                                <w:rFonts w:hint="eastAsia" w:eastAsia="宋体"/>
                                <w:lang w:eastAsia="zh-CN"/>
                              </w:rPr>
                            </w:pPr>
                            <w:r>
                              <w:rPr>
                                <w:rFonts w:hint="eastAsia"/>
                                <w:bCs/>
                                <w:szCs w:val="21"/>
                                <w:lang w:eastAsia="zh-CN"/>
                              </w:rPr>
                              <w:t>噪声、废气</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700224" behindDoc="0" locked="0" layoutInCell="1" allowOverlap="1">
                      <wp:simplePos x="0" y="0"/>
                      <wp:positionH relativeFrom="column">
                        <wp:posOffset>3933825</wp:posOffset>
                      </wp:positionH>
                      <wp:positionV relativeFrom="paragraph">
                        <wp:posOffset>302260</wp:posOffset>
                      </wp:positionV>
                      <wp:extent cx="161925" cy="85725"/>
                      <wp:effectExtent l="4445" t="0" r="24130" b="9525"/>
                      <wp:wrapNone/>
                      <wp:docPr id="39" name="曲线连接符 39"/>
                      <wp:cNvGraphicFramePr/>
                      <a:graphic xmlns:a="http://schemas.openxmlformats.org/drawingml/2006/main">
                        <a:graphicData uri="http://schemas.microsoft.com/office/word/2010/wordprocessingShape">
                          <wps:wsp>
                            <wps:cNvCnPr>
                              <a:stCxn id="34" idx="0"/>
                            </wps:cNvCnPr>
                            <wps:spPr>
                              <a:xfrm rot="-5400000">
                                <a:off x="0" y="0"/>
                                <a:ext cx="161925" cy="85725"/>
                              </a:xfrm>
                              <a:prstGeom prst="curvedConnector3">
                                <a:avLst>
                                  <a:gd name="adj1" fmla="val 49806"/>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309.75pt;margin-top:23.8pt;height:6.75pt;width:12.75pt;rotation:-5898240f;z-index:251700224;mso-width-relative:page;mso-height-relative:page;" filled="f" stroked="t" coordsize="21600,21600" o:gfxdata="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5/e81gAAAAkBAAAPAAAAAAAAAAEAIAAAACIAAABkcnMvZG93bnJldi54&#10;bWxQSwECFAAUAAAACACHTuJAOp8NxzUCAABQBAAADgAAAAAAAAABACAAAAAlAQAAZHJzL2Uyb0Rv&#10;Yy54bWxQSwUGAAAAAAYABgBZAQAAzAUAAAAA&#10;" adj="10758">
                      <v:fill on="f" focussize="0,0"/>
                      <v:stroke color="#000000" joinstyle="round" endarrow="block"/>
                      <v:imagedata o:title=""/>
                      <o:lock v:ext="edit" aspectratio="f"/>
                    </v:shape>
                  </w:pict>
                </mc:Fallback>
              </mc:AlternateContent>
            </w:r>
            <w:r>
              <w:rPr>
                <w:rFonts w:ascii="Times New Roman" w:hAnsi="Times New Roman"/>
                <w:color w:val="auto"/>
                <w:sz w:val="24"/>
              </w:rPr>
              <mc:AlternateContent>
                <mc:Choice Requires="wps">
                  <w:drawing>
                    <wp:anchor distT="0" distB="0" distL="114300" distR="114300" simplePos="0" relativeHeight="251692032" behindDoc="0" locked="0" layoutInCell="1" allowOverlap="1">
                      <wp:simplePos x="0" y="0"/>
                      <wp:positionH relativeFrom="column">
                        <wp:posOffset>3133725</wp:posOffset>
                      </wp:positionH>
                      <wp:positionV relativeFrom="paragraph">
                        <wp:posOffset>321310</wp:posOffset>
                      </wp:positionV>
                      <wp:extent cx="161925" cy="85725"/>
                      <wp:effectExtent l="4445" t="0" r="24130" b="9525"/>
                      <wp:wrapNone/>
                      <wp:docPr id="43" name="曲线连接符 43"/>
                      <wp:cNvGraphicFramePr/>
                      <a:graphic xmlns:a="http://schemas.openxmlformats.org/drawingml/2006/main">
                        <a:graphicData uri="http://schemas.microsoft.com/office/word/2010/wordprocessingShape">
                          <wps:wsp>
                            <wps:cNvCnPr>
                              <a:stCxn id="34" idx="0"/>
                            </wps:cNvCnPr>
                            <wps:spPr>
                              <a:xfrm rot="-5400000">
                                <a:off x="0" y="0"/>
                                <a:ext cx="161925" cy="85725"/>
                              </a:xfrm>
                              <a:prstGeom prst="curvedConnector3">
                                <a:avLst>
                                  <a:gd name="adj1" fmla="val 49806"/>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246.75pt;margin-top:25.3pt;height:6.75pt;width:12.75pt;rotation:-5898240f;z-index:251692032;mso-width-relative:page;mso-height-relative:page;" filled="f" stroked="t" coordsize="21600,21600" o:gfxdata="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64JBP1gAAAAkBAAAPAAAAAAAAAAEAIAAAACIAAABkcnMvZG93bnJldi54&#10;bWxQSwECFAAUAAAACACHTuJAeleYeDUCAABQBAAADgAAAAAAAAABACAAAAAlAQAAZHJzL2Uyb0Rv&#10;Yy54bWxQSwUGAAAAAAYABgBZAQAAzAUAAAAA&#10;" adj="10758">
                      <v:fill on="f" focussize="0,0"/>
                      <v:stroke color="#000000" joinstyle="round" endarrow="block"/>
                      <v:imagedata o:title=""/>
                      <o:lock v:ext="edit" aspectratio="f"/>
                    </v:shape>
                  </w:pict>
                </mc:Fallback>
              </mc:AlternateContent>
            </w:r>
          </w:p>
          <w:p w14:paraId="0580A099">
            <w:pPr>
              <w:spacing w:line="360" w:lineRule="auto"/>
              <w:rPr>
                <w:rFonts w:hint="eastAsia" w:ascii="Times New Roman" w:hAnsi="Times New Roman"/>
                <w:b/>
                <w:color w:val="auto"/>
                <w:sz w:val="24"/>
              </w:rPr>
            </w:pPr>
            <w:r>
              <w:rPr>
                <w:rFonts w:ascii="Times New Roman" w:hAnsi="Times New Roman"/>
                <w:color w:val="auto"/>
                <w:sz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148590</wp:posOffset>
                      </wp:positionV>
                      <wp:extent cx="494030" cy="30226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494030" cy="302260"/>
                              </a:xfrm>
                              <a:prstGeom prst="rect">
                                <a:avLst/>
                              </a:prstGeom>
                              <a:noFill/>
                              <a:ln w="9525">
                                <a:noFill/>
                              </a:ln>
                            </wps:spPr>
                            <wps:txbx>
                              <w:txbxContent>
                                <w:p w14:paraId="479B1103">
                                  <w:pPr>
                                    <w:rPr>
                                      <w:rFonts w:hint="eastAsia" w:eastAsia="宋体"/>
                                      <w:lang w:eastAsia="zh-CN"/>
                                    </w:rPr>
                                  </w:pPr>
                                  <w:r>
                                    <w:rPr>
                                      <w:rFonts w:hint="eastAsia"/>
                                      <w:lang w:eastAsia="zh-CN"/>
                                    </w:rPr>
                                    <w:t>鲜叶</w:t>
                                  </w:r>
                                </w:p>
                              </w:txbxContent>
                            </wps:txbx>
                            <wps:bodyPr upright="1"/>
                          </wps:wsp>
                        </a:graphicData>
                      </a:graphic>
                    </wp:anchor>
                  </w:drawing>
                </mc:Choice>
                <mc:Fallback>
                  <w:pict>
                    <v:shape id="_x0000_s1026" o:spid="_x0000_s1026" o:spt="202" type="#_x0000_t202" style="position:absolute;left:0pt;margin-left:47.25pt;margin-top:11.7pt;height:23.8pt;width:38.9pt;z-index:251661312;mso-width-relative:page;mso-height-relative:page;" filled="f" stroked="f" coordsize="21600,21600" o:gfxdata="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jQOi/WAAAACAEAAA8AAAAAAAAAAQAgAAAAIgAAAGRycy9kb3ducmV2LnhtbFBLAQIUABQAAAAI&#10;AIdO4kDXP7oktgEAAFgDAAAOAAAAAAAAAAEAIAAAACUBAABkcnMvZTJvRG9jLnhtbFBLBQYAAAAA&#10;BgAGAFkBAABNBQAAAAA=&#10;">
                      <v:fill on="f" focussize="0,0"/>
                      <v:stroke on="f"/>
                      <v:imagedata o:title=""/>
                      <o:lock v:ext="edit" aspectratio="f"/>
                      <v:textbox>
                        <w:txbxContent>
                          <w:p w14:paraId="479B1103">
                            <w:pPr>
                              <w:rPr>
                                <w:rFonts w:hint="eastAsia" w:eastAsia="宋体"/>
                                <w:lang w:eastAsia="zh-CN"/>
                              </w:rPr>
                            </w:pPr>
                            <w:r>
                              <w:rPr>
                                <w:rFonts w:hint="eastAsia"/>
                                <w:lang w:eastAsia="zh-CN"/>
                              </w:rPr>
                              <w:t>鲜叶</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705344" behindDoc="0" locked="0" layoutInCell="1" allowOverlap="1">
                      <wp:simplePos x="0" y="0"/>
                      <wp:positionH relativeFrom="column">
                        <wp:posOffset>4686300</wp:posOffset>
                      </wp:positionH>
                      <wp:positionV relativeFrom="paragraph">
                        <wp:posOffset>62230</wp:posOffset>
                      </wp:positionV>
                      <wp:extent cx="161925" cy="85725"/>
                      <wp:effectExtent l="4445" t="0" r="24130" b="9525"/>
                      <wp:wrapNone/>
                      <wp:docPr id="31" name="曲线连接符 31"/>
                      <wp:cNvGraphicFramePr/>
                      <a:graphic xmlns:a="http://schemas.openxmlformats.org/drawingml/2006/main">
                        <a:graphicData uri="http://schemas.microsoft.com/office/word/2010/wordprocessingShape">
                          <wps:wsp>
                            <wps:cNvCnPr>
                              <a:stCxn id="34" idx="0"/>
                            </wps:cNvCnPr>
                            <wps:spPr>
                              <a:xfrm rot="-5400000">
                                <a:off x="0" y="0"/>
                                <a:ext cx="161925" cy="85725"/>
                              </a:xfrm>
                              <a:prstGeom prst="curvedConnector3">
                                <a:avLst>
                                  <a:gd name="adj1" fmla="val 49806"/>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369pt;margin-top:4.9pt;height:6.75pt;width:12.75pt;rotation:-5898240f;z-index:251705344;mso-width-relative:page;mso-height-relative:page;" filled="f" stroked="t" coordsize="21600,21600" o:gfxdata="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lQHP1gAAAAgBAAAPAAAAAAAAAAEAIAAAACIAAABkcnMvZG93bnJldi54&#10;bWxQSwECFAAUAAAACACHTuJAYXesfjUCAABQBAAADgAAAAAAAAABACAAAAAlAQAAZHJzL2Uyb0Rv&#10;Yy54bWxQSwUGAAAAAAYABgBZAQAAzAUAAAAA&#10;" adj="10758">
                      <v:fill on="f" focussize="0,0"/>
                      <v:stroke color="#000000" joinstyle="round" endarrow="block"/>
                      <v:imagedata o:title=""/>
                      <o:lock v:ext="edit" aspectratio="f"/>
                    </v:shape>
                  </w:pict>
                </mc:Fallback>
              </mc:AlternateContent>
            </w:r>
            <w:r>
              <w:rPr>
                <w:rFonts w:ascii="Times New Roman" w:hAnsi="Times New Roman"/>
                <w:color w:val="auto"/>
                <w:sz w:val="24"/>
              </w:rPr>
              <mc:AlternateContent>
                <mc:Choice Requires="wps">
                  <w:drawing>
                    <wp:anchor distT="0" distB="0" distL="114300" distR="114300" simplePos="0" relativeHeight="251663360" behindDoc="0" locked="0" layoutInCell="1" allowOverlap="1">
                      <wp:simplePos x="0" y="0"/>
                      <wp:positionH relativeFrom="column">
                        <wp:posOffset>4533900</wp:posOffset>
                      </wp:positionH>
                      <wp:positionV relativeFrom="paragraph">
                        <wp:posOffset>167640</wp:posOffset>
                      </wp:positionV>
                      <wp:extent cx="484505" cy="302260"/>
                      <wp:effectExtent l="4445" t="4445" r="6350" b="17145"/>
                      <wp:wrapNone/>
                      <wp:docPr id="29" name="文本框 29"/>
                      <wp:cNvGraphicFramePr/>
                      <a:graphic xmlns:a="http://schemas.openxmlformats.org/drawingml/2006/main">
                        <a:graphicData uri="http://schemas.microsoft.com/office/word/2010/wordprocessingShape">
                          <wps:wsp>
                            <wps:cNvSpPr txBox="1"/>
                            <wps:spPr>
                              <a:xfrm>
                                <a:off x="0" y="0"/>
                                <a:ext cx="484505"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B5ACEF">
                                  <w:pPr>
                                    <w:rPr>
                                      <w:rFonts w:hint="eastAsia" w:eastAsia="宋体"/>
                                      <w:lang w:eastAsia="zh-CN"/>
                                    </w:rPr>
                                  </w:pPr>
                                  <w:r>
                                    <w:rPr>
                                      <w:rFonts w:hint="eastAsia"/>
                                      <w:lang w:eastAsia="zh-CN"/>
                                    </w:rPr>
                                    <w:t>拣梗</w:t>
                                  </w:r>
                                </w:p>
                              </w:txbxContent>
                            </wps:txbx>
                            <wps:bodyPr upright="1"/>
                          </wps:wsp>
                        </a:graphicData>
                      </a:graphic>
                    </wp:anchor>
                  </w:drawing>
                </mc:Choice>
                <mc:Fallback>
                  <w:pict>
                    <v:shape id="_x0000_s1026" o:spid="_x0000_s1026" o:spt="202" type="#_x0000_t202" style="position:absolute;left:0pt;margin-left:357pt;margin-top:13.2pt;height:23.8pt;width:38.15pt;z-index:251663360;mso-width-relative:page;mso-height-relative:page;" fillcolor="#FFFFFF" filled="t" stroked="t" coordsize="21600,21600" o:gfxdata="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jSotPZAAAACQEAAA8AAAAAAAAAAQAg&#10;AAAAIgAAAGRycy9kb3ducmV2LnhtbFBLAQIUABQAAAAIAIdO4kBNjvvKDQIAADcEAAAOAAAAAAAA&#10;AAEAIAAAACgBAABkcnMvZTJvRG9jLnhtbFBLBQYAAAAABgAGAFkBAACnBQAAAAA=&#10;">
                      <v:fill on="t" focussize="0,0"/>
                      <v:stroke color="#000000" joinstyle="miter"/>
                      <v:imagedata o:title=""/>
                      <o:lock v:ext="edit" aspectratio="f"/>
                      <v:textbox>
                        <w:txbxContent>
                          <w:p w14:paraId="21B5ACEF">
                            <w:pPr>
                              <w:rPr>
                                <w:rFonts w:hint="eastAsia" w:eastAsia="宋体"/>
                                <w:lang w:eastAsia="zh-CN"/>
                              </w:rPr>
                            </w:pPr>
                            <w:r>
                              <w:rPr>
                                <w:rFonts w:hint="eastAsia"/>
                                <w:lang w:eastAsia="zh-CN"/>
                              </w:rPr>
                              <w:t>拣梗</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702272" behindDoc="0" locked="0" layoutInCell="1" allowOverlap="1">
                      <wp:simplePos x="0" y="0"/>
                      <wp:positionH relativeFrom="column">
                        <wp:posOffset>1123315</wp:posOffset>
                      </wp:positionH>
                      <wp:positionV relativeFrom="paragraph">
                        <wp:posOffset>285115</wp:posOffset>
                      </wp:positionV>
                      <wp:extent cx="277495" cy="635"/>
                      <wp:effectExtent l="0" t="37465" r="8255" b="38100"/>
                      <wp:wrapNone/>
                      <wp:docPr id="30" name="直接连接符 30"/>
                      <wp:cNvGraphicFramePr/>
                      <a:graphic xmlns:a="http://schemas.openxmlformats.org/drawingml/2006/main">
                        <a:graphicData uri="http://schemas.microsoft.com/office/word/2010/wordprocessingShape">
                          <wps:wsp>
                            <wps:cNvCnPr/>
                            <wps:spPr>
                              <a:xfrm>
                                <a:off x="0" y="0"/>
                                <a:ext cx="277495" cy="63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8.45pt;margin-top:22.45pt;height:0.05pt;width:21.85pt;z-index:251702272;mso-width-relative:page;mso-height-relative:page;" filled="f" stroked="t" coordsize="21600,21600" o:gfxdata="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Umzv9cAAAAJAQAADwAAAAAAAAABACAAAAAiAAAAZHJzL2Rvd25yZXYu&#10;eG1sUEsBAhQAFAAAAAgAh07iQH0VsuT8AQAA6wMAAA4AAAAAAAAAAQAgAAAAJgEAAGRycy9lMm9E&#10;b2MueG1sUEsFBgAAAAAGAAYAWQEAAJQFAAAAAA==&#10;">
                      <v:fill on="f" focussize="0,0"/>
                      <v:stroke weight="0.5pt" color="#000000" joinstyle="round" endarrow="block"/>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703296" behindDoc="0" locked="0" layoutInCell="1" allowOverlap="1">
                      <wp:simplePos x="0" y="0"/>
                      <wp:positionH relativeFrom="column">
                        <wp:posOffset>3771900</wp:posOffset>
                      </wp:positionH>
                      <wp:positionV relativeFrom="paragraph">
                        <wp:posOffset>167640</wp:posOffset>
                      </wp:positionV>
                      <wp:extent cx="494030" cy="302260"/>
                      <wp:effectExtent l="4445" t="4445" r="15875" b="17145"/>
                      <wp:wrapNone/>
                      <wp:docPr id="26" name="文本框 26"/>
                      <wp:cNvGraphicFramePr/>
                      <a:graphic xmlns:a="http://schemas.openxmlformats.org/drawingml/2006/main">
                        <a:graphicData uri="http://schemas.microsoft.com/office/word/2010/wordprocessingShape">
                          <wps:wsp>
                            <wps:cNvSpPr txBox="1"/>
                            <wps:spPr>
                              <a:xfrm>
                                <a:off x="0" y="0"/>
                                <a:ext cx="49403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08B651">
                                  <w:pPr>
                                    <w:rPr>
                                      <w:rFonts w:hint="eastAsia" w:eastAsia="宋体"/>
                                      <w:lang w:eastAsia="zh-CN"/>
                                    </w:rPr>
                                  </w:pPr>
                                  <w:r>
                                    <w:rPr>
                                      <w:rFonts w:hint="eastAsia"/>
                                      <w:lang w:eastAsia="zh-CN"/>
                                    </w:rPr>
                                    <w:t>筛分</w:t>
                                  </w:r>
                                </w:p>
                              </w:txbxContent>
                            </wps:txbx>
                            <wps:bodyPr upright="1"/>
                          </wps:wsp>
                        </a:graphicData>
                      </a:graphic>
                    </wp:anchor>
                  </w:drawing>
                </mc:Choice>
                <mc:Fallback>
                  <w:pict>
                    <v:shape id="_x0000_s1026" o:spid="_x0000_s1026" o:spt="202" type="#_x0000_t202" style="position:absolute;left:0pt;margin-left:297pt;margin-top:13.2pt;height:23.8pt;width:38.9pt;z-index:251703296;mso-width-relative:page;mso-height-relative:page;" fillcolor="#FFFFFF" filled="t" stroked="t" coordsize="21600,21600" o:gfxdata="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kgDrZAAAACQEAAA8AAAAAAAAAAQAg&#10;AAAAIgAAAGRycy9kb3ducmV2LnhtbFBLAQIUABQAAAAIAIdO4kDgAsQDDQIAADcEAAAOAAAAAAAA&#10;AAEAIAAAACgBAABkcnMvZTJvRG9jLnhtbFBLBQYAAAAABgAGAFkBAACnBQAAAAA=&#10;">
                      <v:fill on="t" focussize="0,0"/>
                      <v:stroke color="#000000" joinstyle="miter"/>
                      <v:imagedata o:title=""/>
                      <o:lock v:ext="edit" aspectratio="f"/>
                      <v:textbox>
                        <w:txbxContent>
                          <w:p w14:paraId="3B08B651">
                            <w:pPr>
                              <w:rPr>
                                <w:rFonts w:hint="eastAsia" w:eastAsia="宋体"/>
                                <w:lang w:eastAsia="zh-CN"/>
                              </w:rPr>
                            </w:pPr>
                            <w:r>
                              <w:rPr>
                                <w:rFonts w:hint="eastAsia"/>
                                <w:lang w:eastAsia="zh-CN"/>
                              </w:rPr>
                              <w:t>筛分</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71552" behindDoc="0" locked="0" layoutInCell="1" allowOverlap="1">
                      <wp:simplePos x="0" y="0"/>
                      <wp:positionH relativeFrom="column">
                        <wp:posOffset>2724150</wp:posOffset>
                      </wp:positionH>
                      <wp:positionV relativeFrom="paragraph">
                        <wp:posOffset>295275</wp:posOffset>
                      </wp:positionV>
                      <wp:extent cx="314325" cy="8890"/>
                      <wp:effectExtent l="0" t="36195" r="9525" b="31115"/>
                      <wp:wrapNone/>
                      <wp:docPr id="27" name="直接连接符 27"/>
                      <wp:cNvGraphicFramePr/>
                      <a:graphic xmlns:a="http://schemas.openxmlformats.org/drawingml/2006/main">
                        <a:graphicData uri="http://schemas.microsoft.com/office/word/2010/wordprocessingShape">
                          <wps:wsp>
                            <wps:cNvCnPr/>
                            <wps:spPr>
                              <a:xfrm flipV="1">
                                <a:off x="0" y="0"/>
                                <a:ext cx="314325" cy="889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14.5pt;margin-top:23.25pt;height:0.7pt;width:24.75pt;z-index:251671552;mso-width-relative:page;mso-height-relative:page;" filled="f" stroked="t" coordsize="21600,21600" o:gfxdata="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zO57PZAAAACQEAAA8AAAAAAAAAAQAgAAAA&#10;IgAAAGRycy9kb3ducmV2LnhtbFBLAQIUABQAAAAIAIdO4kAb3n74CgIAAPYDAAAOAAAAAAAAAAEA&#10;IAAAACgBAABkcnMvZTJvRG9jLnhtbFBLBQYAAAAABgAGAFkBAACkBQAAAAA=&#10;">
                      <v:fill on="f" focussize="0,0"/>
                      <v:stroke weight="0.5pt" color="#000000" joinstyle="round" endarrow="block"/>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673600" behindDoc="0" locked="0" layoutInCell="1" allowOverlap="1">
                      <wp:simplePos x="0" y="0"/>
                      <wp:positionH relativeFrom="column">
                        <wp:posOffset>3019425</wp:posOffset>
                      </wp:positionH>
                      <wp:positionV relativeFrom="paragraph">
                        <wp:posOffset>167640</wp:posOffset>
                      </wp:positionV>
                      <wp:extent cx="484505" cy="302260"/>
                      <wp:effectExtent l="4445" t="4445" r="6350" b="17145"/>
                      <wp:wrapNone/>
                      <wp:docPr id="28" name="文本框 28"/>
                      <wp:cNvGraphicFramePr/>
                      <a:graphic xmlns:a="http://schemas.openxmlformats.org/drawingml/2006/main">
                        <a:graphicData uri="http://schemas.microsoft.com/office/word/2010/wordprocessingShape">
                          <wps:wsp>
                            <wps:cNvSpPr txBox="1"/>
                            <wps:spPr>
                              <a:xfrm>
                                <a:off x="0" y="0"/>
                                <a:ext cx="484505"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BE7DC1">
                                  <w:pPr>
                                    <w:rPr>
                                      <w:rFonts w:hint="eastAsia" w:eastAsia="宋体"/>
                                      <w:lang w:eastAsia="zh-CN"/>
                                    </w:rPr>
                                  </w:pPr>
                                  <w:r>
                                    <w:rPr>
                                      <w:rFonts w:hint="eastAsia"/>
                                      <w:lang w:eastAsia="zh-CN"/>
                                    </w:rPr>
                                    <w:t>烘干</w:t>
                                  </w:r>
                                </w:p>
                              </w:txbxContent>
                            </wps:txbx>
                            <wps:bodyPr upright="1"/>
                          </wps:wsp>
                        </a:graphicData>
                      </a:graphic>
                    </wp:anchor>
                  </w:drawing>
                </mc:Choice>
                <mc:Fallback>
                  <w:pict>
                    <v:shape id="_x0000_s1026" o:spid="_x0000_s1026" o:spt="202" type="#_x0000_t202" style="position:absolute;left:0pt;margin-left:237.75pt;margin-top:13.2pt;height:23.8pt;width:38.15pt;z-index:251673600;mso-width-relative:page;mso-height-relative:page;" fillcolor="#FFFFFF" filled="t" stroked="t" coordsize="21600,21600" o:gfxdata="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0GI2PZAAAACQEAAA8AAAAAAAAAAQAg&#10;AAAAIgAAAGRycy9kb3ducmV2LnhtbFBLAQIUABQAAAAIAIdO4kADEmM8DQIAADcEAAAOAAAAAAAA&#10;AAEAIAAAACgBAABkcnMvZTJvRG9jLnhtbFBLBQYAAAAABgAGAFkBAACnBQAAAAA=&#10;">
                      <v:fill on="t" focussize="0,0"/>
                      <v:stroke color="#000000" joinstyle="miter"/>
                      <v:imagedata o:title=""/>
                      <o:lock v:ext="edit" aspectratio="f"/>
                      <v:textbox>
                        <w:txbxContent>
                          <w:p w14:paraId="15BE7DC1">
                            <w:pPr>
                              <w:rPr>
                                <w:rFonts w:hint="eastAsia" w:eastAsia="宋体"/>
                                <w:lang w:eastAsia="zh-CN"/>
                              </w:rPr>
                            </w:pPr>
                            <w:r>
                              <w:rPr>
                                <w:rFonts w:hint="eastAsia"/>
                                <w:lang w:eastAsia="zh-CN"/>
                              </w:rPr>
                              <w:t>烘干</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167640</wp:posOffset>
                      </wp:positionV>
                      <wp:extent cx="494030" cy="302260"/>
                      <wp:effectExtent l="4445" t="4445" r="15875" b="17145"/>
                      <wp:wrapNone/>
                      <wp:docPr id="34" name="文本框 34"/>
                      <wp:cNvGraphicFramePr/>
                      <a:graphic xmlns:a="http://schemas.openxmlformats.org/drawingml/2006/main">
                        <a:graphicData uri="http://schemas.microsoft.com/office/word/2010/wordprocessingShape">
                          <wps:wsp>
                            <wps:cNvSpPr txBox="1"/>
                            <wps:spPr>
                              <a:xfrm>
                                <a:off x="0" y="0"/>
                                <a:ext cx="49403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853A5D">
                                  <w:pPr>
                                    <w:rPr>
                                      <w:rFonts w:hint="eastAsia" w:eastAsia="宋体"/>
                                      <w:lang w:eastAsia="zh-CN"/>
                                    </w:rPr>
                                  </w:pPr>
                                  <w:r>
                                    <w:rPr>
                                      <w:rFonts w:hint="eastAsia"/>
                                      <w:lang w:eastAsia="zh-CN"/>
                                    </w:rPr>
                                    <w:t>发酵</w:t>
                                  </w:r>
                                </w:p>
                              </w:txbxContent>
                            </wps:txbx>
                            <wps:bodyPr upright="1"/>
                          </wps:wsp>
                        </a:graphicData>
                      </a:graphic>
                    </wp:anchor>
                  </w:drawing>
                </mc:Choice>
                <mc:Fallback>
                  <w:pict>
                    <v:shape id="_x0000_s1026" o:spid="_x0000_s1026" o:spt="202" type="#_x0000_t202" style="position:absolute;left:0pt;margin-left:174pt;margin-top:13.2pt;height:23.8pt;width:38.9pt;z-index:251662336;mso-width-relative:page;mso-height-relative:page;" fillcolor="#FFFFFF" filled="t" stroked="t" coordsize="21600,21600" o:gfxdata="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iYUw2QAAAAkBAAAPAAAAAAAAAAEA&#10;IAAAACIAAABkcnMvZG93bnJldi54bWxQSwECFAAUAAAACACHTuJANsgWpA4CAAA3BAAADgAAAAAA&#10;AAABACAAAAAoAQAAZHJzL2Uyb0RvYy54bWxQSwUGAAAAAAYABgBZAQAAqAUAAAAA&#10;">
                      <v:fill on="t" focussize="0,0"/>
                      <v:stroke color="#000000" joinstyle="miter"/>
                      <v:imagedata o:title=""/>
                      <o:lock v:ext="edit" aspectratio="f"/>
                      <v:textbox>
                        <w:txbxContent>
                          <w:p w14:paraId="4F853A5D">
                            <w:pPr>
                              <w:rPr>
                                <w:rFonts w:hint="eastAsia" w:eastAsia="宋体"/>
                                <w:lang w:eastAsia="zh-CN"/>
                              </w:rPr>
                            </w:pPr>
                            <w:r>
                              <w:rPr>
                                <w:rFonts w:hint="eastAsia"/>
                                <w:lang w:eastAsia="zh-CN"/>
                              </w:rPr>
                              <w:t>发酵</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74624" behindDoc="0" locked="0" layoutInCell="1" allowOverlap="1">
                      <wp:simplePos x="0" y="0"/>
                      <wp:positionH relativeFrom="column">
                        <wp:posOffset>4265930</wp:posOffset>
                      </wp:positionH>
                      <wp:positionV relativeFrom="paragraph">
                        <wp:posOffset>276225</wp:posOffset>
                      </wp:positionV>
                      <wp:extent cx="277495" cy="8890"/>
                      <wp:effectExtent l="0" t="35560" r="8255" b="31750"/>
                      <wp:wrapNone/>
                      <wp:docPr id="35" name="直接连接符 35"/>
                      <wp:cNvGraphicFramePr/>
                      <a:graphic xmlns:a="http://schemas.openxmlformats.org/drawingml/2006/main">
                        <a:graphicData uri="http://schemas.microsoft.com/office/word/2010/wordprocessingShape">
                          <wps:wsp>
                            <wps:cNvCnPr/>
                            <wps:spPr>
                              <a:xfrm flipV="1">
                                <a:off x="0" y="0"/>
                                <a:ext cx="277495" cy="889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35.9pt;margin-top:21.75pt;height:0.7pt;width:21.85pt;z-index:251674624;mso-width-relative:page;mso-height-relative:page;" filled="f" stroked="t" coordsize="21600,21600" o:gfxdata="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p1oy2gAAAAkBAAAPAAAAAAAAAAEAIAAA&#10;ACIAAABkcnMvZG93bnJldi54bWxQSwECFAAUAAAACACHTuJA4URyoQoCAAD2AwAADgAAAAAAAAAB&#10;ACAAAAApAQAAZHJzL2Uyb0RvYy54bWxQSwUGAAAAAAYABgBZAQAApQUAAAAA&#10;">
                      <v:fill on="f" focussize="0,0"/>
                      <v:stroke weight="0.5pt" color="#000000" joinstyle="round" endarrow="block"/>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665408" behindDoc="0" locked="0" layoutInCell="1" allowOverlap="1">
                      <wp:simplePos x="0" y="0"/>
                      <wp:positionH relativeFrom="column">
                        <wp:posOffset>1571625</wp:posOffset>
                      </wp:positionH>
                      <wp:positionV relativeFrom="paragraph">
                        <wp:posOffset>41275</wp:posOffset>
                      </wp:positionV>
                      <wp:extent cx="161925" cy="85725"/>
                      <wp:effectExtent l="4445" t="0" r="24130" b="9525"/>
                      <wp:wrapNone/>
                      <wp:docPr id="25" name="曲线连接符 25"/>
                      <wp:cNvGraphicFramePr/>
                      <a:graphic xmlns:a="http://schemas.openxmlformats.org/drawingml/2006/main">
                        <a:graphicData uri="http://schemas.microsoft.com/office/word/2010/wordprocessingShape">
                          <wps:wsp>
                            <wps:cNvCnPr/>
                            <wps:spPr>
                              <a:xfrm rot="16200000">
                                <a:off x="0" y="0"/>
                                <a:ext cx="161925" cy="85725"/>
                              </a:xfrm>
                              <a:prstGeom prst="curvedConnector3">
                                <a:avLst>
                                  <a:gd name="adj1" fmla="val 49806"/>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123.75pt;margin-top:3.25pt;height:6.75pt;width:12.75pt;rotation:-5898240f;z-index:251665408;mso-width-relative:page;mso-height-relative:page;" filled="f" stroked="t" coordsize="21600,21600" o:gfxdata="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AmAzV&#10;AAAACAEAAA8AAAAAAAAAAQAgAAAAIgAAAGRycy9kb3ducmV2LnhtbFBLAQIUABQAAAAIAIdO4kBt&#10;YO0MIwIAACkEAAAOAAAAAAAAAAEAIAAAACQBAABkcnMvZTJvRG9jLnhtbFBLBQYAAAAABgAGAFkB&#10;AAC5BQAAAAA=&#10;" adj="10758">
                      <v:fill on="f" focussize="0,0"/>
                      <v:stroke color="#000000" joinstyle="round" endarrow="block"/>
                      <v:imagedata o:title=""/>
                      <o:lock v:ext="edit" aspectratio="f"/>
                    </v:shape>
                  </w:pict>
                </mc:Fallback>
              </mc:AlternateContent>
            </w:r>
            <w:r>
              <w:rPr>
                <w:rFonts w:ascii="Times New Roman" w:hAnsi="Times New Roman"/>
                <w:color w:val="auto"/>
                <w:sz w:val="24"/>
              </w:rPr>
              <mc:AlternateContent>
                <mc:Choice Requires="wps">
                  <w:drawing>
                    <wp:anchor distT="0" distB="0" distL="114300" distR="114300" simplePos="0" relativeHeight="251664384" behindDoc="0" locked="0" layoutInCell="1" allowOverlap="1">
                      <wp:simplePos x="0" y="0"/>
                      <wp:positionH relativeFrom="column">
                        <wp:posOffset>5227955</wp:posOffset>
                      </wp:positionH>
                      <wp:positionV relativeFrom="paragraph">
                        <wp:posOffset>81915</wp:posOffset>
                      </wp:positionV>
                      <wp:extent cx="580390" cy="51117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580390" cy="511175"/>
                              </a:xfrm>
                              <a:prstGeom prst="rect">
                                <a:avLst/>
                              </a:prstGeom>
                              <a:noFill/>
                              <a:ln w="9525">
                                <a:noFill/>
                              </a:ln>
                            </wps:spPr>
                            <wps:txbx>
                              <w:txbxContent>
                                <w:p w14:paraId="6446F93A">
                                  <w:pPr>
                                    <w:rPr>
                                      <w:rFonts w:hint="eastAsia" w:eastAsia="宋体"/>
                                      <w:lang w:eastAsia="zh-CN"/>
                                    </w:rPr>
                                  </w:pPr>
                                  <w:r>
                                    <w:rPr>
                                      <w:rFonts w:hint="eastAsia"/>
                                      <w:lang w:eastAsia="zh-CN"/>
                                    </w:rPr>
                                    <w:t>红茶入库</w:t>
                                  </w:r>
                                </w:p>
                              </w:txbxContent>
                            </wps:txbx>
                            <wps:bodyPr upright="1"/>
                          </wps:wsp>
                        </a:graphicData>
                      </a:graphic>
                    </wp:anchor>
                  </w:drawing>
                </mc:Choice>
                <mc:Fallback>
                  <w:pict>
                    <v:shape id="_x0000_s1026" o:spid="_x0000_s1026" o:spt="202" type="#_x0000_t202" style="position:absolute;left:0pt;margin-left:411.65pt;margin-top:6.45pt;height:40.25pt;width:45.7pt;z-index:251664384;mso-width-relative:page;mso-height-relative:page;" filled="f" stroked="f" coordsize="21600,21600" o:gfxdata="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cmHtYAAAAJAQAADwAAAAAAAAABACAAAAAiAAAAZHJzL2Rvd25yZXYueG1sUEsBAhQAFAAAAAgA&#10;h07iQF9IjEy1AQAAWAMAAA4AAAAAAAAAAQAgAAAAJQEAAGRycy9lMm9Eb2MueG1sUEsFBgAAAAAG&#10;AAYAWQEAAEwFAAAAAA==&#10;">
                      <v:fill on="f" focussize="0,0"/>
                      <v:stroke on="f"/>
                      <v:imagedata o:title=""/>
                      <o:lock v:ext="edit" aspectratio="f"/>
                      <v:textbox>
                        <w:txbxContent>
                          <w:p w14:paraId="6446F93A">
                            <w:pPr>
                              <w:rPr>
                                <w:rFonts w:hint="eastAsia" w:eastAsia="宋体"/>
                                <w:lang w:eastAsia="zh-CN"/>
                              </w:rPr>
                            </w:pPr>
                            <w:r>
                              <w:rPr>
                                <w:rFonts w:hint="eastAsia"/>
                                <w:lang w:eastAsia="zh-CN"/>
                              </w:rPr>
                              <w:t>红茶入库</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69504" behindDoc="0" locked="0" layoutInCell="1" allowOverlap="1">
                      <wp:simplePos x="0" y="0"/>
                      <wp:positionH relativeFrom="column">
                        <wp:posOffset>1390650</wp:posOffset>
                      </wp:positionH>
                      <wp:positionV relativeFrom="paragraph">
                        <wp:posOffset>148590</wp:posOffset>
                      </wp:positionV>
                      <wp:extent cx="494030" cy="302260"/>
                      <wp:effectExtent l="4445" t="4445" r="15875" b="17145"/>
                      <wp:wrapNone/>
                      <wp:docPr id="44" name="文本框 44"/>
                      <wp:cNvGraphicFramePr/>
                      <a:graphic xmlns:a="http://schemas.openxmlformats.org/drawingml/2006/main">
                        <a:graphicData uri="http://schemas.microsoft.com/office/word/2010/wordprocessingShape">
                          <wps:wsp>
                            <wps:cNvSpPr txBox="1"/>
                            <wps:spPr>
                              <a:xfrm>
                                <a:off x="0" y="0"/>
                                <a:ext cx="49403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5D5045">
                                  <w:pPr>
                                    <w:rPr>
                                      <w:rFonts w:hint="eastAsia" w:eastAsia="宋体"/>
                                      <w:lang w:eastAsia="zh-CN"/>
                                    </w:rPr>
                                  </w:pPr>
                                  <w:r>
                                    <w:rPr>
                                      <w:rFonts w:hint="eastAsia"/>
                                      <w:lang w:eastAsia="zh-CN"/>
                                    </w:rPr>
                                    <w:t>揉切</w:t>
                                  </w:r>
                                </w:p>
                              </w:txbxContent>
                            </wps:txbx>
                            <wps:bodyPr upright="1"/>
                          </wps:wsp>
                        </a:graphicData>
                      </a:graphic>
                    </wp:anchor>
                  </w:drawing>
                </mc:Choice>
                <mc:Fallback>
                  <w:pict>
                    <v:shape id="_x0000_s1026" o:spid="_x0000_s1026" o:spt="202" type="#_x0000_t202" style="position:absolute;left:0pt;margin-left:109.5pt;margin-top:11.7pt;height:23.8pt;width:38.9pt;z-index:251669504;mso-width-relative:page;mso-height-relative:page;" fillcolor="#FFFFFF" filled="t" stroked="t" coordsize="21600,21600" o:gfxdata="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K5Xk2QAAAAkBAAAPAAAAAAAAAAEA&#10;IAAAACIAAABkcnMvZG93bnJldi54bWxQSwECFAAUAAAACACHTuJAhQgI5g4CAAA3BAAADgAAAAAA&#10;AAABACAAAAAoAQAAZHJzL2Uyb0RvYy54bWxQSwUGAAAAAAYABgBZAQAAqAUAAAAA&#10;">
                      <v:fill on="t" focussize="0,0"/>
                      <v:stroke color="#000000" joinstyle="miter"/>
                      <v:imagedata o:title=""/>
                      <o:lock v:ext="edit" aspectratio="f"/>
                      <v:textbox>
                        <w:txbxContent>
                          <w:p w14:paraId="285D5045">
                            <w:pPr>
                              <w:rPr>
                                <w:rFonts w:hint="eastAsia" w:eastAsia="宋体"/>
                                <w:lang w:eastAsia="zh-CN"/>
                              </w:rPr>
                            </w:pPr>
                            <w:r>
                              <w:rPr>
                                <w:rFonts w:hint="eastAsia"/>
                                <w:lang w:eastAsia="zh-CN"/>
                              </w:rPr>
                              <w:t>揉切</w:t>
                            </w:r>
                          </w:p>
                        </w:txbxContent>
                      </v:textbox>
                    </v:shape>
                  </w:pict>
                </mc:Fallback>
              </mc:AlternateContent>
            </w:r>
          </w:p>
          <w:p w14:paraId="1826A8CE">
            <w:pPr>
              <w:spacing w:line="360" w:lineRule="auto"/>
              <w:rPr>
                <w:rFonts w:hint="eastAsia" w:ascii="Times New Roman" w:hAnsi="Times New Roman"/>
                <w:b/>
                <w:color w:val="auto"/>
                <w:sz w:val="24"/>
              </w:rPr>
            </w:pPr>
            <w:r>
              <w:rPr>
                <w:rFonts w:ascii="Times New Roman" w:hAnsi="Times New Roman"/>
                <w:color w:val="auto"/>
                <w:sz w:val="24"/>
              </w:rPr>
              <mc:AlternateContent>
                <mc:Choice Requires="wps">
                  <w:drawing>
                    <wp:anchor distT="0" distB="0" distL="114300" distR="114300" simplePos="0" relativeHeight="251670528" behindDoc="0" locked="0" layoutInCell="1" allowOverlap="1">
                      <wp:simplePos x="0" y="0"/>
                      <wp:positionH relativeFrom="column">
                        <wp:posOffset>1885315</wp:posOffset>
                      </wp:positionH>
                      <wp:positionV relativeFrom="paragraph">
                        <wp:posOffset>26670</wp:posOffset>
                      </wp:positionV>
                      <wp:extent cx="325120" cy="635"/>
                      <wp:effectExtent l="0" t="38100" r="17780" b="37465"/>
                      <wp:wrapNone/>
                      <wp:docPr id="19" name="直接连接符 19"/>
                      <wp:cNvGraphicFramePr/>
                      <a:graphic xmlns:a="http://schemas.openxmlformats.org/drawingml/2006/main">
                        <a:graphicData uri="http://schemas.microsoft.com/office/word/2010/wordprocessingShape">
                          <wps:wsp>
                            <wps:cNvCnPr/>
                            <wps:spPr>
                              <a:xfrm flipV="1">
                                <a:off x="0" y="0"/>
                                <a:ext cx="325120" cy="63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48.45pt;margin-top:2.1pt;height:0.05pt;width:25.6pt;z-index:251670528;mso-width-relative:page;mso-height-relative:page;" filled="f" stroked="t" coordsize="21600,21600" o:gfxdata="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udCj1wAAAAcBAAAPAAAAAAAAAAEAIAAAACIAAABkcnMvZG93&#10;bnJldi54bWxQSwECFAAUAAAACACHTuJAZI8jSAECAAD1AwAADgAAAAAAAAABACAAAAAmAQAAZHJz&#10;L2Uyb0RvYy54bWxQSwUGAAAAAAYABgBZAQAAmQUAAAAA&#10;">
                      <v:fill on="f" focussize="0,0"/>
                      <v:stroke weight="0.5pt" color="#000000" joinstyle="round" endarrow="block"/>
                      <v:imagedata o:title=""/>
                      <o:lock v:ext="edit" aspectratio="f"/>
                    </v:line>
                  </w:pict>
                </mc:Fallback>
              </mc:AlternateContent>
            </w:r>
            <w:r>
              <w:rPr>
                <w:color w:val="auto"/>
                <w:sz w:val="24"/>
              </w:rPr>
              <mc:AlternateContent>
                <mc:Choice Requires="wps">
                  <w:drawing>
                    <wp:anchor distT="0" distB="0" distL="114300" distR="114300" simplePos="0" relativeHeight="251698176" behindDoc="0" locked="0" layoutInCell="1" allowOverlap="1">
                      <wp:simplePos x="0" y="0"/>
                      <wp:positionH relativeFrom="column">
                        <wp:posOffset>4044315</wp:posOffset>
                      </wp:positionH>
                      <wp:positionV relativeFrom="paragraph">
                        <wp:posOffset>177165</wp:posOffset>
                      </wp:positionV>
                      <wp:extent cx="635" cy="219075"/>
                      <wp:effectExtent l="50800" t="0" r="62865" b="9525"/>
                      <wp:wrapNone/>
                      <wp:docPr id="45" name="直接连接符 45"/>
                      <wp:cNvGraphicFramePr/>
                      <a:graphic xmlns:a="http://schemas.openxmlformats.org/drawingml/2006/main">
                        <a:graphicData uri="http://schemas.microsoft.com/office/word/2010/wordprocessingShape">
                          <wps:wsp>
                            <wps:cNvCnPr/>
                            <wps:spPr>
                              <a:xfrm flipH="1" flipV="1">
                                <a:off x="0" y="0"/>
                                <a:ext cx="635" cy="219075"/>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318.45pt;margin-top:13.95pt;height:17.25pt;width:0.05pt;z-index:251698176;mso-width-relative:page;mso-height-relative:page;" filled="f" stroked="t" coordsize="21600,21600" o:gfxdata="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CpNJXYAAAACQEAAA8AAAAAAAAAAQAgAAAA&#10;IgAAAGRycy9kb3ducmV2LnhtbFBLAQIUABQAAAAIAIdO4kCagsMfCwIAAP0DAAAOAAAAAAAAAAEA&#10;IAAAACcBAABkcnMvZTJvRG9jLnhtbFBLBQYAAAAABgAGAFkBAACkBQAAAAA=&#10;">
                      <v:fill on="f" focussize="0,0"/>
                      <v:stroke weight="1pt" color="#000000" joinstyle="round" endarrow="open"/>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704320" behindDoc="0" locked="0" layoutInCell="1" allowOverlap="1">
                      <wp:simplePos x="0" y="0"/>
                      <wp:positionH relativeFrom="column">
                        <wp:posOffset>3522980</wp:posOffset>
                      </wp:positionH>
                      <wp:positionV relativeFrom="paragraph">
                        <wp:posOffset>7620</wp:posOffset>
                      </wp:positionV>
                      <wp:extent cx="267970" cy="8890"/>
                      <wp:effectExtent l="0" t="35560" r="17780" b="31750"/>
                      <wp:wrapNone/>
                      <wp:docPr id="46" name="直接连接符 46"/>
                      <wp:cNvGraphicFramePr/>
                      <a:graphic xmlns:a="http://schemas.openxmlformats.org/drawingml/2006/main">
                        <a:graphicData uri="http://schemas.microsoft.com/office/word/2010/wordprocessingShape">
                          <wps:wsp>
                            <wps:cNvCnPr/>
                            <wps:spPr>
                              <a:xfrm flipV="1">
                                <a:off x="0" y="0"/>
                                <a:ext cx="267970" cy="889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7.4pt;margin-top:0.6pt;height:0.7pt;width:21.1pt;z-index:251704320;mso-width-relative:page;mso-height-relative:page;" filled="f" stroked="t" coordsize="21600,21600" o:gfxdata="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boxCdcAAAAHAQAADwAAAAAAAAABACAAAAAiAAAA&#10;ZHJzL2Rvd25yZXYueG1sUEsBAhQAFAAAAAgAh07iQIIOeGIIAgAA9gMAAA4AAAAAAAAAAQAgAAAA&#10;JgEAAGRycy9lMm9Eb2MueG1sUEsFBgAAAAAGAAYAWQEAAKAFAAAAAA==&#10;">
                      <v:fill on="f" focussize="0,0"/>
                      <v:stroke weight="0.5pt" color="#000000" joinstyle="round" endarrow="block"/>
                      <v:imagedata o:title=""/>
                      <o:lock v:ext="edit" aspectratio="f"/>
                    </v:line>
                  </w:pict>
                </mc:Fallback>
              </mc:AlternateContent>
            </w:r>
            <w:r>
              <w:rPr>
                <w:color w:val="auto"/>
                <w:sz w:val="24"/>
              </w:rPr>
              <mc:AlternateContent>
                <mc:Choice Requires="wps">
                  <w:drawing>
                    <wp:anchor distT="0" distB="0" distL="114300" distR="114300" simplePos="0" relativeHeight="251695104" behindDoc="0" locked="0" layoutInCell="1" allowOverlap="1">
                      <wp:simplePos x="0" y="0"/>
                      <wp:positionH relativeFrom="column">
                        <wp:posOffset>3291840</wp:posOffset>
                      </wp:positionH>
                      <wp:positionV relativeFrom="paragraph">
                        <wp:posOffset>139065</wp:posOffset>
                      </wp:positionV>
                      <wp:extent cx="635" cy="247650"/>
                      <wp:effectExtent l="50800" t="0" r="62865" b="0"/>
                      <wp:wrapNone/>
                      <wp:docPr id="47" name="直接连接符 47"/>
                      <wp:cNvGraphicFramePr/>
                      <a:graphic xmlns:a="http://schemas.openxmlformats.org/drawingml/2006/main">
                        <a:graphicData uri="http://schemas.microsoft.com/office/word/2010/wordprocessingShape">
                          <wps:wsp>
                            <wps:cNvCnPr/>
                            <wps:spPr>
                              <a:xfrm flipH="1" flipV="1">
                                <a:off x="0" y="0"/>
                                <a:ext cx="635" cy="247650"/>
                              </a:xfrm>
                              <a:prstGeom prst="line">
                                <a:avLst/>
                              </a:prstGeom>
                              <a:ln w="127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59.2pt;margin-top:10.95pt;height:19.5pt;width:0.05pt;z-index:251695104;mso-width-relative:page;mso-height-relative:page;" filled="f" stroked="t" coordsize="21600,21600" o:gfxdata="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VwZ32AAAAAkBAAAPAAAAAAAAAAEAIAAA&#10;ACIAAABkcnMvZG93bnJldi54bWxQSwECFAAUAAAACACHTuJAZ/yEVgwCAAD9AwAADgAAAAAAAAAB&#10;ACAAAAAnAQAAZHJzL2Uyb0RvYy54bWxQSwUGAAAAAAYABgBZAQAApQUAAAAA&#10;">
                      <v:fill on="f" focussize="0,0"/>
                      <v:stroke weight="1pt" color="#000000" joinstyle="round" endarrow="open"/>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672576" behindDoc="0" locked="0" layoutInCell="1" allowOverlap="1">
                      <wp:simplePos x="0" y="0"/>
                      <wp:positionH relativeFrom="column">
                        <wp:posOffset>5009515</wp:posOffset>
                      </wp:positionH>
                      <wp:positionV relativeFrom="paragraph">
                        <wp:posOffset>6985</wp:posOffset>
                      </wp:positionV>
                      <wp:extent cx="305435" cy="10160"/>
                      <wp:effectExtent l="0" t="30480" r="18415" b="35560"/>
                      <wp:wrapNone/>
                      <wp:docPr id="48" name="直接连接符 48"/>
                      <wp:cNvGraphicFramePr/>
                      <a:graphic xmlns:a="http://schemas.openxmlformats.org/drawingml/2006/main">
                        <a:graphicData uri="http://schemas.microsoft.com/office/word/2010/wordprocessingShape">
                          <wps:wsp>
                            <wps:cNvCnPr/>
                            <wps:spPr>
                              <a:xfrm>
                                <a:off x="0" y="0"/>
                                <a:ext cx="305435" cy="10160"/>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94.45pt;margin-top:0.55pt;height:0.8pt;width:24.05pt;z-index:251672576;mso-width-relative:page;mso-height-relative:page;" filled="f" stroked="t" coordsize="21600,21600" o:gfxdata="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YNVU1gAAAAcBAAAPAAAAAAAAAAEAIAAAACIAAABkcnMvZG93&#10;bnJldi54bWxQSwECFAAUAAAACACHTuJACcy7gwICAADtAwAADgAAAAAAAAABACAAAAAlAQAAZHJz&#10;L2Uyb0RvYy54bWxQSwUGAAAAAAYABgBZAQAAmQUAAAAA&#10;">
                      <v:fill on="f" focussize="0,0"/>
                      <v:stroke weight="0.5pt" color="#000000" joinstyle="round" endarrow="block"/>
                      <v:imagedata o:title=""/>
                      <o:lock v:ext="edit" aspectratio="f"/>
                    </v:line>
                  </w:pict>
                </mc:Fallback>
              </mc:AlternateContent>
            </w:r>
          </w:p>
          <w:p w14:paraId="76395231">
            <w:pPr>
              <w:numPr>
                <w:ilvl w:val="0"/>
                <w:numId w:val="0"/>
              </w:numPr>
              <w:spacing w:line="360" w:lineRule="auto"/>
              <w:jc w:val="center"/>
              <w:rPr>
                <w:rFonts w:ascii="Times New Roman" w:hAnsi="Times New Roman"/>
                <w:b/>
                <w:color w:val="auto"/>
                <w:sz w:val="24"/>
              </w:rPr>
            </w:pPr>
            <w:r>
              <w:rPr>
                <w:color w:val="auto"/>
                <w:sz w:val="24"/>
              </w:rPr>
              <mc:AlternateContent>
                <mc:Choice Requires="wps">
                  <w:drawing>
                    <wp:anchor distT="0" distB="0" distL="114300" distR="114300" simplePos="0" relativeHeight="251699200" behindDoc="0" locked="0" layoutInCell="1" allowOverlap="1">
                      <wp:simplePos x="0" y="0"/>
                      <wp:positionH relativeFrom="column">
                        <wp:posOffset>3729990</wp:posOffset>
                      </wp:positionH>
                      <wp:positionV relativeFrom="paragraph">
                        <wp:posOffset>146050</wp:posOffset>
                      </wp:positionV>
                      <wp:extent cx="942975" cy="342265"/>
                      <wp:effectExtent l="4445" t="5080" r="5080" b="14605"/>
                      <wp:wrapNone/>
                      <wp:docPr id="49" name="文本框 49"/>
                      <wp:cNvGraphicFramePr/>
                      <a:graphic xmlns:a="http://schemas.openxmlformats.org/drawingml/2006/main">
                        <a:graphicData uri="http://schemas.microsoft.com/office/word/2010/wordprocessingShape">
                          <wps:wsp>
                            <wps:cNvSpPr txBox="1"/>
                            <wps:spPr>
                              <a:xfrm>
                                <a:off x="0" y="0"/>
                                <a:ext cx="942975" cy="342265"/>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14:paraId="58A54319">
                                  <w:pPr>
                                    <w:rPr>
                                      <w:rFonts w:hint="eastAsia" w:eastAsia="宋体"/>
                                      <w:lang w:eastAsia="zh-CN"/>
                                    </w:rPr>
                                  </w:pPr>
                                  <w:r>
                                    <w:rPr>
                                      <w:rFonts w:hint="eastAsia"/>
                                      <w:lang w:eastAsia="zh-CN"/>
                                    </w:rPr>
                                    <w:t>外购红茶</w:t>
                                  </w:r>
                                </w:p>
                              </w:txbxContent>
                            </wps:txbx>
                            <wps:bodyPr upright="1"/>
                          </wps:wsp>
                        </a:graphicData>
                      </a:graphic>
                    </wp:anchor>
                  </w:drawing>
                </mc:Choice>
                <mc:Fallback>
                  <w:pict>
                    <v:shape id="_x0000_s1026" o:spid="_x0000_s1026" o:spt="202" type="#_x0000_t202" style="position:absolute;left:0pt;margin-left:293.7pt;margin-top:11.5pt;height:26.95pt;width:74.25pt;z-index:251699200;mso-width-relative:page;mso-height-relative:page;" fillcolor="#FFFFFF" filled="t" stroked="t" coordsize="21600,21600" o:gfxdata="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p14DZAAAACQEAAA8AAAAAAAAAAQAg&#10;AAAAIgAAAGRycy9kb3ducmV2LnhtbFBLAQIUABQAAAAIAIdO4kBbnlgDRgIAAL4EAAAOAAAAAAAA&#10;AAEAIAAAACgBAABkcnMvZTJvRG9jLnhtbFBLBQYAAAAABgAGAFkBAADgBQAAAAA=&#10;">
                      <v:fill type="gradient" on="t" color2="#FFFFFF" angle="90" focus="100%" focussize="0,0">
                        <o:fill type="gradientUnscaled" v:ext="backwardCompatible"/>
                      </v:fill>
                      <v:stroke color="#000000" joinstyle="miter"/>
                      <v:imagedata o:title=""/>
                      <o:lock v:ext="edit" aspectratio="f"/>
                      <v:textbox>
                        <w:txbxContent>
                          <w:p w14:paraId="58A54319">
                            <w:pPr>
                              <w:rPr>
                                <w:rFonts w:hint="eastAsia" w:eastAsia="宋体"/>
                                <w:lang w:eastAsia="zh-CN"/>
                              </w:rPr>
                            </w:pPr>
                            <w:r>
                              <w:rPr>
                                <w:rFonts w:hint="eastAsia"/>
                                <w:lang w:eastAsia="zh-CN"/>
                              </w:rPr>
                              <w:t>外购红茶</w:t>
                            </w:r>
                          </w:p>
                        </w:txbxContent>
                      </v:textbox>
                    </v:shape>
                  </w:pict>
                </mc:Fallback>
              </mc:AlternateContent>
            </w:r>
            <w:r>
              <w:rPr>
                <w:color w:val="auto"/>
                <w:sz w:val="24"/>
              </w:rPr>
              <mc:AlternateContent>
                <mc:Choice Requires="wps">
                  <w:drawing>
                    <wp:anchor distT="0" distB="0" distL="114300" distR="114300" simplePos="0" relativeHeight="251697152" behindDoc="0" locked="0" layoutInCell="1" allowOverlap="1">
                      <wp:simplePos x="0" y="0"/>
                      <wp:positionH relativeFrom="column">
                        <wp:posOffset>1253490</wp:posOffset>
                      </wp:positionH>
                      <wp:positionV relativeFrom="paragraph">
                        <wp:posOffset>155575</wp:posOffset>
                      </wp:positionV>
                      <wp:extent cx="1276350" cy="276225"/>
                      <wp:effectExtent l="5080" t="4445" r="13970" b="5080"/>
                      <wp:wrapNone/>
                      <wp:docPr id="50" name="文本框 50"/>
                      <wp:cNvGraphicFramePr/>
                      <a:graphic xmlns:a="http://schemas.openxmlformats.org/drawingml/2006/main">
                        <a:graphicData uri="http://schemas.microsoft.com/office/word/2010/wordprocessingShape">
                          <wps:wsp>
                            <wps:cNvSpPr txBox="1"/>
                            <wps:spPr>
                              <a:xfrm>
                                <a:off x="0" y="0"/>
                                <a:ext cx="1276350" cy="276225"/>
                              </a:xfrm>
                              <a:prstGeom prst="rect">
                                <a:avLst/>
                              </a:prstGeom>
                              <a:gradFill rotWithShape="0">
                                <a:gsLst>
                                  <a:gs pos="0">
                                    <a:srgbClr val="FFFFFF"/>
                                  </a:gs>
                                  <a:gs pos="100000">
                                    <a:srgbClr val="FFFFFF"/>
                                  </a:gs>
                                </a:gsLst>
                                <a:lin ang="0"/>
                                <a:tileRect/>
                              </a:gradFill>
                              <a:ln w="9525" cap="flat" cmpd="sng">
                                <a:solidFill>
                                  <a:srgbClr val="FFFFFF"/>
                                </a:solidFill>
                                <a:prstDash val="solid"/>
                                <a:miter/>
                                <a:headEnd type="none" w="med" len="med"/>
                                <a:tailEnd type="none" w="med" len="med"/>
                              </a:ln>
                            </wps:spPr>
                            <wps:txbx>
                              <w:txbxContent>
                                <w:p w14:paraId="56B3E756">
                                  <w:pPr>
                                    <w:rPr>
                                      <w:rFonts w:hint="eastAsia" w:eastAsia="宋体"/>
                                      <w:lang w:val="en-US" w:eastAsia="zh-CN"/>
                                    </w:rPr>
                                  </w:pPr>
                                  <w:r>
                                    <w:rPr>
                                      <w:rFonts w:hint="eastAsia"/>
                                      <w:lang w:val="en-US" w:eastAsia="zh-CN"/>
                                    </w:rPr>
                                    <w:t>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、颗粒物</w:t>
                                  </w:r>
                                </w:p>
                              </w:txbxContent>
                            </wps:txbx>
                            <wps:bodyPr upright="1"/>
                          </wps:wsp>
                        </a:graphicData>
                      </a:graphic>
                    </wp:anchor>
                  </w:drawing>
                </mc:Choice>
                <mc:Fallback>
                  <w:pict>
                    <v:shape id="_x0000_s1026" o:spid="_x0000_s1026" o:spt="202" type="#_x0000_t202" style="position:absolute;left:0pt;margin-left:98.7pt;margin-top:12.25pt;height:21.75pt;width:100.5pt;z-index:251697152;mso-width-relative:page;mso-height-relative:page;" fillcolor="#FFFFFF" filled="t" stroked="t" coordsize="21600,21600" o:gfxdata="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H4o/TZAAAACQEAAA8AAAAAAAAAAQAgAAAAIgAAAGRy&#10;cy9kb3ducmV2LnhtbFBLAQIUABQAAAAIAIdO4kDFMsfhPQIAAL8EAAAOAAAAAAAAAAEAIAAAACgB&#10;AABkcnMvZTJvRG9jLnhtbFBLBQYAAAAABgAGAFkBAADXBQAAAAA=&#10;">
                      <v:fill type="gradient" on="t" color2="#FFFFFF" angle="90" focus="100%" focussize="0,0">
                        <o:fill type="gradientUnscaled" v:ext="backwardCompatible"/>
                      </v:fill>
                      <v:stroke color="#FFFFFF" joinstyle="miter"/>
                      <v:imagedata o:title=""/>
                      <o:lock v:ext="edit" aspectratio="f"/>
                      <v:textbox>
                        <w:txbxContent>
                          <w:p w14:paraId="56B3E756">
                            <w:pPr>
                              <w:rPr>
                                <w:rFonts w:hint="eastAsia" w:eastAsia="宋体"/>
                                <w:lang w:val="en-US" w:eastAsia="zh-CN"/>
                              </w:rPr>
                            </w:pPr>
                            <w:r>
                              <w:rPr>
                                <w:rFonts w:hint="eastAsia"/>
                                <w:lang w:val="en-US" w:eastAsia="zh-CN"/>
                              </w:rPr>
                              <w:t>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、颗粒物</w:t>
                            </w:r>
                          </w:p>
                        </w:txbxContent>
                      </v:textbox>
                    </v:shape>
                  </w:pict>
                </mc:Fallback>
              </mc:AlternateContent>
            </w:r>
            <w:r>
              <w:rPr>
                <w:color w:val="auto"/>
                <w:sz w:val="24"/>
              </w:rPr>
              <mc:AlternateContent>
                <mc:Choice Requires="wps">
                  <w:drawing>
                    <wp:anchor distT="0" distB="0" distL="114300" distR="114300" simplePos="0" relativeHeight="251694080" behindDoc="0" locked="0" layoutInCell="1" allowOverlap="1">
                      <wp:simplePos x="0" y="0"/>
                      <wp:positionH relativeFrom="column">
                        <wp:posOffset>3063240</wp:posOffset>
                      </wp:positionH>
                      <wp:positionV relativeFrom="paragraph">
                        <wp:posOffset>127000</wp:posOffset>
                      </wp:positionV>
                      <wp:extent cx="619760" cy="342265"/>
                      <wp:effectExtent l="4445" t="4445" r="23495" b="15240"/>
                      <wp:wrapNone/>
                      <wp:docPr id="51" name="文本框 51"/>
                      <wp:cNvGraphicFramePr/>
                      <a:graphic xmlns:a="http://schemas.openxmlformats.org/drawingml/2006/main">
                        <a:graphicData uri="http://schemas.microsoft.com/office/word/2010/wordprocessingShape">
                          <wps:wsp>
                            <wps:cNvSpPr txBox="1"/>
                            <wps:spPr>
                              <a:xfrm>
                                <a:off x="0" y="0"/>
                                <a:ext cx="619760" cy="342265"/>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14:paraId="575C98AF">
                                  <w:pPr>
                                    <w:rPr>
                                      <w:rFonts w:hint="eastAsia" w:eastAsia="宋体"/>
                                      <w:lang w:eastAsia="zh-CN"/>
                                    </w:rPr>
                                  </w:pPr>
                                  <w:r>
                                    <w:rPr>
                                      <w:rFonts w:hint="eastAsia"/>
                                      <w:lang w:eastAsia="zh-CN"/>
                                    </w:rPr>
                                    <w:t>热风炉</w:t>
                                  </w:r>
                                </w:p>
                              </w:txbxContent>
                            </wps:txbx>
                            <wps:bodyPr upright="1"/>
                          </wps:wsp>
                        </a:graphicData>
                      </a:graphic>
                    </wp:anchor>
                  </w:drawing>
                </mc:Choice>
                <mc:Fallback>
                  <w:pict>
                    <v:shape id="_x0000_s1026" o:spid="_x0000_s1026" o:spt="202" type="#_x0000_t202" style="position:absolute;left:0pt;margin-left:241.2pt;margin-top:10pt;height:26.95pt;width:48.8pt;z-index:251694080;mso-width-relative:page;mso-height-relative:page;" fillcolor="#FFFFFF" filled="t" stroked="t" coordsize="21600,21600" o:gfxdata="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mJhANgAAAAJAQAADwAAAAAAAAABACAA&#10;AAAiAAAAZHJzL2Rvd25yZXYueG1sUEsBAhQAFAAAAAgAh07iQP5Vmn1GAgAAvgQAAA4AAAAAAAAA&#10;AQAgAAAAJwEAAGRycy9lMm9Eb2MueG1sUEsFBgAAAAAGAAYAWQEAAN8FAAAAAA==&#10;">
                      <v:fill type="gradient" on="t" color2="#FFFFFF" angle="90" focus="100%" focussize="0,0">
                        <o:fill type="gradientUnscaled" v:ext="backwardCompatible"/>
                      </v:fill>
                      <v:stroke color="#000000" joinstyle="miter"/>
                      <v:imagedata o:title=""/>
                      <o:lock v:ext="edit" aspectratio="f"/>
                      <v:textbox>
                        <w:txbxContent>
                          <w:p w14:paraId="575C98AF">
                            <w:pPr>
                              <w:rPr>
                                <w:rFonts w:hint="eastAsia" w:eastAsia="宋体"/>
                                <w:lang w:eastAsia="zh-CN"/>
                              </w:rPr>
                            </w:pPr>
                            <w:r>
                              <w:rPr>
                                <w:rFonts w:hint="eastAsia"/>
                                <w:lang w:eastAsia="zh-CN"/>
                              </w:rPr>
                              <w:t>热风炉</w:t>
                            </w:r>
                          </w:p>
                        </w:txbxContent>
                      </v:textbox>
                    </v:shape>
                  </w:pict>
                </mc:Fallback>
              </mc:AlternateContent>
            </w:r>
          </w:p>
          <w:p w14:paraId="316CA6A7">
            <w:pPr>
              <w:numPr>
                <w:ilvl w:val="0"/>
                <w:numId w:val="0"/>
              </w:numPr>
              <w:spacing w:line="360" w:lineRule="auto"/>
              <w:jc w:val="center"/>
              <w:rPr>
                <w:rFonts w:ascii="Times New Roman" w:hAnsi="Times New Roman"/>
                <w:b/>
                <w:color w:val="auto"/>
                <w:sz w:val="24"/>
              </w:rPr>
            </w:pPr>
            <w:r>
              <w:rPr>
                <w:color w:val="auto"/>
                <w:sz w:val="24"/>
              </w:rPr>
              <mc:AlternateContent>
                <mc:Choice Requires="wps">
                  <w:drawing>
                    <wp:anchor distT="0" distB="0" distL="114300" distR="114300" simplePos="0" relativeHeight="251696128" behindDoc="0" locked="0" layoutInCell="1" allowOverlap="1">
                      <wp:simplePos x="0" y="0"/>
                      <wp:positionH relativeFrom="column">
                        <wp:posOffset>2548255</wp:posOffset>
                      </wp:positionH>
                      <wp:positionV relativeFrom="paragraph">
                        <wp:posOffset>10795</wp:posOffset>
                      </wp:positionV>
                      <wp:extent cx="505460" cy="9525"/>
                      <wp:effectExtent l="0" t="50800" r="8890" b="53975"/>
                      <wp:wrapNone/>
                      <wp:docPr id="52" name="直接连接符 52"/>
                      <wp:cNvGraphicFramePr/>
                      <a:graphic xmlns:a="http://schemas.openxmlformats.org/drawingml/2006/main">
                        <a:graphicData uri="http://schemas.microsoft.com/office/word/2010/wordprocessingShape">
                          <wps:wsp>
                            <wps:cNvCnPr/>
                            <wps:spPr>
                              <a:xfrm flipH="1" flipV="1">
                                <a:off x="0" y="0"/>
                                <a:ext cx="505460" cy="9525"/>
                              </a:xfrm>
                              <a:prstGeom prst="line">
                                <a:avLst/>
                              </a:prstGeom>
                              <a:ln w="15875" cap="flat" cmpd="sng">
                                <a:solidFill>
                                  <a:srgbClr val="000000"/>
                                </a:solidFill>
                                <a:prstDash val="dash"/>
                                <a:headEnd type="none" w="med" len="med"/>
                                <a:tailEnd type="arrow" w="med" len="med"/>
                              </a:ln>
                            </wps:spPr>
                            <wps:bodyPr upright="1"/>
                          </wps:wsp>
                        </a:graphicData>
                      </a:graphic>
                    </wp:anchor>
                  </w:drawing>
                </mc:Choice>
                <mc:Fallback>
                  <w:pict>
                    <v:line id="_x0000_s1026" o:spid="_x0000_s1026" o:spt="20" style="position:absolute;left:0pt;flip:x y;margin-left:200.65pt;margin-top:0.85pt;height:0.75pt;width:39.8pt;z-index:251696128;mso-width-relative:page;mso-height-relative:page;" filled="f" stroked="t" coordsize="21600,21600" o:gfxdata="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XypOXTAAAABwEAAA8AAAAAAAAAAQAgAAAAIgAAAGRy&#10;cy9kb3ducmV2LnhtbFBLAQIUABQAAAAIAIdO4kCSkDKKCgIAAP0DAAAOAAAAAAAAAAEAIAAAACIB&#10;AABkcnMvZTJvRG9jLnhtbFBLBQYAAAAABgAGAFkBAACeBQAAAAA=&#10;">
                      <v:fill on="f" focussize="0,0"/>
                      <v:stroke weight="1.25pt" color="#000000" joinstyle="round" dashstyle="dash" endarrow="open"/>
                      <v:imagedata o:title=""/>
                      <o:lock v:ext="edit" aspectratio="f"/>
                    </v:line>
                  </w:pict>
                </mc:Fallback>
              </mc:AlternateContent>
            </w:r>
          </w:p>
          <w:p w14:paraId="5DB43A29">
            <w:pPr>
              <w:numPr>
                <w:ilvl w:val="0"/>
                <w:numId w:val="0"/>
              </w:numPr>
              <w:spacing w:line="360" w:lineRule="auto"/>
              <w:jc w:val="center"/>
              <w:rPr>
                <w:rFonts w:ascii="Times New Roman" w:hAnsi="Times New Roman"/>
                <w:b/>
                <w:color w:val="auto"/>
                <w:sz w:val="24"/>
              </w:rPr>
            </w:pPr>
            <w:r>
              <w:rPr>
                <w:rFonts w:ascii="Times New Roman" w:hAnsi="Times New Roman"/>
                <w:b/>
                <w:color w:val="auto"/>
                <w:sz w:val="24"/>
              </w:rPr>
              <w:t>图5</w:t>
            </w:r>
            <w:r>
              <w:rPr>
                <w:rFonts w:hint="eastAsia" w:ascii="Times New Roman" w:hAnsi="Times New Roman"/>
                <w:b/>
                <w:color w:val="auto"/>
                <w:sz w:val="24"/>
              </w:rPr>
              <w:t>-</w:t>
            </w:r>
            <w:r>
              <w:rPr>
                <w:rFonts w:hint="eastAsia" w:ascii="Times New Roman" w:hAnsi="Times New Roman"/>
                <w:b/>
                <w:color w:val="auto"/>
                <w:sz w:val="24"/>
                <w:lang w:val="en-US" w:eastAsia="zh-CN"/>
              </w:rPr>
              <w:t>2</w:t>
            </w:r>
            <w:r>
              <w:rPr>
                <w:rFonts w:ascii="Times New Roman" w:hAnsi="Times New Roman"/>
                <w:b/>
                <w:color w:val="auto"/>
                <w:sz w:val="24"/>
              </w:rPr>
              <w:t xml:space="preserve">  项目</w:t>
            </w:r>
            <w:r>
              <w:rPr>
                <w:rFonts w:hint="eastAsia" w:ascii="Times New Roman" w:hAnsi="Times New Roman"/>
                <w:b/>
                <w:color w:val="auto"/>
                <w:sz w:val="24"/>
              </w:rPr>
              <w:t>生产工艺流程</w:t>
            </w:r>
            <w:r>
              <w:rPr>
                <w:rFonts w:ascii="Times New Roman" w:hAnsi="Times New Roman"/>
                <w:b/>
                <w:color w:val="auto"/>
                <w:sz w:val="24"/>
              </w:rPr>
              <w:t>及产污节点图</w:t>
            </w:r>
          </w:p>
          <w:p w14:paraId="46B240E1">
            <w:pPr>
              <w:spacing w:line="360" w:lineRule="auto"/>
              <w:rPr>
                <w:rFonts w:hint="eastAsia" w:ascii="Times New Roman" w:hAnsi="Times New Roman"/>
                <w:b/>
                <w:color w:val="auto"/>
                <w:sz w:val="24"/>
              </w:rPr>
            </w:pPr>
            <w:r>
              <w:rPr>
                <w:rFonts w:hint="eastAsia" w:ascii="Times New Roman" w:hAnsi="Times New Roman"/>
                <w:b/>
                <w:color w:val="auto"/>
                <w:sz w:val="24"/>
              </w:rPr>
              <w:t>生产工艺流程说明</w:t>
            </w:r>
          </w:p>
          <w:p w14:paraId="4D88FF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imes New Roman" w:hAnsi="Times New Roman"/>
                <w:bCs/>
                <w:color w:val="auto"/>
                <w:sz w:val="24"/>
              </w:rPr>
            </w:pPr>
            <w:r>
              <w:rPr>
                <w:rFonts w:hint="eastAsia" w:ascii="Times New Roman" w:hAnsi="Times New Roman"/>
                <w:bCs/>
                <w:color w:val="auto"/>
                <w:sz w:val="24"/>
                <w:lang w:eastAsia="zh-CN"/>
              </w:rPr>
              <w:t>（</w:t>
            </w:r>
            <w:r>
              <w:rPr>
                <w:rFonts w:hint="eastAsia"/>
                <w:bCs/>
                <w:color w:val="auto"/>
                <w:sz w:val="24"/>
                <w:lang w:val="en-US" w:eastAsia="zh-CN"/>
              </w:rPr>
              <w:t>1</w:t>
            </w:r>
            <w:r>
              <w:rPr>
                <w:rFonts w:hint="eastAsia" w:ascii="Times New Roman" w:hAnsi="Times New Roman"/>
                <w:bCs/>
                <w:color w:val="auto"/>
                <w:sz w:val="24"/>
                <w:lang w:eastAsia="zh-CN"/>
              </w:rPr>
              <w:t>）揉切</w:t>
            </w:r>
            <w:r>
              <w:rPr>
                <w:rFonts w:hint="eastAsia" w:ascii="Times New Roman" w:hAnsi="Times New Roman"/>
                <w:bCs/>
                <w:color w:val="auto"/>
                <w:sz w:val="24"/>
              </w:rPr>
              <w:t>：</w:t>
            </w:r>
            <w:r>
              <w:rPr>
                <w:rFonts w:hint="eastAsia" w:ascii="宋体" w:hAnsi="宋体" w:eastAsia="宋体" w:cs="宋体"/>
                <w:i w:val="0"/>
                <w:caps w:val="0"/>
                <w:color w:val="auto"/>
                <w:spacing w:val="0"/>
                <w:sz w:val="24"/>
                <w:szCs w:val="24"/>
              </w:rPr>
              <w:t>采用标准揉切工艺洛托凡转子机与三联CTC机相配套，强烈快速揉切萎凋叶，经除杂后先用洛托凡转子机初揉切，使茶叶组织解体，然后进入CTC机连续进行3次强烈揉切，使茶叶在CTC机齿辊的作用下表皮撕裂、叶肉裸露、组织破损、茶汁外溢、卷成颗粒。由于揉切历时很短，揉切后的茶叶呈翠绿色，为</w:t>
            </w:r>
            <w:r>
              <w:rPr>
                <w:rFonts w:hint="eastAsia" w:ascii="宋体" w:hAnsi="宋体" w:eastAsia="宋体" w:cs="宋体"/>
                <w:i w:val="0"/>
                <w:caps w:val="0"/>
                <w:color w:val="auto"/>
                <w:spacing w:val="0"/>
                <w:sz w:val="24"/>
                <w:szCs w:val="24"/>
                <w:u w:val="none"/>
              </w:rPr>
              <w:fldChar w:fldCharType="begin"/>
            </w:r>
            <w:r>
              <w:rPr>
                <w:rFonts w:hint="eastAsia" w:ascii="宋体" w:hAnsi="宋体" w:eastAsia="宋体" w:cs="宋体"/>
                <w:i w:val="0"/>
                <w:caps w:val="0"/>
                <w:color w:val="auto"/>
                <w:spacing w:val="0"/>
                <w:sz w:val="24"/>
                <w:szCs w:val="24"/>
                <w:u w:val="none"/>
              </w:rPr>
              <w:instrText xml:space="preserve"> HYPERLINK "http://www.puer10000.com/fajiao/" \t "http://www.puer10000.com/chalei/_blank" </w:instrText>
            </w:r>
            <w:r>
              <w:rPr>
                <w:rFonts w:hint="eastAsia" w:ascii="宋体" w:hAnsi="宋体" w:eastAsia="宋体" w:cs="宋体"/>
                <w:i w:val="0"/>
                <w:caps w:val="0"/>
                <w:color w:val="auto"/>
                <w:spacing w:val="0"/>
                <w:sz w:val="24"/>
                <w:szCs w:val="24"/>
                <w:u w:val="none"/>
              </w:rPr>
              <w:fldChar w:fldCharType="separate"/>
            </w:r>
            <w:r>
              <w:rPr>
                <w:rStyle w:val="29"/>
                <w:rFonts w:hint="eastAsia" w:ascii="宋体" w:hAnsi="宋体" w:eastAsia="宋体" w:cs="宋体"/>
                <w:i w:val="0"/>
                <w:caps w:val="0"/>
                <w:color w:val="auto"/>
                <w:spacing w:val="0"/>
                <w:sz w:val="24"/>
                <w:szCs w:val="24"/>
                <w:u w:val="none"/>
              </w:rPr>
              <w:t>发酵</w:t>
            </w:r>
            <w:r>
              <w:rPr>
                <w:rFonts w:hint="eastAsia" w:ascii="宋体" w:hAnsi="宋体" w:eastAsia="宋体" w:cs="宋体"/>
                <w:i w:val="0"/>
                <w:caps w:val="0"/>
                <w:color w:val="auto"/>
                <w:spacing w:val="0"/>
                <w:sz w:val="24"/>
                <w:szCs w:val="24"/>
                <w:u w:val="none"/>
              </w:rPr>
              <w:fldChar w:fldCharType="end"/>
            </w:r>
            <w:r>
              <w:rPr>
                <w:rFonts w:hint="eastAsia" w:ascii="宋体" w:hAnsi="宋体" w:eastAsia="宋体" w:cs="宋体"/>
                <w:i w:val="0"/>
                <w:caps w:val="0"/>
                <w:color w:val="auto"/>
                <w:spacing w:val="0"/>
                <w:sz w:val="24"/>
                <w:szCs w:val="24"/>
              </w:rPr>
              <w:t>提供了充足的时间，要求CTC机的齿辊配对啮合，齿辊刀口锋利，齿侧间隙值恰当，齿侧间隙调至0.10毫米~0.15毫米</w:t>
            </w:r>
            <w:r>
              <w:rPr>
                <w:rFonts w:hint="eastAsia" w:ascii="Times New Roman" w:hAnsi="Times New Roman"/>
                <w:bCs/>
                <w:color w:val="auto"/>
                <w:sz w:val="24"/>
              </w:rPr>
              <w:t>。</w:t>
            </w:r>
          </w:p>
          <w:p w14:paraId="4FBBC0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Cs/>
                <w:color w:val="auto"/>
                <w:sz w:val="24"/>
              </w:rPr>
            </w:pPr>
            <w:r>
              <w:rPr>
                <w:rFonts w:hint="eastAsia" w:ascii="Times New Roman" w:hAnsi="Times New Roman" w:eastAsia="宋体"/>
                <w:color w:val="auto"/>
                <w:sz w:val="24"/>
                <w:lang w:eastAsia="zh-CN"/>
              </w:rPr>
              <w:t>（</w:t>
            </w:r>
            <w:r>
              <w:rPr>
                <w:rFonts w:hint="eastAsia"/>
                <w:color w:val="auto"/>
                <w:sz w:val="24"/>
                <w:lang w:val="en-US" w:eastAsia="zh-CN"/>
              </w:rPr>
              <w:t>2</w:t>
            </w:r>
            <w:r>
              <w:rPr>
                <w:rFonts w:hint="eastAsia" w:ascii="Times New Roman" w:hAnsi="Times New Roman" w:eastAsia="宋体"/>
                <w:color w:val="auto"/>
                <w:sz w:val="24"/>
                <w:lang w:eastAsia="zh-CN"/>
              </w:rPr>
              <w:t>）</w:t>
            </w:r>
            <w:r>
              <w:rPr>
                <w:rFonts w:ascii="Times New Roman" w:hAnsi="Times New Roman" w:eastAsia="宋体"/>
                <w:color w:val="auto"/>
                <w:sz w:val="24"/>
              </w:rPr>
              <w:t>发酵：</w:t>
            </w:r>
            <w:r>
              <w:rPr>
                <w:rFonts w:hint="eastAsia" w:ascii="宋体" w:hAnsi="宋体" w:eastAsia="宋体" w:cs="宋体"/>
                <w:i w:val="0"/>
                <w:caps w:val="0"/>
                <w:color w:val="auto"/>
                <w:spacing w:val="0"/>
                <w:sz w:val="24"/>
                <w:szCs w:val="24"/>
              </w:rPr>
              <w:t>用床式透气连续发酵机，它采用了供氧、喷雾增湿等技术，只有发酵均匀、品质稳定、连续作业的优点，铺发酵颎粒茶厚度10厘米左右。床面容</w:t>
            </w:r>
            <w:r>
              <w:rPr>
                <w:rFonts w:hint="eastAsia" w:ascii="宋体" w:hAnsi="宋体" w:eastAsia="宋体" w:cs="宋体"/>
                <w:i w:val="0"/>
                <w:caps w:val="0"/>
                <w:color w:val="auto"/>
                <w:spacing w:val="0"/>
                <w:sz w:val="24"/>
                <w:szCs w:val="24"/>
                <w:lang w:eastAsia="zh-CN"/>
              </w:rPr>
              <w:t>量</w:t>
            </w:r>
            <w:r>
              <w:rPr>
                <w:rFonts w:hint="eastAsia" w:ascii="宋体" w:hAnsi="宋体" w:eastAsia="宋体" w:cs="宋体"/>
                <w:i w:val="0"/>
                <w:caps w:val="0"/>
                <w:color w:val="auto"/>
                <w:spacing w:val="0"/>
                <w:sz w:val="24"/>
                <w:szCs w:val="24"/>
              </w:rPr>
              <w:t>360-400千克，</w:t>
            </w:r>
            <w:r>
              <w:rPr>
                <w:rFonts w:hint="eastAsia" w:ascii="宋体" w:hAnsi="宋体" w:cs="宋体"/>
                <w:i w:val="0"/>
                <w:caps w:val="0"/>
                <w:color w:val="auto"/>
                <w:spacing w:val="0"/>
                <w:sz w:val="24"/>
                <w:szCs w:val="24"/>
                <w:lang w:eastAsia="zh-CN"/>
              </w:rPr>
              <w:t>发酵</w:t>
            </w:r>
            <w:r>
              <w:rPr>
                <w:rFonts w:hint="eastAsia" w:ascii="宋体" w:hAnsi="宋体" w:eastAsia="宋体" w:cs="宋体"/>
                <w:i w:val="0"/>
                <w:caps w:val="0"/>
                <w:color w:val="auto"/>
                <w:spacing w:val="0"/>
                <w:sz w:val="24"/>
                <w:szCs w:val="24"/>
              </w:rPr>
              <w:t>时间可变速调节，一般发酵时间40分钟，当气温变化或投叶量稍大时，可调节走床速度和鼓风进行发酵程度的调整</w:t>
            </w:r>
            <w:r>
              <w:rPr>
                <w:rFonts w:ascii="Times New Roman" w:hAnsi="Times New Roman" w:eastAsia="宋体"/>
                <w:color w:val="auto"/>
                <w:sz w:val="24"/>
              </w:rPr>
              <w:t>。</w:t>
            </w:r>
          </w:p>
          <w:p w14:paraId="5DC3E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rPr>
            </w:pPr>
            <w:r>
              <w:rPr>
                <w:rFonts w:hint="eastAsia" w:ascii="Times New Roman" w:hAnsi="Times New Roman"/>
                <w:bCs/>
                <w:color w:val="auto"/>
                <w:sz w:val="24"/>
                <w:lang w:eastAsia="zh-CN"/>
              </w:rPr>
              <w:t>（</w:t>
            </w:r>
            <w:r>
              <w:rPr>
                <w:rFonts w:hint="eastAsia"/>
                <w:bCs/>
                <w:color w:val="auto"/>
                <w:sz w:val="24"/>
                <w:lang w:val="en-US" w:eastAsia="zh-CN"/>
              </w:rPr>
              <w:t>3</w:t>
            </w:r>
            <w:r>
              <w:rPr>
                <w:rFonts w:hint="eastAsia" w:ascii="Times New Roman" w:hAnsi="Times New Roman"/>
                <w:bCs/>
                <w:color w:val="auto"/>
                <w:sz w:val="24"/>
                <w:lang w:eastAsia="zh-CN"/>
              </w:rPr>
              <w:t>）烘干</w:t>
            </w:r>
            <w:r>
              <w:rPr>
                <w:rFonts w:hint="eastAsia" w:ascii="Times New Roman" w:hAnsi="Times New Roman"/>
                <w:bCs/>
                <w:color w:val="auto"/>
                <w:sz w:val="24"/>
              </w:rPr>
              <w:t>：</w:t>
            </w:r>
            <w:r>
              <w:rPr>
                <w:rFonts w:hint="eastAsia" w:ascii="宋体" w:hAnsi="宋体" w:eastAsia="宋体" w:cs="宋体"/>
                <w:i w:val="0"/>
                <w:caps w:val="0"/>
                <w:color w:val="auto"/>
                <w:spacing w:val="0"/>
                <w:sz w:val="24"/>
                <w:szCs w:val="24"/>
              </w:rPr>
              <w:t>采用流化床</w:t>
            </w:r>
            <w:r>
              <w:rPr>
                <w:rFonts w:hint="eastAsia" w:ascii="宋体" w:hAnsi="宋体" w:eastAsia="宋体" w:cs="宋体"/>
                <w:i w:val="0"/>
                <w:caps w:val="0"/>
                <w:color w:val="auto"/>
                <w:spacing w:val="0"/>
                <w:sz w:val="24"/>
                <w:szCs w:val="24"/>
                <w:lang w:eastAsia="zh-CN"/>
              </w:rPr>
              <w:t>干</w:t>
            </w:r>
            <w:r>
              <w:rPr>
                <w:rFonts w:hint="eastAsia" w:ascii="宋体" w:hAnsi="宋体" w:eastAsia="宋体" w:cs="宋体"/>
                <w:i w:val="0"/>
                <w:caps w:val="0"/>
                <w:color w:val="auto"/>
                <w:spacing w:val="0"/>
                <w:sz w:val="24"/>
                <w:szCs w:val="24"/>
              </w:rPr>
              <w:t>燥，又称沸腾床十烁，优点是茶颗粒能与热空气密切接触，并且不需机械搅拌就能达到茶颗粒干燥均匀的要求，因投叶量和</w:t>
            </w:r>
            <w:r>
              <w:rPr>
                <w:rFonts w:hint="eastAsia" w:ascii="宋体" w:hAnsi="宋体" w:eastAsia="宋体" w:cs="宋体"/>
                <w:i w:val="0"/>
                <w:caps w:val="0"/>
                <w:color w:val="auto"/>
                <w:spacing w:val="0"/>
                <w:sz w:val="24"/>
                <w:szCs w:val="24"/>
                <w:lang w:eastAsia="zh-CN"/>
              </w:rPr>
              <w:t>干</w:t>
            </w:r>
            <w:r>
              <w:rPr>
                <w:rFonts w:hint="eastAsia" w:ascii="宋体" w:hAnsi="宋体" w:eastAsia="宋体" w:cs="宋体"/>
                <w:i w:val="0"/>
                <w:caps w:val="0"/>
                <w:color w:val="auto"/>
                <w:spacing w:val="0"/>
                <w:sz w:val="24"/>
                <w:szCs w:val="24"/>
              </w:rPr>
              <w:t>燥温度有时不均一，需视具体情况调节流化床调节口处挡板的高度，保持流化床茶颗粒厚度，控制茶颗粒在流化床内停留的时间，使茶版粒连续进行干燥：保证调节口茶颗粒含水率在5%左右</w:t>
            </w:r>
            <w:r>
              <w:rPr>
                <w:rFonts w:hint="eastAsia" w:ascii="宋体" w:hAnsi="宋体" w:eastAsia="宋体" w:cs="宋体"/>
                <w:bCs/>
                <w:color w:val="auto"/>
                <w:sz w:val="24"/>
                <w:lang w:eastAsia="zh-CN"/>
              </w:rPr>
              <w:t>。</w:t>
            </w:r>
          </w:p>
          <w:p w14:paraId="130119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color w:val="auto"/>
                <w:sz w:val="24"/>
                <w:lang w:val="en-US" w:eastAsia="zh-CN"/>
              </w:rPr>
            </w:pPr>
            <w:r>
              <w:rPr>
                <w:rFonts w:hint="eastAsia" w:ascii="Times New Roman" w:hAnsi="Times New Roman"/>
                <w:bCs/>
                <w:color w:val="auto"/>
                <w:sz w:val="24"/>
                <w:lang w:eastAsia="zh-CN"/>
              </w:rPr>
              <w:t>（</w:t>
            </w:r>
            <w:r>
              <w:rPr>
                <w:rFonts w:hint="eastAsia"/>
                <w:bCs/>
                <w:color w:val="auto"/>
                <w:sz w:val="24"/>
                <w:lang w:val="en-US" w:eastAsia="zh-CN"/>
              </w:rPr>
              <w:t>4</w:t>
            </w:r>
            <w:r>
              <w:rPr>
                <w:rFonts w:hint="eastAsia" w:ascii="Times New Roman" w:hAnsi="Times New Roman"/>
                <w:bCs/>
                <w:color w:val="auto"/>
                <w:sz w:val="24"/>
                <w:lang w:eastAsia="zh-CN"/>
              </w:rPr>
              <w:t>）拣梗和筛分：</w:t>
            </w:r>
            <w:r>
              <w:rPr>
                <w:rFonts w:hint="eastAsia" w:ascii="宋体" w:hAnsi="宋体" w:eastAsia="宋体" w:cs="宋体"/>
                <w:i w:val="0"/>
                <w:caps w:val="0"/>
                <w:color w:val="auto"/>
                <w:spacing w:val="0"/>
                <w:sz w:val="24"/>
                <w:szCs w:val="24"/>
              </w:rPr>
              <w:t>采用静电拣</w:t>
            </w:r>
            <w:r>
              <w:rPr>
                <w:rFonts w:hint="eastAsia" w:ascii="宋体" w:hAnsi="宋体" w:eastAsia="宋体" w:cs="宋体"/>
                <w:i w:val="0"/>
                <w:caps w:val="0"/>
                <w:color w:val="auto"/>
                <w:spacing w:val="0"/>
                <w:sz w:val="24"/>
                <w:szCs w:val="24"/>
                <w:lang w:eastAsia="zh-CN"/>
              </w:rPr>
              <w:t>梗</w:t>
            </w:r>
            <w:r>
              <w:rPr>
                <w:rFonts w:hint="eastAsia" w:ascii="宋体" w:hAnsi="宋体" w:eastAsia="宋体" w:cs="宋体"/>
                <w:i w:val="0"/>
                <w:caps w:val="0"/>
                <w:color w:val="auto"/>
                <w:spacing w:val="0"/>
                <w:sz w:val="24"/>
                <w:szCs w:val="24"/>
              </w:rPr>
              <w:t>机连续化生产，利用静电来拣剔梗杂物。筛分网用镀锌钢丝织制，</w:t>
            </w:r>
            <w:r>
              <w:rPr>
                <w:rFonts w:hint="eastAsia" w:ascii="宋体" w:hAnsi="宋体" w:eastAsia="宋体" w:cs="宋体"/>
                <w:i w:val="0"/>
                <w:caps w:val="0"/>
                <w:color w:val="auto"/>
                <w:spacing w:val="0"/>
                <w:sz w:val="24"/>
                <w:szCs w:val="24"/>
                <w:lang w:eastAsia="zh-CN"/>
              </w:rPr>
              <w:t>工</w:t>
            </w:r>
            <w:r>
              <w:rPr>
                <w:rFonts w:hint="eastAsia" w:ascii="宋体" w:hAnsi="宋体" w:eastAsia="宋体" w:cs="宋体"/>
                <w:i w:val="0"/>
                <w:caps w:val="0"/>
                <w:color w:val="auto"/>
                <w:spacing w:val="0"/>
                <w:sz w:val="24"/>
                <w:szCs w:val="24"/>
              </w:rPr>
              <w:t>作时，筛床往复抖动，茶叶随筛而纵向前进，使大小不同的茶颗粒分离出来，起抖头抽筋的作用。根据茶量调整拣别机上塑料辊筒离网的高度。初分拣别机适当降低做到尽量把梗杂物拣剔干冷，不影响细分拣别机的拣梗净度，细分拣别机辊筒在保证净度的情况下适当升高，减少副茶的回拣率，起到节约能源和人力的作用，筛网配置先细后粗，顺序安装。</w:t>
            </w:r>
          </w:p>
          <w:p w14:paraId="71A6EE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imes New Roman" w:hAnsi="Times New Roman"/>
                <w:bCs/>
                <w:color w:val="auto"/>
                <w:sz w:val="24"/>
              </w:rPr>
            </w:pPr>
            <w:r>
              <w:rPr>
                <w:rFonts w:hint="eastAsia" w:ascii="Times New Roman" w:hAnsi="Times New Roman"/>
                <w:bCs/>
                <w:color w:val="auto"/>
                <w:sz w:val="24"/>
                <w:lang w:eastAsia="zh-CN"/>
              </w:rPr>
              <w:t>（</w:t>
            </w:r>
            <w:r>
              <w:rPr>
                <w:rFonts w:hint="eastAsia"/>
                <w:bCs/>
                <w:color w:val="auto"/>
                <w:sz w:val="24"/>
                <w:lang w:val="en-US" w:eastAsia="zh-CN"/>
              </w:rPr>
              <w:t>5</w:t>
            </w:r>
            <w:r>
              <w:rPr>
                <w:rFonts w:hint="eastAsia" w:ascii="Times New Roman" w:hAnsi="Times New Roman"/>
                <w:bCs/>
                <w:color w:val="auto"/>
                <w:sz w:val="24"/>
                <w:lang w:eastAsia="zh-CN"/>
              </w:rPr>
              <w:t>）红茶入库</w:t>
            </w:r>
            <w:r>
              <w:rPr>
                <w:rFonts w:hint="eastAsia" w:ascii="Times New Roman" w:hAnsi="Times New Roman"/>
                <w:bCs/>
                <w:color w:val="auto"/>
                <w:sz w:val="24"/>
              </w:rPr>
              <w:t>：</w:t>
            </w:r>
            <w:r>
              <w:rPr>
                <w:rFonts w:hint="eastAsia" w:ascii="Times New Roman" w:hAnsi="Times New Roman"/>
                <w:bCs/>
                <w:color w:val="auto"/>
                <w:sz w:val="24"/>
                <w:lang w:eastAsia="zh-CN"/>
              </w:rPr>
              <w:t>将经过筛分、拣梗的红茶进行匀堆，然后放入包装袋移到成品堆放间待售</w:t>
            </w:r>
            <w:r>
              <w:rPr>
                <w:rFonts w:hint="eastAsia" w:ascii="Times New Roman" w:hAnsi="Times New Roman"/>
                <w:bCs/>
                <w:color w:val="auto"/>
                <w:sz w:val="24"/>
              </w:rPr>
              <w:t>。</w:t>
            </w:r>
          </w:p>
          <w:p w14:paraId="3F73E74D">
            <w:pPr>
              <w:numPr>
                <w:ilvl w:val="0"/>
                <w:numId w:val="0"/>
              </w:numPr>
              <w:spacing w:before="62" w:beforeLines="20" w:after="62" w:afterLines="20" w:line="360" w:lineRule="auto"/>
              <w:ind w:right="76" w:rightChars="36"/>
              <w:outlineLvl w:val="1"/>
              <w:rPr>
                <w:rFonts w:hint="eastAsia" w:ascii="宋体" w:hAnsi="宋体" w:eastAsia="宋体" w:cs="宋体"/>
                <w:b/>
                <w:color w:val="auto"/>
                <w:sz w:val="24"/>
                <w:lang w:eastAsia="zh-CN"/>
              </w:rPr>
            </w:pPr>
            <w:r>
              <w:rPr>
                <w:rFonts w:hint="eastAsia" w:ascii="宋体" w:hAnsi="宋体" w:cs="宋体"/>
                <w:b/>
                <w:color w:val="auto"/>
                <w:sz w:val="24"/>
                <w:lang w:eastAsia="zh-CN"/>
              </w:rPr>
              <w:t>四</w:t>
            </w:r>
            <w:r>
              <w:rPr>
                <w:rFonts w:hint="eastAsia" w:ascii="宋体" w:hAnsi="宋体" w:eastAsia="宋体" w:cs="宋体"/>
                <w:b/>
                <w:color w:val="auto"/>
                <w:sz w:val="24"/>
                <w:lang w:eastAsia="zh-CN"/>
              </w:rPr>
              <w:t>、</w:t>
            </w:r>
            <w:r>
              <w:rPr>
                <w:rFonts w:hint="eastAsia" w:ascii="宋体" w:hAnsi="宋体" w:eastAsia="宋体" w:cs="宋体"/>
                <w:b/>
                <w:color w:val="auto"/>
                <w:sz w:val="24"/>
              </w:rPr>
              <w:t>运营期主要污染</w:t>
            </w:r>
            <w:r>
              <w:rPr>
                <w:rFonts w:hint="eastAsia" w:ascii="宋体" w:hAnsi="宋体" w:eastAsia="宋体" w:cs="宋体"/>
                <w:b/>
                <w:color w:val="auto"/>
                <w:sz w:val="24"/>
                <w:lang w:eastAsia="zh-CN"/>
              </w:rPr>
              <w:t>源强分析</w:t>
            </w:r>
          </w:p>
          <w:p w14:paraId="61DA3B7B">
            <w:pPr>
              <w:spacing w:before="156" w:beforeLines="50" w:after="156" w:afterLines="50" w:line="240" w:lineRule="auto"/>
              <w:ind w:firstLine="241" w:firstLineChars="100"/>
              <w:outlineLvl w:val="3"/>
              <w:rPr>
                <w:rFonts w:hint="eastAsia" w:ascii="宋体" w:hAnsi="宋体" w:eastAsia="宋体" w:cs="宋体"/>
                <w:b/>
                <w:color w:val="auto"/>
                <w:sz w:val="24"/>
              </w:rPr>
            </w:pPr>
            <w:r>
              <w:rPr>
                <w:rFonts w:hint="eastAsia" w:ascii="宋体" w:hAnsi="宋体" w:eastAsia="宋体" w:cs="宋体"/>
                <w:b/>
                <w:color w:val="auto"/>
                <w:sz w:val="24"/>
                <w:lang w:val="en-US" w:eastAsia="zh-CN"/>
              </w:rPr>
              <w:t>1、</w:t>
            </w:r>
            <w:r>
              <w:rPr>
                <w:rFonts w:hint="eastAsia" w:ascii="宋体" w:hAnsi="宋体" w:eastAsia="宋体" w:cs="宋体"/>
                <w:b/>
                <w:color w:val="auto"/>
                <w:sz w:val="24"/>
              </w:rPr>
              <w:t>废气</w:t>
            </w:r>
          </w:p>
          <w:p w14:paraId="7536C21A">
            <w:pPr>
              <w:spacing w:before="156" w:beforeLines="50" w:after="156" w:afterLines="50" w:line="360" w:lineRule="auto"/>
              <w:ind w:firstLine="480" w:firstLineChars="200"/>
              <w:outlineLvl w:val="3"/>
              <w:rPr>
                <w:rFonts w:hint="eastAsia" w:ascii="Times New Roman" w:hAnsi="Times New Roman"/>
                <w:color w:val="auto"/>
                <w:sz w:val="24"/>
              </w:rPr>
            </w:pPr>
            <w:r>
              <w:rPr>
                <w:rFonts w:ascii="Times New Roman" w:hAnsi="Times New Roman"/>
                <w:color w:val="auto"/>
                <w:sz w:val="24"/>
              </w:rPr>
              <w:t>项目运营过程中产生的废气主要来源于</w:t>
            </w:r>
            <w:r>
              <w:rPr>
                <w:rFonts w:hint="eastAsia" w:ascii="Times New Roman" w:hAnsi="Times New Roman"/>
                <w:color w:val="auto"/>
                <w:sz w:val="24"/>
                <w:lang w:eastAsia="zh-CN"/>
              </w:rPr>
              <w:t>热风炉废气、茶叶在加工过程产生的茶叶粉尘、茶香，厨房产生的油烟以及化粪池异味</w:t>
            </w:r>
            <w:r>
              <w:rPr>
                <w:rFonts w:hint="eastAsia" w:ascii="Times New Roman" w:hAnsi="Times New Roman"/>
                <w:color w:val="auto"/>
                <w:sz w:val="24"/>
              </w:rPr>
              <w:t>。</w:t>
            </w:r>
          </w:p>
          <w:p w14:paraId="00F222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）热风炉燃烧烟气</w:t>
            </w:r>
          </w:p>
          <w:p w14:paraId="4960214D">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本项目使用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台</w:t>
            </w:r>
            <w:r>
              <w:rPr>
                <w:rFonts w:hint="eastAsia" w:ascii="宋体" w:hAnsi="宋体" w:eastAsia="宋体" w:cs="宋体"/>
                <w:color w:val="auto"/>
                <w:sz w:val="24"/>
                <w:szCs w:val="24"/>
                <w:lang w:eastAsia="zh-CN"/>
              </w:rPr>
              <w:t>热风炉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来</w:t>
            </w:r>
            <w:r>
              <w:rPr>
                <w:rFonts w:hint="eastAsia" w:ascii="宋体" w:hAnsi="宋体" w:eastAsia="宋体" w:cs="宋体"/>
                <w:color w:val="auto"/>
                <w:sz w:val="24"/>
                <w:szCs w:val="24"/>
              </w:rPr>
              <w:t>提供所需热能</w:t>
            </w:r>
            <w:r>
              <w:rPr>
                <w:rFonts w:hint="eastAsia" w:ascii="宋体" w:hAnsi="宋体" w:eastAsia="宋体" w:cs="宋体"/>
                <w:color w:val="auto"/>
                <w:sz w:val="24"/>
                <w:szCs w:val="24"/>
                <w:lang w:eastAsia="zh-CN"/>
              </w:rPr>
              <w:t>。热风炉主要燃烧废</w:t>
            </w:r>
            <w:r>
              <w:rPr>
                <w:rFonts w:hint="eastAsia" w:ascii="宋体" w:hAnsi="宋体" w:cs="宋体"/>
                <w:color w:val="auto"/>
                <w:sz w:val="24"/>
                <w:szCs w:val="24"/>
                <w:lang w:eastAsia="zh-CN"/>
              </w:rPr>
              <w:t>弃</w:t>
            </w:r>
            <w:r>
              <w:rPr>
                <w:rFonts w:hint="eastAsia" w:ascii="宋体" w:hAnsi="宋体" w:eastAsia="宋体" w:cs="宋体"/>
                <w:color w:val="auto"/>
                <w:sz w:val="24"/>
                <w:szCs w:val="24"/>
                <w:lang w:eastAsia="zh-CN"/>
              </w:rPr>
              <w:t>木材</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木屑等，从项目周边木材厂购买，生物质燃烧过程中对周围大气环境会产生一定的影响，燃烧后产生的烟气直接排放将对环境造成一定的影响。</w:t>
            </w:r>
          </w:p>
          <w:p w14:paraId="4FE7C35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根据业主介绍，项目</w:t>
            </w:r>
            <w:r>
              <w:rPr>
                <w:rFonts w:hint="eastAsia" w:ascii="宋体" w:hAnsi="宋体" w:eastAsia="宋体" w:cs="宋体"/>
                <w:color w:val="auto"/>
                <w:sz w:val="24"/>
                <w:szCs w:val="24"/>
                <w:lang w:val="en-US" w:eastAsia="zh-CN"/>
              </w:rPr>
              <w:t>3台热风炉每年燃烧生物质</w:t>
            </w:r>
            <w:r>
              <w:rPr>
                <w:rFonts w:hint="eastAsia" w:ascii="宋体" w:hAnsi="宋体" w:cs="宋体"/>
                <w:color w:val="auto"/>
                <w:sz w:val="24"/>
                <w:szCs w:val="24"/>
                <w:lang w:val="en-US" w:eastAsia="zh-CN"/>
              </w:rPr>
              <w:t>36</w:t>
            </w:r>
            <w:r>
              <w:rPr>
                <w:rFonts w:hint="eastAsia" w:ascii="宋体" w:hAnsi="宋体" w:eastAsia="宋体" w:cs="宋体"/>
                <w:color w:val="auto"/>
                <w:sz w:val="24"/>
                <w:szCs w:val="24"/>
                <w:lang w:val="en-US" w:eastAsia="zh-CN"/>
              </w:rPr>
              <w:t>0t,3台热风炉引风量是10000m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/h,热风炉工作时间8小时，每年生产240d,产生一定量的</w:t>
            </w:r>
            <w:r>
              <w:rPr>
                <w:rFonts w:hint="eastAsia" w:ascii="宋体" w:hAnsi="宋体" w:cs="宋体"/>
                <w:color w:val="auto"/>
                <w:sz w:val="24"/>
                <w:szCs w:val="24"/>
                <w:lang w:val="en-US" w:eastAsia="zh-CN"/>
              </w:rPr>
              <w:t>烟尘</w:t>
            </w:r>
            <w:r>
              <w:rPr>
                <w:rFonts w:hint="eastAsia" w:ascii="宋体" w:hAnsi="宋体" w:eastAsia="宋体" w:cs="宋体"/>
                <w:color w:val="auto"/>
                <w:sz w:val="24"/>
                <w:szCs w:val="24"/>
                <w:lang w:val="en-US" w:eastAsia="zh-CN"/>
              </w:rPr>
              <w:t>、SO</w:t>
            </w:r>
            <w:r>
              <w:rPr>
                <w:rFonts w:hint="eastAsia" w:ascii="宋体" w:hAnsi="宋体" w:eastAsia="宋体" w:cs="宋体"/>
                <w:color w:val="auto"/>
                <w:sz w:val="24"/>
                <w:szCs w:val="24"/>
                <w:vertAlign w:val="subscript"/>
                <w:lang w:val="en-US" w:eastAsia="zh-CN"/>
              </w:rPr>
              <w:t>2</w:t>
            </w:r>
            <w:r>
              <w:rPr>
                <w:rFonts w:hint="eastAsia" w:ascii="宋体" w:hAnsi="宋体" w:eastAsia="宋体" w:cs="宋体"/>
                <w:color w:val="auto"/>
                <w:sz w:val="24"/>
                <w:szCs w:val="24"/>
                <w:lang w:val="en-US" w:eastAsia="zh-CN"/>
              </w:rPr>
              <w:t>、NO</w:t>
            </w:r>
            <w:r>
              <w:rPr>
                <w:rFonts w:hint="eastAsia" w:ascii="宋体" w:hAnsi="宋体" w:eastAsia="宋体" w:cs="宋体"/>
                <w:color w:val="auto"/>
                <w:sz w:val="24"/>
                <w:szCs w:val="24"/>
                <w:vertAlign w:val="subscript"/>
                <w:lang w:val="en-US" w:eastAsia="zh-CN"/>
              </w:rPr>
              <w:t>2</w:t>
            </w:r>
            <w:r>
              <w:rPr>
                <w:rFonts w:hint="eastAsia" w:ascii="宋体" w:hAnsi="宋体" w:eastAsia="宋体" w:cs="宋体"/>
                <w:color w:val="auto"/>
                <w:sz w:val="24"/>
                <w:szCs w:val="24"/>
                <w:lang w:val="en-US" w:eastAsia="zh-CN"/>
              </w:rPr>
              <w:t>等污染物</w:t>
            </w:r>
            <w:r>
              <w:rPr>
                <w:rFonts w:hint="eastAsia" w:ascii="宋体" w:hAnsi="宋体" w:eastAsia="宋体" w:cs="宋体"/>
                <w:color w:val="auto"/>
                <w:sz w:val="24"/>
                <w:szCs w:val="24"/>
              </w:rPr>
              <w:t xml:space="preserve">。  </w:t>
            </w:r>
          </w:p>
          <w:p w14:paraId="3F19AB1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lang w:eastAsia="zh-CN"/>
              </w:rPr>
              <w:t>本项目燃烧木材产生的污染物参考《第一次全国污染源普查工业污染源产排污系数手册》中</w:t>
            </w:r>
            <w:r>
              <w:rPr>
                <w:rFonts w:hint="eastAsia" w:ascii="宋体" w:hAnsi="宋体" w:eastAsia="宋体" w:cs="宋体"/>
                <w:color w:val="auto"/>
                <w:sz w:val="24"/>
                <w:szCs w:val="24"/>
                <w:lang w:val="en-US" w:eastAsia="zh-CN"/>
              </w:rPr>
              <w:t>4430工业锅炉（热力生产和供应行业）产污系数表，除尘措施采用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旋风</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布袋除尘（除尘效率</w:t>
            </w:r>
            <w:r>
              <w:rPr>
                <w:rFonts w:hint="eastAsia" w:ascii="宋体" w:hAnsi="宋体" w:eastAsia="宋体" w:cs="宋体"/>
                <w:color w:val="auto"/>
                <w:sz w:val="24"/>
                <w:szCs w:val="24"/>
                <w:lang w:val="en-US" w:eastAsia="zh-CN"/>
              </w:rPr>
              <w:t>99%）。生物质工业锅炉产排污系数见下表5-2。</w:t>
            </w:r>
          </w:p>
          <w:p w14:paraId="2AF77DED">
            <w:pPr>
              <w:spacing w:line="360" w:lineRule="auto"/>
              <w:jc w:val="center"/>
              <w:rPr>
                <w:rFonts w:ascii="宋体" w:hAnsi="宋体" w:cs="Times New Roman"/>
                <w:b/>
                <w:bCs/>
                <w:color w:val="auto"/>
                <w:sz w:val="24"/>
              </w:rPr>
            </w:pPr>
            <w:r>
              <w:rPr>
                <w:rFonts w:ascii="宋体" w:hAnsi="宋体" w:cs="Times New Roman"/>
                <w:b/>
                <w:bCs/>
                <w:color w:val="auto"/>
                <w:sz w:val="24"/>
              </w:rPr>
              <w:t>表5-</w:t>
            </w:r>
            <w:r>
              <w:rPr>
                <w:rFonts w:hint="eastAsia" w:ascii="宋体" w:hAnsi="宋体" w:cs="Times New Roman"/>
                <w:b/>
                <w:bCs/>
                <w:color w:val="auto"/>
                <w:sz w:val="24"/>
                <w:lang w:val="en-US" w:eastAsia="zh-CN"/>
              </w:rPr>
              <w:t>2</w:t>
            </w:r>
            <w:r>
              <w:rPr>
                <w:rFonts w:ascii="宋体" w:hAnsi="宋体" w:cs="Times New Roman"/>
                <w:b/>
                <w:bCs/>
                <w:color w:val="auto"/>
                <w:sz w:val="24"/>
              </w:rPr>
              <w:t xml:space="preserve"> 工业锅炉产排污系数表-生物质工业锅炉</w:t>
            </w:r>
          </w:p>
          <w:tbl>
            <w:tblPr>
              <w:tblStyle w:val="2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934"/>
              <w:gridCol w:w="739"/>
              <w:gridCol w:w="816"/>
              <w:gridCol w:w="931"/>
              <w:gridCol w:w="1035"/>
              <w:gridCol w:w="991"/>
              <w:gridCol w:w="1885"/>
              <w:gridCol w:w="1007"/>
            </w:tblGrid>
            <w:tr w14:paraId="5DB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23" w:type="dxa"/>
                  <w:vAlign w:val="center"/>
                </w:tcPr>
                <w:p w14:paraId="22F6A054">
                  <w:pPr>
                    <w:widowControl/>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产品</w:t>
                  </w:r>
                </w:p>
                <w:p w14:paraId="3E7A1E5F">
                  <w:pPr>
                    <w:widowControl/>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名称</w:t>
                  </w:r>
                </w:p>
              </w:tc>
              <w:tc>
                <w:tcPr>
                  <w:tcW w:w="934" w:type="dxa"/>
                  <w:vAlign w:val="center"/>
                </w:tcPr>
                <w:p w14:paraId="00B737AD">
                  <w:pPr>
                    <w:widowControl/>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原料名称</w:t>
                  </w:r>
                </w:p>
              </w:tc>
              <w:tc>
                <w:tcPr>
                  <w:tcW w:w="739" w:type="dxa"/>
                  <w:vAlign w:val="center"/>
                </w:tcPr>
                <w:p w14:paraId="736FF3EC">
                  <w:pPr>
                    <w:widowControl/>
                    <w:snapToGrid w:val="0"/>
                    <w:ind w:left="34" w:leftChars="16"/>
                    <w:jc w:val="center"/>
                    <w:rPr>
                      <w:rFonts w:hint="eastAsia" w:ascii="宋体" w:hAnsi="宋体" w:eastAsia="宋体" w:cs="宋体"/>
                      <w:color w:val="auto"/>
                      <w:kern w:val="0"/>
                      <w:szCs w:val="21"/>
                    </w:rPr>
                  </w:pPr>
                  <w:r>
                    <w:rPr>
                      <w:rFonts w:hint="eastAsia" w:ascii="宋体" w:hAnsi="宋体" w:eastAsia="宋体" w:cs="宋体"/>
                      <w:color w:val="auto"/>
                      <w:kern w:val="0"/>
                      <w:szCs w:val="21"/>
                    </w:rPr>
                    <w:t>工艺名称</w:t>
                  </w:r>
                </w:p>
              </w:tc>
              <w:tc>
                <w:tcPr>
                  <w:tcW w:w="816" w:type="dxa"/>
                  <w:vAlign w:val="center"/>
                </w:tcPr>
                <w:p w14:paraId="3F6918B6">
                  <w:pPr>
                    <w:widowControl/>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规模等级</w:t>
                  </w:r>
                </w:p>
              </w:tc>
              <w:tc>
                <w:tcPr>
                  <w:tcW w:w="931" w:type="dxa"/>
                  <w:vAlign w:val="center"/>
                </w:tcPr>
                <w:p w14:paraId="18228A9C">
                  <w:pPr>
                    <w:widowControl/>
                    <w:snapToGrid w:val="0"/>
                    <w:ind w:firstLine="105" w:firstLineChars="50"/>
                    <w:jc w:val="center"/>
                    <w:rPr>
                      <w:rFonts w:hint="eastAsia" w:ascii="宋体" w:hAnsi="宋体" w:eastAsia="宋体" w:cs="宋体"/>
                      <w:color w:val="auto"/>
                      <w:kern w:val="0"/>
                      <w:szCs w:val="21"/>
                    </w:rPr>
                  </w:pPr>
                  <w:r>
                    <w:rPr>
                      <w:rFonts w:hint="eastAsia" w:ascii="宋体" w:hAnsi="宋体" w:eastAsia="宋体" w:cs="宋体"/>
                      <w:color w:val="auto"/>
                      <w:kern w:val="0"/>
                      <w:szCs w:val="21"/>
                    </w:rPr>
                    <w:t>污染物指标</w:t>
                  </w:r>
                </w:p>
              </w:tc>
              <w:tc>
                <w:tcPr>
                  <w:tcW w:w="1035" w:type="dxa"/>
                  <w:vAlign w:val="center"/>
                </w:tcPr>
                <w:p w14:paraId="56A90006">
                  <w:pPr>
                    <w:widowControl/>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c>
                <w:tcPr>
                  <w:tcW w:w="991" w:type="dxa"/>
                  <w:vAlign w:val="center"/>
                </w:tcPr>
                <w:p w14:paraId="5815EAC3">
                  <w:pPr>
                    <w:widowControl/>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产污系数</w:t>
                  </w:r>
                </w:p>
              </w:tc>
              <w:tc>
                <w:tcPr>
                  <w:tcW w:w="1885" w:type="dxa"/>
                  <w:vAlign w:val="center"/>
                </w:tcPr>
                <w:p w14:paraId="43B49CA0">
                  <w:pPr>
                    <w:widowControl/>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末端治理技术名称</w:t>
                  </w:r>
                </w:p>
              </w:tc>
              <w:tc>
                <w:tcPr>
                  <w:tcW w:w="1007" w:type="dxa"/>
                  <w:vAlign w:val="center"/>
                </w:tcPr>
                <w:p w14:paraId="1DC81179">
                  <w:pPr>
                    <w:widowControl/>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排污系数</w:t>
                  </w:r>
                </w:p>
              </w:tc>
            </w:tr>
            <w:tr w14:paraId="78B5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vMerge w:val="restart"/>
                  <w:tcMar>
                    <w:left w:w="57" w:type="dxa"/>
                    <w:right w:w="57" w:type="dxa"/>
                  </w:tcMar>
                  <w:vAlign w:val="center"/>
                </w:tcPr>
                <w:p w14:paraId="430C806F">
                  <w:pPr>
                    <w:snapToGrid w:val="0"/>
                    <w:jc w:val="center"/>
                    <w:rPr>
                      <w:rFonts w:hint="eastAsia" w:ascii="宋体" w:hAnsi="宋体" w:eastAsia="宋体" w:cs="宋体"/>
                      <w:color w:val="auto"/>
                      <w:szCs w:val="21"/>
                    </w:rPr>
                  </w:pPr>
                  <w:r>
                    <w:rPr>
                      <w:rFonts w:hint="eastAsia" w:ascii="宋体" w:hAnsi="宋体" w:eastAsia="宋体" w:cs="宋体"/>
                      <w:color w:val="auto"/>
                      <w:szCs w:val="21"/>
                    </w:rPr>
                    <w:t>蒸汽/热</w:t>
                  </w:r>
                </w:p>
                <w:p w14:paraId="5D0AB6A9">
                  <w:pPr>
                    <w:snapToGrid w:val="0"/>
                    <w:jc w:val="center"/>
                    <w:rPr>
                      <w:rFonts w:hint="eastAsia" w:ascii="宋体" w:hAnsi="宋体" w:eastAsia="宋体" w:cs="宋体"/>
                      <w:color w:val="auto"/>
                      <w:szCs w:val="21"/>
                    </w:rPr>
                  </w:pPr>
                  <w:r>
                    <w:rPr>
                      <w:rFonts w:hint="eastAsia" w:ascii="宋体" w:hAnsi="宋体" w:eastAsia="宋体" w:cs="宋体"/>
                      <w:color w:val="auto"/>
                      <w:szCs w:val="21"/>
                    </w:rPr>
                    <w:t>水/其它</w:t>
                  </w:r>
                </w:p>
              </w:tc>
              <w:tc>
                <w:tcPr>
                  <w:tcW w:w="934" w:type="dxa"/>
                  <w:vMerge w:val="restart"/>
                  <w:vAlign w:val="center"/>
                </w:tcPr>
                <w:p w14:paraId="1D71440B">
                  <w:pPr>
                    <w:snapToGrid w:val="0"/>
                    <w:jc w:val="center"/>
                    <w:rPr>
                      <w:rFonts w:hint="eastAsia" w:ascii="宋体" w:hAnsi="宋体" w:eastAsia="宋体" w:cs="宋体"/>
                      <w:color w:val="auto"/>
                      <w:szCs w:val="21"/>
                    </w:rPr>
                  </w:pPr>
                  <w:r>
                    <w:rPr>
                      <w:rFonts w:hint="eastAsia" w:ascii="宋体" w:hAnsi="宋体" w:eastAsia="宋体" w:cs="宋体"/>
                      <w:color w:val="auto"/>
                      <w:szCs w:val="21"/>
                    </w:rPr>
                    <w:t>生物质（木柴、木屑、甘蔗渣压块等）</w:t>
                  </w:r>
                </w:p>
              </w:tc>
              <w:tc>
                <w:tcPr>
                  <w:tcW w:w="739" w:type="dxa"/>
                  <w:vMerge w:val="restart"/>
                  <w:vAlign w:val="center"/>
                </w:tcPr>
                <w:p w14:paraId="687E07F5">
                  <w:pPr>
                    <w:snapToGrid w:val="0"/>
                    <w:jc w:val="center"/>
                    <w:rPr>
                      <w:rFonts w:hint="eastAsia" w:ascii="宋体" w:hAnsi="宋体" w:eastAsia="宋体" w:cs="宋体"/>
                      <w:color w:val="auto"/>
                      <w:szCs w:val="21"/>
                    </w:rPr>
                  </w:pPr>
                  <w:r>
                    <w:rPr>
                      <w:rFonts w:hint="eastAsia" w:ascii="宋体" w:hAnsi="宋体" w:eastAsia="宋体" w:cs="宋体"/>
                      <w:color w:val="auto"/>
                      <w:szCs w:val="21"/>
                    </w:rPr>
                    <w:t>层燃炉</w:t>
                  </w:r>
                </w:p>
              </w:tc>
              <w:tc>
                <w:tcPr>
                  <w:tcW w:w="816" w:type="dxa"/>
                  <w:vMerge w:val="restart"/>
                  <w:vAlign w:val="center"/>
                </w:tcPr>
                <w:p w14:paraId="36CFB893">
                  <w:pPr>
                    <w:snapToGrid w:val="0"/>
                    <w:jc w:val="center"/>
                    <w:rPr>
                      <w:rFonts w:hint="eastAsia" w:ascii="宋体" w:hAnsi="宋体" w:eastAsia="宋体" w:cs="宋体"/>
                      <w:color w:val="auto"/>
                      <w:szCs w:val="21"/>
                    </w:rPr>
                  </w:pPr>
                  <w:r>
                    <w:rPr>
                      <w:rFonts w:hint="eastAsia" w:ascii="宋体" w:hAnsi="宋体" w:eastAsia="宋体" w:cs="宋体"/>
                      <w:color w:val="auto"/>
                      <w:szCs w:val="21"/>
                    </w:rPr>
                    <w:t>所有规模</w:t>
                  </w:r>
                </w:p>
              </w:tc>
              <w:tc>
                <w:tcPr>
                  <w:tcW w:w="931" w:type="dxa"/>
                  <w:vAlign w:val="center"/>
                </w:tcPr>
                <w:p w14:paraId="1BB7BBA1">
                  <w:pPr>
                    <w:snapToGrid w:val="0"/>
                    <w:jc w:val="center"/>
                    <w:rPr>
                      <w:rFonts w:hint="eastAsia" w:ascii="宋体" w:hAnsi="宋体" w:eastAsia="宋体" w:cs="宋体"/>
                      <w:color w:val="auto"/>
                      <w:szCs w:val="21"/>
                    </w:rPr>
                  </w:pPr>
                  <w:r>
                    <w:rPr>
                      <w:rFonts w:hint="eastAsia" w:ascii="宋体" w:hAnsi="宋体" w:eastAsia="宋体" w:cs="宋体"/>
                      <w:color w:val="auto"/>
                      <w:szCs w:val="21"/>
                    </w:rPr>
                    <w:t>二氧化硫</w:t>
                  </w:r>
                </w:p>
              </w:tc>
              <w:tc>
                <w:tcPr>
                  <w:tcW w:w="1035" w:type="dxa"/>
                  <w:vAlign w:val="center"/>
                </w:tcPr>
                <w:p w14:paraId="11AD56B2">
                  <w:pPr>
                    <w:snapToGrid w:val="0"/>
                    <w:jc w:val="center"/>
                    <w:rPr>
                      <w:rFonts w:hint="eastAsia" w:ascii="宋体" w:hAnsi="宋体" w:eastAsia="宋体" w:cs="宋体"/>
                      <w:color w:val="auto"/>
                      <w:szCs w:val="21"/>
                    </w:rPr>
                  </w:pPr>
                  <w:r>
                    <w:rPr>
                      <w:rFonts w:hint="eastAsia" w:ascii="宋体" w:hAnsi="宋体" w:eastAsia="宋体" w:cs="宋体"/>
                      <w:color w:val="auto"/>
                      <w:szCs w:val="21"/>
                    </w:rPr>
                    <w:t>千克/吨-原料</w:t>
                  </w:r>
                </w:p>
              </w:tc>
              <w:tc>
                <w:tcPr>
                  <w:tcW w:w="991" w:type="dxa"/>
                  <w:vAlign w:val="center"/>
                </w:tcPr>
                <w:p w14:paraId="389B686D">
                  <w:pPr>
                    <w:snapToGrid w:val="0"/>
                    <w:jc w:val="center"/>
                    <w:rPr>
                      <w:rFonts w:hint="eastAsia" w:ascii="宋体" w:hAnsi="宋体" w:eastAsia="宋体" w:cs="宋体"/>
                      <w:color w:val="auto"/>
                      <w:szCs w:val="21"/>
                    </w:rPr>
                  </w:pPr>
                  <w:r>
                    <w:rPr>
                      <w:rFonts w:hint="eastAsia" w:ascii="宋体" w:hAnsi="宋体" w:eastAsia="宋体" w:cs="宋体"/>
                      <w:color w:val="auto"/>
                      <w:szCs w:val="21"/>
                    </w:rPr>
                    <w:t>17S</w:t>
                  </w:r>
                </w:p>
              </w:tc>
              <w:tc>
                <w:tcPr>
                  <w:tcW w:w="1885" w:type="dxa"/>
                  <w:vAlign w:val="center"/>
                </w:tcPr>
                <w:p w14:paraId="10D3F605">
                  <w:pPr>
                    <w:snapToGrid w:val="0"/>
                    <w:jc w:val="center"/>
                    <w:rPr>
                      <w:rFonts w:hint="eastAsia" w:ascii="宋体" w:hAnsi="宋体" w:eastAsia="宋体" w:cs="宋体"/>
                      <w:color w:val="auto"/>
                      <w:szCs w:val="21"/>
                    </w:rPr>
                  </w:pPr>
                  <w:r>
                    <w:rPr>
                      <w:rFonts w:hint="eastAsia" w:ascii="宋体" w:hAnsi="宋体" w:eastAsia="宋体" w:cs="宋体"/>
                      <w:color w:val="auto"/>
                      <w:szCs w:val="21"/>
                    </w:rPr>
                    <w:t>直排</w:t>
                  </w:r>
                </w:p>
              </w:tc>
              <w:tc>
                <w:tcPr>
                  <w:tcW w:w="1007" w:type="dxa"/>
                  <w:vAlign w:val="center"/>
                </w:tcPr>
                <w:p w14:paraId="420CF880">
                  <w:pPr>
                    <w:snapToGrid w:val="0"/>
                    <w:jc w:val="center"/>
                    <w:rPr>
                      <w:rFonts w:hint="eastAsia" w:ascii="宋体" w:hAnsi="宋体" w:eastAsia="宋体" w:cs="宋体"/>
                      <w:color w:val="auto"/>
                      <w:szCs w:val="21"/>
                    </w:rPr>
                  </w:pPr>
                  <w:r>
                    <w:rPr>
                      <w:rFonts w:hint="eastAsia" w:ascii="宋体" w:hAnsi="宋体" w:eastAsia="宋体" w:cs="宋体"/>
                      <w:color w:val="auto"/>
                      <w:szCs w:val="21"/>
                    </w:rPr>
                    <w:t>17S</w:t>
                  </w:r>
                </w:p>
              </w:tc>
            </w:tr>
            <w:tr w14:paraId="4B2A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vMerge w:val="continue"/>
                  <w:vAlign w:val="center"/>
                </w:tcPr>
                <w:p w14:paraId="43D5C9F3">
                  <w:pPr>
                    <w:snapToGrid w:val="0"/>
                    <w:jc w:val="center"/>
                    <w:rPr>
                      <w:rFonts w:hint="eastAsia" w:ascii="宋体" w:hAnsi="宋体" w:eastAsia="宋体" w:cs="宋体"/>
                      <w:color w:val="auto"/>
                      <w:szCs w:val="21"/>
                    </w:rPr>
                  </w:pPr>
                </w:p>
              </w:tc>
              <w:tc>
                <w:tcPr>
                  <w:tcW w:w="934" w:type="dxa"/>
                  <w:vMerge w:val="continue"/>
                  <w:vAlign w:val="center"/>
                </w:tcPr>
                <w:p w14:paraId="2715E0D1">
                  <w:pPr>
                    <w:snapToGrid w:val="0"/>
                    <w:jc w:val="center"/>
                    <w:rPr>
                      <w:rFonts w:hint="eastAsia" w:ascii="宋体" w:hAnsi="宋体" w:eastAsia="宋体" w:cs="宋体"/>
                      <w:color w:val="auto"/>
                      <w:szCs w:val="21"/>
                    </w:rPr>
                  </w:pPr>
                </w:p>
              </w:tc>
              <w:tc>
                <w:tcPr>
                  <w:tcW w:w="739" w:type="dxa"/>
                  <w:vMerge w:val="continue"/>
                  <w:vAlign w:val="center"/>
                </w:tcPr>
                <w:p w14:paraId="5FAE8510">
                  <w:pPr>
                    <w:snapToGrid w:val="0"/>
                    <w:jc w:val="center"/>
                    <w:rPr>
                      <w:rFonts w:hint="eastAsia" w:ascii="宋体" w:hAnsi="宋体" w:eastAsia="宋体" w:cs="宋体"/>
                      <w:color w:val="auto"/>
                      <w:szCs w:val="21"/>
                    </w:rPr>
                  </w:pPr>
                </w:p>
              </w:tc>
              <w:tc>
                <w:tcPr>
                  <w:tcW w:w="816" w:type="dxa"/>
                  <w:vMerge w:val="continue"/>
                  <w:vAlign w:val="center"/>
                </w:tcPr>
                <w:p w14:paraId="13D672CB">
                  <w:pPr>
                    <w:snapToGrid w:val="0"/>
                    <w:jc w:val="center"/>
                    <w:rPr>
                      <w:rFonts w:hint="eastAsia" w:ascii="宋体" w:hAnsi="宋体" w:eastAsia="宋体" w:cs="宋体"/>
                      <w:color w:val="auto"/>
                      <w:szCs w:val="21"/>
                    </w:rPr>
                  </w:pPr>
                </w:p>
              </w:tc>
              <w:tc>
                <w:tcPr>
                  <w:tcW w:w="931" w:type="dxa"/>
                  <w:vMerge w:val="restart"/>
                  <w:vAlign w:val="center"/>
                </w:tcPr>
                <w:p w14:paraId="59071771">
                  <w:pPr>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烟尘</w:t>
                  </w:r>
                </w:p>
              </w:tc>
              <w:tc>
                <w:tcPr>
                  <w:tcW w:w="1035" w:type="dxa"/>
                  <w:vMerge w:val="restart"/>
                  <w:vAlign w:val="center"/>
                </w:tcPr>
                <w:p w14:paraId="6DE2A1F3">
                  <w:pPr>
                    <w:snapToGrid w:val="0"/>
                    <w:jc w:val="center"/>
                    <w:rPr>
                      <w:rFonts w:hint="eastAsia" w:ascii="宋体" w:hAnsi="宋体" w:eastAsia="宋体" w:cs="宋体"/>
                      <w:color w:val="auto"/>
                      <w:szCs w:val="21"/>
                    </w:rPr>
                  </w:pPr>
                  <w:r>
                    <w:rPr>
                      <w:rFonts w:hint="eastAsia" w:ascii="宋体" w:hAnsi="宋体" w:eastAsia="宋体" w:cs="宋体"/>
                      <w:color w:val="auto"/>
                      <w:szCs w:val="21"/>
                    </w:rPr>
                    <w:t>千克/吨-原料</w:t>
                  </w:r>
                </w:p>
              </w:tc>
              <w:tc>
                <w:tcPr>
                  <w:tcW w:w="991" w:type="dxa"/>
                  <w:vMerge w:val="restart"/>
                  <w:vAlign w:val="center"/>
                </w:tcPr>
                <w:p w14:paraId="36B26F42">
                  <w:pPr>
                    <w:snapToGrid w:val="0"/>
                    <w:jc w:val="center"/>
                    <w:rPr>
                      <w:rFonts w:hint="eastAsia" w:ascii="宋体" w:hAnsi="宋体" w:eastAsia="宋体" w:cs="宋体"/>
                      <w:color w:val="auto"/>
                      <w:szCs w:val="21"/>
                    </w:rPr>
                  </w:pPr>
                  <w:r>
                    <w:rPr>
                      <w:rFonts w:hint="eastAsia" w:ascii="宋体" w:hAnsi="宋体" w:eastAsia="宋体" w:cs="宋体"/>
                      <w:color w:val="auto"/>
                      <w:szCs w:val="21"/>
                    </w:rPr>
                    <w:t>37.6</w:t>
                  </w:r>
                </w:p>
              </w:tc>
              <w:tc>
                <w:tcPr>
                  <w:tcW w:w="1885" w:type="dxa"/>
                  <w:vAlign w:val="center"/>
                </w:tcPr>
                <w:p w14:paraId="2758EFBF">
                  <w:pPr>
                    <w:snapToGrid w:val="0"/>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直排</w:t>
                  </w:r>
                </w:p>
              </w:tc>
              <w:tc>
                <w:tcPr>
                  <w:tcW w:w="1007" w:type="dxa"/>
                  <w:vAlign w:val="center"/>
                </w:tcPr>
                <w:p w14:paraId="53EBE2D4">
                  <w:pPr>
                    <w:snapToGrid w:val="0"/>
                    <w:jc w:val="center"/>
                    <w:rPr>
                      <w:rFonts w:hint="eastAsia" w:ascii="宋体" w:hAnsi="宋体" w:eastAsia="宋体" w:cs="宋体"/>
                      <w:color w:val="auto"/>
                      <w:szCs w:val="21"/>
                    </w:rPr>
                  </w:pPr>
                  <w:r>
                    <w:rPr>
                      <w:rFonts w:hint="eastAsia" w:ascii="宋体" w:hAnsi="宋体" w:eastAsia="宋体" w:cs="宋体"/>
                      <w:color w:val="auto"/>
                      <w:szCs w:val="21"/>
                    </w:rPr>
                    <w:t>37</w:t>
                  </w:r>
                </w:p>
              </w:tc>
            </w:tr>
            <w:tr w14:paraId="5836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vMerge w:val="continue"/>
                  <w:vAlign w:val="center"/>
                </w:tcPr>
                <w:p w14:paraId="59E24577">
                  <w:pPr>
                    <w:snapToGrid w:val="0"/>
                    <w:jc w:val="center"/>
                    <w:rPr>
                      <w:rFonts w:hint="eastAsia" w:ascii="宋体" w:hAnsi="宋体" w:eastAsia="宋体" w:cs="宋体"/>
                      <w:color w:val="auto"/>
                      <w:szCs w:val="21"/>
                    </w:rPr>
                  </w:pPr>
                </w:p>
              </w:tc>
              <w:tc>
                <w:tcPr>
                  <w:tcW w:w="934" w:type="dxa"/>
                  <w:vMerge w:val="continue"/>
                  <w:vAlign w:val="center"/>
                </w:tcPr>
                <w:p w14:paraId="6F46D812">
                  <w:pPr>
                    <w:snapToGrid w:val="0"/>
                    <w:jc w:val="center"/>
                    <w:rPr>
                      <w:rFonts w:hint="eastAsia" w:ascii="宋体" w:hAnsi="宋体" w:eastAsia="宋体" w:cs="宋体"/>
                      <w:color w:val="auto"/>
                      <w:szCs w:val="21"/>
                    </w:rPr>
                  </w:pPr>
                </w:p>
              </w:tc>
              <w:tc>
                <w:tcPr>
                  <w:tcW w:w="739" w:type="dxa"/>
                  <w:vMerge w:val="continue"/>
                  <w:vAlign w:val="center"/>
                </w:tcPr>
                <w:p w14:paraId="4F39E681">
                  <w:pPr>
                    <w:snapToGrid w:val="0"/>
                    <w:jc w:val="center"/>
                    <w:rPr>
                      <w:rFonts w:hint="eastAsia" w:ascii="宋体" w:hAnsi="宋体" w:eastAsia="宋体" w:cs="宋体"/>
                      <w:color w:val="auto"/>
                      <w:szCs w:val="21"/>
                    </w:rPr>
                  </w:pPr>
                </w:p>
              </w:tc>
              <w:tc>
                <w:tcPr>
                  <w:tcW w:w="816" w:type="dxa"/>
                  <w:vMerge w:val="continue"/>
                  <w:vAlign w:val="center"/>
                </w:tcPr>
                <w:p w14:paraId="2C0AFD32">
                  <w:pPr>
                    <w:snapToGrid w:val="0"/>
                    <w:jc w:val="center"/>
                    <w:rPr>
                      <w:rFonts w:hint="eastAsia" w:ascii="宋体" w:hAnsi="宋体" w:eastAsia="宋体" w:cs="宋体"/>
                      <w:color w:val="auto"/>
                      <w:szCs w:val="21"/>
                    </w:rPr>
                  </w:pPr>
                </w:p>
              </w:tc>
              <w:tc>
                <w:tcPr>
                  <w:tcW w:w="931" w:type="dxa"/>
                  <w:vMerge w:val="continue"/>
                  <w:vAlign w:val="center"/>
                </w:tcPr>
                <w:p w14:paraId="0CFF5BB4">
                  <w:pPr>
                    <w:snapToGrid w:val="0"/>
                    <w:jc w:val="center"/>
                    <w:rPr>
                      <w:rFonts w:hint="eastAsia" w:ascii="宋体" w:hAnsi="宋体" w:eastAsia="宋体" w:cs="宋体"/>
                      <w:color w:val="auto"/>
                      <w:szCs w:val="21"/>
                    </w:rPr>
                  </w:pPr>
                </w:p>
              </w:tc>
              <w:tc>
                <w:tcPr>
                  <w:tcW w:w="1035" w:type="dxa"/>
                  <w:vMerge w:val="continue"/>
                  <w:vAlign w:val="center"/>
                </w:tcPr>
                <w:p w14:paraId="5C6F6810">
                  <w:pPr>
                    <w:snapToGrid w:val="0"/>
                    <w:jc w:val="center"/>
                    <w:rPr>
                      <w:rFonts w:hint="eastAsia" w:ascii="宋体" w:hAnsi="宋体" w:eastAsia="宋体" w:cs="宋体"/>
                      <w:color w:val="auto"/>
                      <w:szCs w:val="21"/>
                    </w:rPr>
                  </w:pPr>
                </w:p>
              </w:tc>
              <w:tc>
                <w:tcPr>
                  <w:tcW w:w="991" w:type="dxa"/>
                  <w:vMerge w:val="continue"/>
                  <w:vAlign w:val="center"/>
                </w:tcPr>
                <w:p w14:paraId="0F5DA872">
                  <w:pPr>
                    <w:snapToGrid w:val="0"/>
                    <w:jc w:val="center"/>
                    <w:rPr>
                      <w:rFonts w:hint="eastAsia" w:ascii="宋体" w:hAnsi="宋体" w:eastAsia="宋体" w:cs="宋体"/>
                      <w:color w:val="auto"/>
                      <w:szCs w:val="21"/>
                    </w:rPr>
                  </w:pPr>
                </w:p>
              </w:tc>
              <w:tc>
                <w:tcPr>
                  <w:tcW w:w="1885" w:type="dxa"/>
                  <w:vAlign w:val="center"/>
                </w:tcPr>
                <w:p w14:paraId="080C652C">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单筒旋风除尘法</w:t>
                  </w:r>
                </w:p>
              </w:tc>
              <w:tc>
                <w:tcPr>
                  <w:tcW w:w="1007" w:type="dxa"/>
                  <w:vAlign w:val="center"/>
                </w:tcPr>
                <w:p w14:paraId="51D689EB">
                  <w:pPr>
                    <w:snapToGrid w:val="0"/>
                    <w:jc w:val="center"/>
                    <w:rPr>
                      <w:rFonts w:hint="eastAsia" w:ascii="宋体" w:hAnsi="宋体" w:eastAsia="宋体" w:cs="宋体"/>
                      <w:color w:val="auto"/>
                      <w:szCs w:val="21"/>
                    </w:rPr>
                  </w:pPr>
                  <w:r>
                    <w:rPr>
                      <w:rFonts w:hint="eastAsia" w:ascii="宋体" w:hAnsi="宋体" w:eastAsia="宋体" w:cs="宋体"/>
                      <w:color w:val="auto"/>
                      <w:szCs w:val="21"/>
                    </w:rPr>
                    <w:t>15.04</w:t>
                  </w:r>
                </w:p>
              </w:tc>
            </w:tr>
            <w:tr w14:paraId="1CE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vMerge w:val="continue"/>
                  <w:vAlign w:val="center"/>
                </w:tcPr>
                <w:p w14:paraId="7124F18F">
                  <w:pPr>
                    <w:snapToGrid w:val="0"/>
                    <w:jc w:val="center"/>
                    <w:rPr>
                      <w:rFonts w:hint="eastAsia" w:ascii="宋体" w:hAnsi="宋体" w:eastAsia="宋体" w:cs="宋体"/>
                      <w:color w:val="auto"/>
                      <w:szCs w:val="21"/>
                    </w:rPr>
                  </w:pPr>
                </w:p>
              </w:tc>
              <w:tc>
                <w:tcPr>
                  <w:tcW w:w="934" w:type="dxa"/>
                  <w:vMerge w:val="continue"/>
                  <w:vAlign w:val="center"/>
                </w:tcPr>
                <w:p w14:paraId="02254F7E">
                  <w:pPr>
                    <w:snapToGrid w:val="0"/>
                    <w:jc w:val="center"/>
                    <w:rPr>
                      <w:rFonts w:hint="eastAsia" w:ascii="宋体" w:hAnsi="宋体" w:eastAsia="宋体" w:cs="宋体"/>
                      <w:color w:val="auto"/>
                      <w:szCs w:val="21"/>
                    </w:rPr>
                  </w:pPr>
                </w:p>
              </w:tc>
              <w:tc>
                <w:tcPr>
                  <w:tcW w:w="739" w:type="dxa"/>
                  <w:vMerge w:val="continue"/>
                  <w:vAlign w:val="center"/>
                </w:tcPr>
                <w:p w14:paraId="301A4DEE">
                  <w:pPr>
                    <w:snapToGrid w:val="0"/>
                    <w:jc w:val="center"/>
                    <w:rPr>
                      <w:rFonts w:hint="eastAsia" w:ascii="宋体" w:hAnsi="宋体" w:eastAsia="宋体" w:cs="宋体"/>
                      <w:color w:val="auto"/>
                      <w:szCs w:val="21"/>
                    </w:rPr>
                  </w:pPr>
                </w:p>
              </w:tc>
              <w:tc>
                <w:tcPr>
                  <w:tcW w:w="816" w:type="dxa"/>
                  <w:vMerge w:val="continue"/>
                  <w:vAlign w:val="center"/>
                </w:tcPr>
                <w:p w14:paraId="5B7579B0">
                  <w:pPr>
                    <w:snapToGrid w:val="0"/>
                    <w:jc w:val="center"/>
                    <w:rPr>
                      <w:rFonts w:hint="eastAsia" w:ascii="宋体" w:hAnsi="宋体" w:eastAsia="宋体" w:cs="宋体"/>
                      <w:color w:val="auto"/>
                      <w:szCs w:val="21"/>
                    </w:rPr>
                  </w:pPr>
                </w:p>
              </w:tc>
              <w:tc>
                <w:tcPr>
                  <w:tcW w:w="931" w:type="dxa"/>
                  <w:vMerge w:val="continue"/>
                  <w:vAlign w:val="center"/>
                </w:tcPr>
                <w:p w14:paraId="79795471">
                  <w:pPr>
                    <w:snapToGrid w:val="0"/>
                    <w:jc w:val="center"/>
                    <w:rPr>
                      <w:rFonts w:hint="eastAsia" w:ascii="宋体" w:hAnsi="宋体" w:eastAsia="宋体" w:cs="宋体"/>
                      <w:color w:val="auto"/>
                      <w:szCs w:val="21"/>
                    </w:rPr>
                  </w:pPr>
                </w:p>
              </w:tc>
              <w:tc>
                <w:tcPr>
                  <w:tcW w:w="1035" w:type="dxa"/>
                  <w:vMerge w:val="continue"/>
                  <w:vAlign w:val="center"/>
                </w:tcPr>
                <w:p w14:paraId="52B619C9">
                  <w:pPr>
                    <w:snapToGrid w:val="0"/>
                    <w:jc w:val="center"/>
                    <w:rPr>
                      <w:rFonts w:hint="eastAsia" w:ascii="宋体" w:hAnsi="宋体" w:eastAsia="宋体" w:cs="宋体"/>
                      <w:color w:val="auto"/>
                      <w:szCs w:val="21"/>
                    </w:rPr>
                  </w:pPr>
                </w:p>
              </w:tc>
              <w:tc>
                <w:tcPr>
                  <w:tcW w:w="991" w:type="dxa"/>
                  <w:vMerge w:val="continue"/>
                  <w:vAlign w:val="center"/>
                </w:tcPr>
                <w:p w14:paraId="5CCC4183">
                  <w:pPr>
                    <w:snapToGrid w:val="0"/>
                    <w:jc w:val="center"/>
                    <w:rPr>
                      <w:rFonts w:hint="eastAsia" w:ascii="宋体" w:hAnsi="宋体" w:eastAsia="宋体" w:cs="宋体"/>
                      <w:color w:val="auto"/>
                      <w:szCs w:val="21"/>
                    </w:rPr>
                  </w:pPr>
                </w:p>
              </w:tc>
              <w:tc>
                <w:tcPr>
                  <w:tcW w:w="1885" w:type="dxa"/>
                  <w:vAlign w:val="center"/>
                </w:tcPr>
                <w:p w14:paraId="4FDF1B30">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多管旋风除尘法</w:t>
                  </w:r>
                </w:p>
              </w:tc>
              <w:tc>
                <w:tcPr>
                  <w:tcW w:w="1007" w:type="dxa"/>
                  <w:vAlign w:val="center"/>
                </w:tcPr>
                <w:p w14:paraId="6BB12C89">
                  <w:pPr>
                    <w:snapToGrid w:val="0"/>
                    <w:jc w:val="center"/>
                    <w:rPr>
                      <w:rFonts w:hint="eastAsia" w:ascii="宋体" w:hAnsi="宋体" w:eastAsia="宋体" w:cs="宋体"/>
                      <w:color w:val="auto"/>
                      <w:szCs w:val="21"/>
                    </w:rPr>
                  </w:pPr>
                  <w:r>
                    <w:rPr>
                      <w:rFonts w:hint="eastAsia" w:ascii="宋体" w:hAnsi="宋体" w:eastAsia="宋体" w:cs="宋体"/>
                      <w:color w:val="auto"/>
                      <w:szCs w:val="21"/>
                    </w:rPr>
                    <w:t>11.28</w:t>
                  </w:r>
                </w:p>
              </w:tc>
            </w:tr>
            <w:tr w14:paraId="0B35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vMerge w:val="continue"/>
                  <w:vAlign w:val="center"/>
                </w:tcPr>
                <w:p w14:paraId="2E36B607">
                  <w:pPr>
                    <w:snapToGrid w:val="0"/>
                    <w:jc w:val="center"/>
                    <w:rPr>
                      <w:rFonts w:hint="eastAsia" w:ascii="宋体" w:hAnsi="宋体" w:eastAsia="宋体" w:cs="宋体"/>
                      <w:color w:val="auto"/>
                      <w:szCs w:val="21"/>
                    </w:rPr>
                  </w:pPr>
                </w:p>
              </w:tc>
              <w:tc>
                <w:tcPr>
                  <w:tcW w:w="934" w:type="dxa"/>
                  <w:vMerge w:val="continue"/>
                  <w:vAlign w:val="center"/>
                </w:tcPr>
                <w:p w14:paraId="236CB9BC">
                  <w:pPr>
                    <w:snapToGrid w:val="0"/>
                    <w:jc w:val="center"/>
                    <w:rPr>
                      <w:rFonts w:hint="eastAsia" w:ascii="宋体" w:hAnsi="宋体" w:eastAsia="宋体" w:cs="宋体"/>
                      <w:color w:val="auto"/>
                      <w:szCs w:val="21"/>
                    </w:rPr>
                  </w:pPr>
                </w:p>
              </w:tc>
              <w:tc>
                <w:tcPr>
                  <w:tcW w:w="739" w:type="dxa"/>
                  <w:vMerge w:val="continue"/>
                  <w:vAlign w:val="center"/>
                </w:tcPr>
                <w:p w14:paraId="4684CED0">
                  <w:pPr>
                    <w:snapToGrid w:val="0"/>
                    <w:jc w:val="center"/>
                    <w:rPr>
                      <w:rFonts w:hint="eastAsia" w:ascii="宋体" w:hAnsi="宋体" w:eastAsia="宋体" w:cs="宋体"/>
                      <w:color w:val="auto"/>
                      <w:szCs w:val="21"/>
                    </w:rPr>
                  </w:pPr>
                </w:p>
              </w:tc>
              <w:tc>
                <w:tcPr>
                  <w:tcW w:w="816" w:type="dxa"/>
                  <w:vMerge w:val="continue"/>
                  <w:vAlign w:val="center"/>
                </w:tcPr>
                <w:p w14:paraId="1A771965">
                  <w:pPr>
                    <w:snapToGrid w:val="0"/>
                    <w:jc w:val="center"/>
                    <w:rPr>
                      <w:rFonts w:hint="eastAsia" w:ascii="宋体" w:hAnsi="宋体" w:eastAsia="宋体" w:cs="宋体"/>
                      <w:color w:val="auto"/>
                      <w:szCs w:val="21"/>
                    </w:rPr>
                  </w:pPr>
                </w:p>
              </w:tc>
              <w:tc>
                <w:tcPr>
                  <w:tcW w:w="931" w:type="dxa"/>
                  <w:vMerge w:val="continue"/>
                  <w:vAlign w:val="center"/>
                </w:tcPr>
                <w:p w14:paraId="66C9C616">
                  <w:pPr>
                    <w:snapToGrid w:val="0"/>
                    <w:jc w:val="center"/>
                    <w:rPr>
                      <w:rFonts w:hint="eastAsia" w:ascii="宋体" w:hAnsi="宋体" w:eastAsia="宋体" w:cs="宋体"/>
                      <w:color w:val="auto"/>
                      <w:szCs w:val="21"/>
                    </w:rPr>
                  </w:pPr>
                </w:p>
              </w:tc>
              <w:tc>
                <w:tcPr>
                  <w:tcW w:w="1035" w:type="dxa"/>
                  <w:vMerge w:val="continue"/>
                  <w:vAlign w:val="center"/>
                </w:tcPr>
                <w:p w14:paraId="09AA411D">
                  <w:pPr>
                    <w:snapToGrid w:val="0"/>
                    <w:jc w:val="center"/>
                    <w:rPr>
                      <w:rFonts w:hint="eastAsia" w:ascii="宋体" w:hAnsi="宋体" w:eastAsia="宋体" w:cs="宋体"/>
                      <w:color w:val="auto"/>
                      <w:szCs w:val="21"/>
                    </w:rPr>
                  </w:pPr>
                </w:p>
              </w:tc>
              <w:tc>
                <w:tcPr>
                  <w:tcW w:w="991" w:type="dxa"/>
                  <w:vMerge w:val="continue"/>
                  <w:vAlign w:val="center"/>
                </w:tcPr>
                <w:p w14:paraId="7FA75C43">
                  <w:pPr>
                    <w:snapToGrid w:val="0"/>
                    <w:jc w:val="center"/>
                    <w:rPr>
                      <w:rFonts w:hint="eastAsia" w:ascii="宋体" w:hAnsi="宋体" w:eastAsia="宋体" w:cs="宋体"/>
                      <w:color w:val="auto"/>
                      <w:szCs w:val="21"/>
                    </w:rPr>
                  </w:pPr>
                </w:p>
              </w:tc>
              <w:tc>
                <w:tcPr>
                  <w:tcW w:w="1885" w:type="dxa"/>
                  <w:vAlign w:val="center"/>
                </w:tcPr>
                <w:p w14:paraId="360296AA">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布袋</w:t>
                  </w:r>
                  <w:r>
                    <w:rPr>
                      <w:rFonts w:hint="eastAsia" w:ascii="宋体" w:hAnsi="宋体" w:eastAsia="宋体" w:cs="宋体"/>
                      <w:color w:val="auto"/>
                      <w:kern w:val="0"/>
                      <w:szCs w:val="21"/>
                    </w:rPr>
                    <w:t>除尘</w:t>
                  </w:r>
                </w:p>
              </w:tc>
              <w:tc>
                <w:tcPr>
                  <w:tcW w:w="1007" w:type="dxa"/>
                  <w:vAlign w:val="center"/>
                </w:tcPr>
                <w:p w14:paraId="410DC54A">
                  <w:pPr>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0.5</w:t>
                  </w:r>
                </w:p>
              </w:tc>
            </w:tr>
            <w:tr w14:paraId="18CB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vMerge w:val="continue"/>
                  <w:vAlign w:val="center"/>
                </w:tcPr>
                <w:p w14:paraId="461059DD">
                  <w:pPr>
                    <w:snapToGrid w:val="0"/>
                    <w:jc w:val="center"/>
                    <w:rPr>
                      <w:rFonts w:hint="eastAsia" w:ascii="宋体" w:hAnsi="宋体" w:eastAsia="宋体" w:cs="宋体"/>
                      <w:color w:val="auto"/>
                      <w:szCs w:val="21"/>
                    </w:rPr>
                  </w:pPr>
                </w:p>
              </w:tc>
              <w:tc>
                <w:tcPr>
                  <w:tcW w:w="934" w:type="dxa"/>
                  <w:vMerge w:val="continue"/>
                  <w:vAlign w:val="center"/>
                </w:tcPr>
                <w:p w14:paraId="3565471C">
                  <w:pPr>
                    <w:snapToGrid w:val="0"/>
                    <w:jc w:val="center"/>
                    <w:rPr>
                      <w:rFonts w:hint="eastAsia" w:ascii="宋体" w:hAnsi="宋体" w:eastAsia="宋体" w:cs="宋体"/>
                      <w:color w:val="auto"/>
                      <w:szCs w:val="21"/>
                    </w:rPr>
                  </w:pPr>
                </w:p>
              </w:tc>
              <w:tc>
                <w:tcPr>
                  <w:tcW w:w="739" w:type="dxa"/>
                  <w:vMerge w:val="continue"/>
                  <w:vAlign w:val="center"/>
                </w:tcPr>
                <w:p w14:paraId="291059CA">
                  <w:pPr>
                    <w:snapToGrid w:val="0"/>
                    <w:jc w:val="center"/>
                    <w:rPr>
                      <w:rFonts w:hint="eastAsia" w:ascii="宋体" w:hAnsi="宋体" w:eastAsia="宋体" w:cs="宋体"/>
                      <w:color w:val="auto"/>
                      <w:szCs w:val="21"/>
                    </w:rPr>
                  </w:pPr>
                </w:p>
              </w:tc>
              <w:tc>
                <w:tcPr>
                  <w:tcW w:w="816" w:type="dxa"/>
                  <w:vMerge w:val="continue"/>
                  <w:vAlign w:val="center"/>
                </w:tcPr>
                <w:p w14:paraId="4F480DDC">
                  <w:pPr>
                    <w:snapToGrid w:val="0"/>
                    <w:jc w:val="center"/>
                    <w:rPr>
                      <w:rFonts w:hint="eastAsia" w:ascii="宋体" w:hAnsi="宋体" w:eastAsia="宋体" w:cs="宋体"/>
                      <w:color w:val="auto"/>
                      <w:szCs w:val="21"/>
                    </w:rPr>
                  </w:pPr>
                </w:p>
              </w:tc>
              <w:tc>
                <w:tcPr>
                  <w:tcW w:w="931" w:type="dxa"/>
                  <w:vAlign w:val="center"/>
                </w:tcPr>
                <w:p w14:paraId="0EA136DA">
                  <w:pPr>
                    <w:snapToGrid w:val="0"/>
                    <w:jc w:val="center"/>
                    <w:rPr>
                      <w:rFonts w:hint="eastAsia" w:ascii="宋体" w:hAnsi="宋体" w:eastAsia="宋体" w:cs="宋体"/>
                      <w:color w:val="auto"/>
                      <w:szCs w:val="21"/>
                    </w:rPr>
                  </w:pPr>
                  <w:r>
                    <w:rPr>
                      <w:rFonts w:hint="eastAsia" w:ascii="宋体" w:hAnsi="宋体" w:eastAsia="宋体" w:cs="宋体"/>
                      <w:color w:val="auto"/>
                      <w:szCs w:val="21"/>
                    </w:rPr>
                    <w:t>氮氧化物</w:t>
                  </w:r>
                </w:p>
              </w:tc>
              <w:tc>
                <w:tcPr>
                  <w:tcW w:w="1035" w:type="dxa"/>
                  <w:vAlign w:val="center"/>
                </w:tcPr>
                <w:p w14:paraId="5B598674">
                  <w:pPr>
                    <w:snapToGrid w:val="0"/>
                    <w:jc w:val="center"/>
                    <w:rPr>
                      <w:rFonts w:hint="eastAsia" w:ascii="宋体" w:hAnsi="宋体" w:eastAsia="宋体" w:cs="宋体"/>
                      <w:color w:val="auto"/>
                      <w:szCs w:val="21"/>
                    </w:rPr>
                  </w:pPr>
                  <w:r>
                    <w:rPr>
                      <w:rFonts w:hint="eastAsia" w:ascii="宋体" w:hAnsi="宋体" w:eastAsia="宋体" w:cs="宋体"/>
                      <w:color w:val="auto"/>
                      <w:szCs w:val="21"/>
                    </w:rPr>
                    <w:t>千克/吨-原料</w:t>
                  </w:r>
                </w:p>
              </w:tc>
              <w:tc>
                <w:tcPr>
                  <w:tcW w:w="991" w:type="dxa"/>
                  <w:vAlign w:val="center"/>
                </w:tcPr>
                <w:p w14:paraId="5722F14A">
                  <w:pPr>
                    <w:snapToGrid w:val="0"/>
                    <w:jc w:val="center"/>
                    <w:rPr>
                      <w:rFonts w:hint="eastAsia" w:ascii="宋体" w:hAnsi="宋体" w:eastAsia="宋体" w:cs="宋体"/>
                      <w:color w:val="auto"/>
                      <w:szCs w:val="21"/>
                    </w:rPr>
                  </w:pPr>
                  <w:r>
                    <w:rPr>
                      <w:rFonts w:hint="eastAsia" w:ascii="宋体" w:hAnsi="宋体" w:eastAsia="宋体" w:cs="宋体"/>
                      <w:color w:val="auto"/>
                      <w:szCs w:val="21"/>
                    </w:rPr>
                    <w:t>1.02</w:t>
                  </w:r>
                </w:p>
              </w:tc>
              <w:tc>
                <w:tcPr>
                  <w:tcW w:w="1885" w:type="dxa"/>
                  <w:vAlign w:val="center"/>
                </w:tcPr>
                <w:p w14:paraId="1D3BFC0B">
                  <w:pPr>
                    <w:snapToGrid w:val="0"/>
                    <w:jc w:val="center"/>
                    <w:rPr>
                      <w:rFonts w:hint="eastAsia" w:ascii="宋体" w:hAnsi="宋体" w:eastAsia="宋体" w:cs="宋体"/>
                      <w:color w:val="auto"/>
                      <w:szCs w:val="21"/>
                    </w:rPr>
                  </w:pPr>
                  <w:r>
                    <w:rPr>
                      <w:rFonts w:hint="eastAsia" w:ascii="宋体" w:hAnsi="宋体" w:eastAsia="宋体" w:cs="宋体"/>
                      <w:color w:val="auto"/>
                      <w:szCs w:val="21"/>
                    </w:rPr>
                    <w:t>直排</w:t>
                  </w:r>
                </w:p>
              </w:tc>
              <w:tc>
                <w:tcPr>
                  <w:tcW w:w="1007" w:type="dxa"/>
                  <w:vAlign w:val="center"/>
                </w:tcPr>
                <w:p w14:paraId="6B30AFC3">
                  <w:pPr>
                    <w:snapToGrid w:val="0"/>
                    <w:jc w:val="center"/>
                    <w:rPr>
                      <w:rFonts w:hint="eastAsia" w:ascii="宋体" w:hAnsi="宋体" w:eastAsia="宋体" w:cs="宋体"/>
                      <w:color w:val="auto"/>
                      <w:szCs w:val="21"/>
                    </w:rPr>
                  </w:pPr>
                  <w:r>
                    <w:rPr>
                      <w:rFonts w:hint="eastAsia" w:ascii="宋体" w:hAnsi="宋体" w:eastAsia="宋体" w:cs="宋体"/>
                      <w:color w:val="auto"/>
                      <w:szCs w:val="21"/>
                    </w:rPr>
                    <w:t>1.02</w:t>
                  </w:r>
                </w:p>
              </w:tc>
            </w:tr>
            <w:tr w14:paraId="1533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1" w:type="dxa"/>
                  <w:gridSpan w:val="9"/>
                  <w:vAlign w:val="center"/>
                </w:tcPr>
                <w:p w14:paraId="02C6EECE">
                  <w:pPr>
                    <w:snapToGrid w:val="0"/>
                    <w:jc w:val="center"/>
                    <w:rPr>
                      <w:rFonts w:hint="eastAsia" w:ascii="宋体" w:hAnsi="宋体"/>
                      <w:color w:val="auto"/>
                      <w:szCs w:val="21"/>
                    </w:rPr>
                  </w:pPr>
                  <w:r>
                    <w:rPr>
                      <w:rFonts w:hint="eastAsia" w:ascii="宋体" w:hAnsi="宋体" w:eastAsia="宋体" w:cs="宋体"/>
                      <w:b/>
                      <w:color w:val="auto"/>
                      <w:sz w:val="18"/>
                      <w:szCs w:val="18"/>
                    </w:rPr>
                    <w:t>注：</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 1 \* GB3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①</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二氧化硫的产排污系数是以含硫量（S％）的形式表示的，其中含硫量（S％）是指生物质收到基硫分含量，以质量百分数的形式表示。例如生物质中含硫量（S％）为0.1％，则S=0.1。</w:t>
                  </w:r>
                </w:p>
              </w:tc>
            </w:tr>
          </w:tbl>
          <w:p w14:paraId="05F230D8">
            <w:pPr>
              <w:pStyle w:val="13"/>
              <w:spacing w:before="0" w:after="0" w:line="360" w:lineRule="auto"/>
              <w:ind w:firstLine="480" w:firstLineChars="200"/>
              <w:jc w:val="left"/>
              <w:rPr>
                <w:rFonts w:hint="eastAsia" w:ascii="宋体" w:hAnsi="宋体" w:cs="宋体"/>
                <w:color w:val="auto"/>
                <w:sz w:val="24"/>
              </w:rPr>
            </w:pPr>
            <w:r>
              <w:rPr>
                <w:rFonts w:hint="eastAsia" w:ascii="宋体" w:hAnsi="宋体" w:cs="宋体"/>
                <w:color w:val="auto"/>
                <w:sz w:val="24"/>
                <w:szCs w:val="22"/>
              </w:rPr>
              <w:t>参照表5-</w:t>
            </w:r>
            <w:r>
              <w:rPr>
                <w:rFonts w:hint="eastAsia" w:ascii="宋体" w:hAnsi="宋体" w:cs="宋体"/>
                <w:color w:val="auto"/>
                <w:sz w:val="24"/>
                <w:szCs w:val="22"/>
                <w:lang w:val="en-US" w:eastAsia="zh-CN"/>
              </w:rPr>
              <w:t>5</w:t>
            </w:r>
            <w:r>
              <w:rPr>
                <w:rFonts w:hint="eastAsia" w:ascii="宋体" w:hAnsi="宋体" w:cs="宋体"/>
                <w:color w:val="auto"/>
                <w:sz w:val="24"/>
                <w:szCs w:val="22"/>
              </w:rPr>
              <w:t>的产污系数进行计算,</w:t>
            </w:r>
            <w:r>
              <w:rPr>
                <w:rFonts w:hint="eastAsia" w:ascii="宋体" w:hAnsi="宋体" w:cs="宋体"/>
                <w:color w:val="auto"/>
                <w:sz w:val="24"/>
              </w:rPr>
              <w:t>据查阅相关资料，生物质含硫约0.03%。</w:t>
            </w:r>
            <w:r>
              <w:rPr>
                <w:rFonts w:hint="eastAsia" w:ascii="宋体" w:hAnsi="宋体" w:cs="宋体"/>
                <w:color w:val="auto"/>
                <w:sz w:val="24"/>
                <w:szCs w:val="22"/>
              </w:rPr>
              <w:t>项目年产生量SO</w:t>
            </w:r>
            <w:r>
              <w:rPr>
                <w:rFonts w:hint="eastAsia" w:ascii="宋体" w:hAnsi="宋体" w:cs="宋体"/>
                <w:color w:val="auto"/>
                <w:sz w:val="24"/>
                <w:szCs w:val="22"/>
                <w:vertAlign w:val="subscript"/>
              </w:rPr>
              <w:t>2</w:t>
            </w:r>
            <w:r>
              <w:rPr>
                <w:rFonts w:hint="eastAsia" w:ascii="宋体" w:hAnsi="宋体" w:cs="宋体"/>
                <w:color w:val="auto"/>
                <w:sz w:val="24"/>
                <w:szCs w:val="22"/>
                <w:lang w:val="en-US" w:eastAsia="zh-CN"/>
              </w:rPr>
              <w:t>1.83t</w:t>
            </w:r>
            <w:r>
              <w:rPr>
                <w:rFonts w:hint="eastAsia" w:ascii="宋体" w:hAnsi="宋体" w:cs="宋体"/>
                <w:color w:val="auto"/>
                <w:sz w:val="24"/>
                <w:szCs w:val="22"/>
              </w:rPr>
              <w:t>/a，</w:t>
            </w:r>
            <w:r>
              <w:rPr>
                <w:rFonts w:hint="eastAsia" w:ascii="宋体" w:hAnsi="宋体" w:cs="宋体"/>
                <w:color w:val="auto"/>
                <w:sz w:val="24"/>
              </w:rPr>
              <w:t>排放浓度为</w:t>
            </w:r>
            <w:r>
              <w:rPr>
                <w:rFonts w:hint="eastAsia" w:ascii="宋体" w:hAnsi="宋体" w:cs="宋体"/>
                <w:color w:val="auto"/>
                <w:sz w:val="24"/>
                <w:lang w:val="en-US" w:eastAsia="zh-CN"/>
              </w:rPr>
              <w:t>95.31</w:t>
            </w:r>
            <w:r>
              <w:rPr>
                <w:rFonts w:hint="eastAsia" w:ascii="宋体" w:hAnsi="宋体" w:cs="宋体"/>
                <w:color w:val="auto"/>
                <w:sz w:val="24"/>
              </w:rPr>
              <w:t>mg/m</w:t>
            </w:r>
            <w:r>
              <w:rPr>
                <w:rFonts w:hint="eastAsia" w:ascii="宋体" w:hAnsi="宋体" w:cs="宋体"/>
                <w:color w:val="auto"/>
                <w:sz w:val="24"/>
                <w:vertAlign w:val="superscript"/>
              </w:rPr>
              <w:t>3</w:t>
            </w:r>
            <w:r>
              <w:rPr>
                <w:rFonts w:hint="eastAsia" w:ascii="宋体" w:hAnsi="宋体" w:cs="宋体"/>
                <w:color w:val="auto"/>
                <w:sz w:val="24"/>
              </w:rPr>
              <w:t>，</w:t>
            </w:r>
            <w:r>
              <w:rPr>
                <w:rFonts w:hint="eastAsia" w:ascii="宋体" w:hAnsi="宋体" w:cs="宋体"/>
                <w:color w:val="auto"/>
                <w:sz w:val="24"/>
                <w:lang w:eastAsia="zh-CN"/>
              </w:rPr>
              <w:t>烟尘</w:t>
            </w:r>
            <w:r>
              <w:rPr>
                <w:rFonts w:hint="eastAsia" w:ascii="宋体" w:hAnsi="宋体" w:cs="宋体"/>
                <w:color w:val="auto"/>
                <w:sz w:val="24"/>
              </w:rPr>
              <w:t>量为</w:t>
            </w:r>
            <w:r>
              <w:rPr>
                <w:rFonts w:hint="eastAsia" w:ascii="宋体" w:hAnsi="宋体" w:cs="宋体"/>
                <w:color w:val="auto"/>
                <w:sz w:val="24"/>
                <w:lang w:val="en-US" w:eastAsia="zh-CN"/>
              </w:rPr>
              <w:t>13.53</w:t>
            </w:r>
            <w:r>
              <w:rPr>
                <w:rFonts w:hint="eastAsia" w:ascii="宋体" w:hAnsi="宋体" w:cs="宋体"/>
                <w:color w:val="auto"/>
                <w:sz w:val="24"/>
              </w:rPr>
              <w:t>t/a，排放浓度为</w:t>
            </w:r>
            <w:r>
              <w:rPr>
                <w:rFonts w:hint="eastAsia" w:ascii="宋体" w:hAnsi="宋体" w:cs="宋体"/>
                <w:color w:val="auto"/>
                <w:sz w:val="24"/>
                <w:lang w:val="en-US" w:eastAsia="zh-CN"/>
              </w:rPr>
              <w:t>704.68</w:t>
            </w:r>
            <w:r>
              <w:rPr>
                <w:rFonts w:hint="eastAsia" w:ascii="宋体" w:hAnsi="宋体" w:cs="宋体"/>
                <w:color w:val="auto"/>
                <w:sz w:val="24"/>
              </w:rPr>
              <w:t>mg/m</w:t>
            </w:r>
            <w:r>
              <w:rPr>
                <w:rFonts w:hint="eastAsia" w:ascii="宋体" w:hAnsi="宋体" w:cs="宋体"/>
                <w:color w:val="auto"/>
                <w:sz w:val="24"/>
                <w:vertAlign w:val="superscript"/>
              </w:rPr>
              <w:t>3</w:t>
            </w:r>
            <w:r>
              <w:rPr>
                <w:rFonts w:hint="eastAsia" w:ascii="宋体" w:hAnsi="宋体" w:cs="宋体"/>
                <w:color w:val="auto"/>
                <w:sz w:val="24"/>
              </w:rPr>
              <w:t>；氮氧化物产生量为</w:t>
            </w:r>
            <w:r>
              <w:rPr>
                <w:rFonts w:hint="eastAsia" w:ascii="宋体" w:hAnsi="宋体" w:cs="宋体"/>
                <w:color w:val="auto"/>
                <w:sz w:val="24"/>
                <w:lang w:val="en-US" w:eastAsia="zh-CN"/>
              </w:rPr>
              <w:t>0.36t</w:t>
            </w:r>
            <w:r>
              <w:rPr>
                <w:rFonts w:hint="eastAsia" w:ascii="宋体" w:hAnsi="宋体" w:cs="宋体"/>
                <w:color w:val="auto"/>
                <w:sz w:val="24"/>
              </w:rPr>
              <w:t>/a,排放浓度</w:t>
            </w:r>
            <w:r>
              <w:rPr>
                <w:rFonts w:hint="eastAsia" w:ascii="宋体" w:hAnsi="宋体" w:cs="宋体"/>
                <w:color w:val="auto"/>
                <w:sz w:val="24"/>
                <w:lang w:val="en-US" w:eastAsia="zh-CN"/>
              </w:rPr>
              <w:t>18.75</w:t>
            </w:r>
            <w:r>
              <w:rPr>
                <w:rFonts w:hint="eastAsia" w:ascii="宋体" w:hAnsi="宋体" w:cs="宋体"/>
                <w:color w:val="auto"/>
                <w:sz w:val="24"/>
              </w:rPr>
              <w:t>mg/m</w:t>
            </w:r>
            <w:r>
              <w:rPr>
                <w:rFonts w:hint="eastAsia" w:ascii="宋体" w:hAnsi="宋体" w:cs="宋体"/>
                <w:color w:val="auto"/>
                <w:sz w:val="24"/>
                <w:vertAlign w:val="superscript"/>
              </w:rPr>
              <w:t>3</w:t>
            </w:r>
            <w:r>
              <w:rPr>
                <w:rFonts w:hint="eastAsia" w:ascii="宋体" w:hAnsi="宋体" w:cs="宋体"/>
                <w:color w:val="auto"/>
                <w:sz w:val="24"/>
              </w:rPr>
              <w:t>。</w:t>
            </w:r>
          </w:p>
          <w:p w14:paraId="374AA524">
            <w:pPr>
              <w:spacing w:line="360" w:lineRule="auto"/>
              <w:ind w:firstLine="480" w:firstLineChars="200"/>
              <w:rPr>
                <w:rFonts w:hint="eastAsia" w:ascii="宋体" w:hAnsi="宋体" w:cs="宋体"/>
                <w:b/>
                <w:bCs/>
                <w:color w:val="auto"/>
                <w:sz w:val="24"/>
              </w:rPr>
            </w:pPr>
            <w:r>
              <w:rPr>
                <w:rFonts w:hint="eastAsia" w:ascii="宋体" w:hAnsi="宋体" w:eastAsia="宋体" w:cs="宋体"/>
                <w:color w:val="auto"/>
                <w:sz w:val="24"/>
                <w:lang w:eastAsia="zh-CN"/>
              </w:rPr>
              <w:t>项目热风炉使用生物质燃料。平均每天工作</w:t>
            </w:r>
            <w:r>
              <w:rPr>
                <w:rFonts w:hint="eastAsia" w:ascii="宋体" w:hAnsi="宋体" w:eastAsia="宋体" w:cs="宋体"/>
                <w:color w:val="auto"/>
                <w:sz w:val="24"/>
                <w:lang w:val="en-US" w:eastAsia="zh-CN"/>
              </w:rPr>
              <w:t>8小时，收集后生物质燃烧产生烟尘、二氧化硫和氮氧化物，本项目</w:t>
            </w:r>
            <w:r>
              <w:rPr>
                <w:rFonts w:hint="eastAsia" w:ascii="宋体" w:hAnsi="宋体" w:cs="宋体"/>
                <w:color w:val="auto"/>
                <w:sz w:val="24"/>
                <w:lang w:val="en-US" w:eastAsia="zh-CN"/>
              </w:rPr>
              <w:t>3台热风炉产生的烟气统一</w:t>
            </w:r>
            <w:r>
              <w:rPr>
                <w:rFonts w:hint="eastAsia" w:ascii="宋体" w:hAnsi="宋体" w:eastAsia="宋体" w:cs="宋体"/>
                <w:color w:val="auto"/>
                <w:sz w:val="24"/>
                <w:lang w:val="en-US" w:eastAsia="zh-CN"/>
              </w:rPr>
              <w:t>采用</w:t>
            </w:r>
            <w:r>
              <w:rPr>
                <w:rFonts w:hint="eastAsia" w:ascii="宋体" w:hAnsi="宋体" w:cs="宋体"/>
                <w:color w:val="auto"/>
                <w:sz w:val="24"/>
                <w:lang w:val="en-US" w:eastAsia="zh-CN"/>
              </w:rPr>
              <w:t>1套“</w:t>
            </w:r>
            <w:r>
              <w:rPr>
                <w:rFonts w:hint="eastAsia" w:ascii="宋体" w:hAnsi="宋体" w:eastAsia="宋体" w:cs="宋体"/>
                <w:color w:val="auto"/>
                <w:sz w:val="24"/>
                <w:szCs w:val="24"/>
                <w:lang w:eastAsia="zh-CN"/>
              </w:rPr>
              <w:t>旋风</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布袋除尘</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措施</w:t>
            </w:r>
            <w:r>
              <w:rPr>
                <w:rFonts w:hint="eastAsia" w:ascii="宋体" w:hAnsi="宋体" w:cs="宋体"/>
                <w:color w:val="auto"/>
                <w:sz w:val="24"/>
                <w:szCs w:val="24"/>
                <w:lang w:eastAsia="zh-CN"/>
              </w:rPr>
              <w:t>处理</w:t>
            </w:r>
            <w:r>
              <w:rPr>
                <w:rFonts w:hint="eastAsia" w:ascii="宋体" w:hAnsi="宋体" w:eastAsia="宋体" w:cs="宋体"/>
                <w:color w:val="auto"/>
                <w:sz w:val="24"/>
                <w:szCs w:val="24"/>
                <w:lang w:eastAsia="zh-CN"/>
              </w:rPr>
              <w:t>。</w:t>
            </w:r>
          </w:p>
          <w:p w14:paraId="2C10FAE1">
            <w:pPr>
              <w:pStyle w:val="13"/>
              <w:spacing w:before="0" w:after="0" w:line="360" w:lineRule="auto"/>
              <w:ind w:firstLine="2891" w:firstLineChars="1200"/>
              <w:jc w:val="left"/>
              <w:rPr>
                <w:rFonts w:hint="eastAsia" w:ascii="宋体" w:hAnsi="宋体" w:cs="宋体"/>
                <w:b/>
                <w:bCs/>
                <w:color w:val="auto"/>
                <w:sz w:val="24"/>
              </w:rPr>
            </w:pPr>
            <w:r>
              <w:rPr>
                <w:rFonts w:hint="eastAsia" w:ascii="宋体" w:hAnsi="宋体" w:cs="宋体"/>
                <w:b/>
                <w:bCs/>
                <w:color w:val="auto"/>
                <w:sz w:val="24"/>
              </w:rPr>
              <w:t>表5-</w:t>
            </w:r>
            <w:r>
              <w:rPr>
                <w:rFonts w:hint="eastAsia" w:ascii="宋体" w:hAnsi="宋体" w:cs="宋体"/>
                <w:b/>
                <w:bCs/>
                <w:color w:val="auto"/>
                <w:sz w:val="24"/>
                <w:lang w:val="en-US" w:eastAsia="zh-CN"/>
              </w:rPr>
              <w:t>3</w:t>
            </w:r>
            <w:r>
              <w:rPr>
                <w:rFonts w:hint="eastAsia" w:ascii="宋体" w:hAnsi="宋体" w:cs="宋体"/>
                <w:b/>
                <w:bCs/>
                <w:color w:val="auto"/>
                <w:sz w:val="24"/>
                <w:lang w:eastAsia="zh-CN"/>
              </w:rPr>
              <w:t>热风炉</w:t>
            </w:r>
            <w:r>
              <w:rPr>
                <w:rFonts w:hint="eastAsia" w:ascii="宋体" w:hAnsi="宋体" w:cs="宋体"/>
                <w:b/>
                <w:bCs/>
                <w:color w:val="auto"/>
                <w:sz w:val="24"/>
              </w:rPr>
              <w:t>烟气污染物产生量</w:t>
            </w:r>
          </w:p>
          <w:tbl>
            <w:tblPr>
              <w:tblStyle w:val="24"/>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33"/>
              <w:gridCol w:w="540"/>
              <w:gridCol w:w="915"/>
              <w:gridCol w:w="1037"/>
              <w:gridCol w:w="21"/>
              <w:gridCol w:w="1424"/>
              <w:gridCol w:w="1293"/>
              <w:gridCol w:w="1109"/>
              <w:gridCol w:w="21"/>
              <w:gridCol w:w="957"/>
              <w:gridCol w:w="21"/>
            </w:tblGrid>
            <w:tr w14:paraId="4C8A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97" w:hRule="atLeast"/>
              </w:trPr>
              <w:tc>
                <w:tcPr>
                  <w:tcW w:w="2284" w:type="dxa"/>
                  <w:gridSpan w:val="3"/>
                  <w:vAlign w:val="center"/>
                </w:tcPr>
                <w:p w14:paraId="640CAA09">
                  <w:pPr>
                    <w:pStyle w:val="14"/>
                    <w:adjustRightInd w:val="0"/>
                    <w:snapToGrid w:val="0"/>
                    <w:spacing w:after="0" w:line="240" w:lineRule="auto"/>
                    <w:ind w:left="0" w:leftChars="0"/>
                    <w:jc w:val="center"/>
                    <w:rPr>
                      <w:rFonts w:ascii="宋体" w:hAnsi="宋体" w:cs="Times New Roman"/>
                      <w:color w:val="auto"/>
                      <w:sz w:val="21"/>
                      <w:szCs w:val="21"/>
                    </w:rPr>
                  </w:pPr>
                  <w:r>
                    <w:rPr>
                      <w:rFonts w:ascii="宋体" w:hAnsi="宋体" w:cs="Times New Roman"/>
                      <w:color w:val="auto"/>
                      <w:sz w:val="21"/>
                      <w:szCs w:val="21"/>
                    </w:rPr>
                    <w:t>污染源</w:t>
                  </w:r>
                </w:p>
              </w:tc>
              <w:tc>
                <w:tcPr>
                  <w:tcW w:w="1952" w:type="dxa"/>
                  <w:gridSpan w:val="2"/>
                  <w:vAlign w:val="center"/>
                </w:tcPr>
                <w:p w14:paraId="216C2680">
                  <w:pPr>
                    <w:pStyle w:val="14"/>
                    <w:adjustRightInd w:val="0"/>
                    <w:snapToGrid w:val="0"/>
                    <w:spacing w:after="0" w:line="240" w:lineRule="auto"/>
                    <w:ind w:left="0" w:leftChars="0"/>
                    <w:jc w:val="center"/>
                    <w:rPr>
                      <w:rFonts w:ascii="宋体" w:hAnsi="宋体" w:cs="Times New Roman"/>
                      <w:color w:val="auto"/>
                      <w:sz w:val="21"/>
                      <w:szCs w:val="21"/>
                    </w:rPr>
                  </w:pPr>
                  <w:r>
                    <w:rPr>
                      <w:rFonts w:ascii="宋体" w:hAnsi="宋体" w:cs="Times New Roman"/>
                      <w:color w:val="auto"/>
                      <w:sz w:val="21"/>
                      <w:szCs w:val="21"/>
                    </w:rPr>
                    <w:t>污染物产生量</w:t>
                  </w:r>
                </w:p>
              </w:tc>
              <w:tc>
                <w:tcPr>
                  <w:tcW w:w="3847" w:type="dxa"/>
                  <w:gridSpan w:val="4"/>
                  <w:vAlign w:val="center"/>
                </w:tcPr>
                <w:p w14:paraId="1FECDAA8">
                  <w:pPr>
                    <w:pStyle w:val="14"/>
                    <w:adjustRightInd w:val="0"/>
                    <w:snapToGrid w:val="0"/>
                    <w:spacing w:after="0" w:line="240" w:lineRule="auto"/>
                    <w:ind w:left="0" w:leftChars="0"/>
                    <w:jc w:val="center"/>
                    <w:rPr>
                      <w:rFonts w:ascii="宋体" w:hAnsi="宋体" w:cs="Times New Roman"/>
                      <w:color w:val="auto"/>
                      <w:sz w:val="21"/>
                      <w:szCs w:val="21"/>
                    </w:rPr>
                  </w:pPr>
                  <w:r>
                    <w:rPr>
                      <w:rFonts w:ascii="宋体" w:hAnsi="宋体" w:cs="Times New Roman"/>
                      <w:color w:val="auto"/>
                      <w:sz w:val="21"/>
                      <w:szCs w:val="21"/>
                    </w:rPr>
                    <w:t>污染物排放量</w:t>
                  </w:r>
                </w:p>
              </w:tc>
              <w:tc>
                <w:tcPr>
                  <w:tcW w:w="978" w:type="dxa"/>
                  <w:gridSpan w:val="2"/>
                  <w:vAlign w:val="center"/>
                </w:tcPr>
                <w:p w14:paraId="6840715F">
                  <w:pPr>
                    <w:pStyle w:val="14"/>
                    <w:adjustRightInd w:val="0"/>
                    <w:snapToGrid w:val="0"/>
                    <w:spacing w:after="0" w:line="240" w:lineRule="auto"/>
                    <w:ind w:left="0" w:leftChars="0" w:firstLine="0" w:firstLineChars="0"/>
                    <w:jc w:val="both"/>
                    <w:rPr>
                      <w:rFonts w:ascii="宋体" w:hAnsi="宋体" w:cs="Times New Roman"/>
                      <w:color w:val="auto"/>
                      <w:sz w:val="21"/>
                      <w:szCs w:val="21"/>
                    </w:rPr>
                  </w:pPr>
                  <w:r>
                    <w:rPr>
                      <w:rFonts w:ascii="宋体" w:hAnsi="宋体" w:cs="Times New Roman"/>
                      <w:color w:val="auto"/>
                      <w:sz w:val="21"/>
                      <w:szCs w:val="21"/>
                    </w:rPr>
                    <w:t>拟采取措施</w:t>
                  </w:r>
                </w:p>
              </w:tc>
            </w:tr>
            <w:tr w14:paraId="3FFA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vAlign w:val="center"/>
                </w:tcPr>
                <w:p w14:paraId="31A0A4E9">
                  <w:pPr>
                    <w:pStyle w:val="14"/>
                    <w:adjustRightInd w:val="0"/>
                    <w:snapToGrid w:val="0"/>
                    <w:spacing w:after="0" w:line="240" w:lineRule="auto"/>
                    <w:ind w:left="0" w:leftChars="0" w:firstLine="0" w:firstLineChars="0"/>
                    <w:jc w:val="both"/>
                    <w:rPr>
                      <w:rFonts w:ascii="宋体" w:hAnsi="宋体" w:cs="Times New Roman"/>
                      <w:color w:val="auto"/>
                      <w:sz w:val="21"/>
                      <w:szCs w:val="21"/>
                    </w:rPr>
                  </w:pPr>
                  <w:r>
                    <w:rPr>
                      <w:rFonts w:ascii="宋体" w:hAnsi="宋体" w:cs="Times New Roman"/>
                      <w:color w:val="auto"/>
                      <w:sz w:val="21"/>
                      <w:szCs w:val="21"/>
                    </w:rPr>
                    <w:t>名称</w:t>
                  </w:r>
                </w:p>
              </w:tc>
              <w:tc>
                <w:tcPr>
                  <w:tcW w:w="933" w:type="dxa"/>
                  <w:vAlign w:val="center"/>
                </w:tcPr>
                <w:p w14:paraId="1AFDD966">
                  <w:pPr>
                    <w:pStyle w:val="14"/>
                    <w:adjustRightInd w:val="0"/>
                    <w:snapToGrid w:val="0"/>
                    <w:spacing w:after="0" w:line="240" w:lineRule="auto"/>
                    <w:ind w:left="0" w:leftChars="0" w:firstLine="0" w:firstLineChars="0"/>
                    <w:jc w:val="both"/>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eastAsia="zh-CN"/>
                    </w:rPr>
                    <w:t>废气量（</w:t>
                  </w:r>
                  <w:r>
                    <w:rPr>
                      <w:rFonts w:hint="eastAsia" w:ascii="宋体" w:hAnsi="宋体" w:cs="Times New Roman"/>
                      <w:color w:val="auto"/>
                      <w:sz w:val="21"/>
                      <w:szCs w:val="21"/>
                      <w:lang w:val="en-US" w:eastAsia="zh-CN"/>
                    </w:rPr>
                    <w:t>m</w:t>
                  </w:r>
                  <w:r>
                    <w:rPr>
                      <w:rFonts w:hint="eastAsia" w:ascii="宋体" w:hAnsi="宋体" w:cs="Times New Roman"/>
                      <w:color w:val="auto"/>
                      <w:sz w:val="21"/>
                      <w:szCs w:val="21"/>
                      <w:vertAlign w:val="superscript"/>
                      <w:lang w:val="en-US" w:eastAsia="zh-CN"/>
                    </w:rPr>
                    <w:t>3</w:t>
                  </w:r>
                  <w:r>
                    <w:rPr>
                      <w:rFonts w:hint="eastAsia" w:ascii="宋体" w:hAnsi="宋体" w:cs="Times New Roman"/>
                      <w:color w:val="auto"/>
                      <w:sz w:val="21"/>
                      <w:szCs w:val="21"/>
                      <w:lang w:val="en-US" w:eastAsia="zh-CN"/>
                    </w:rPr>
                    <w:t>/h</w:t>
                  </w:r>
                  <w:r>
                    <w:rPr>
                      <w:rFonts w:hint="eastAsia" w:ascii="宋体" w:hAnsi="宋体" w:cs="Times New Roman"/>
                      <w:color w:val="auto"/>
                      <w:sz w:val="21"/>
                      <w:szCs w:val="21"/>
                      <w:lang w:eastAsia="zh-CN"/>
                    </w:rPr>
                    <w:t>）</w:t>
                  </w:r>
                </w:p>
              </w:tc>
              <w:tc>
                <w:tcPr>
                  <w:tcW w:w="540" w:type="dxa"/>
                  <w:vAlign w:val="center"/>
                </w:tcPr>
                <w:p w14:paraId="248729EA">
                  <w:pPr>
                    <w:pStyle w:val="14"/>
                    <w:adjustRightInd w:val="0"/>
                    <w:snapToGrid w:val="0"/>
                    <w:spacing w:after="0" w:line="240" w:lineRule="auto"/>
                    <w:ind w:left="0" w:leftChars="0"/>
                    <w:jc w:val="center"/>
                    <w:rPr>
                      <w:rFonts w:ascii="宋体" w:hAnsi="宋体" w:cs="Times New Roman"/>
                      <w:color w:val="auto"/>
                      <w:sz w:val="21"/>
                      <w:szCs w:val="21"/>
                    </w:rPr>
                  </w:pPr>
                </w:p>
              </w:tc>
              <w:tc>
                <w:tcPr>
                  <w:tcW w:w="915" w:type="dxa"/>
                  <w:vAlign w:val="center"/>
                </w:tcPr>
                <w:p w14:paraId="72B3F97F">
                  <w:pPr>
                    <w:pStyle w:val="14"/>
                    <w:adjustRightInd w:val="0"/>
                    <w:snapToGrid w:val="0"/>
                    <w:spacing w:after="0" w:line="240" w:lineRule="auto"/>
                    <w:ind w:left="0" w:leftChars="0" w:firstLine="0" w:firstLineChars="0"/>
                    <w:jc w:val="both"/>
                    <w:rPr>
                      <w:rFonts w:ascii="宋体" w:hAnsi="宋体" w:cs="Times New Roman"/>
                      <w:color w:val="auto"/>
                      <w:sz w:val="21"/>
                      <w:szCs w:val="21"/>
                    </w:rPr>
                  </w:pPr>
                  <w:r>
                    <w:rPr>
                      <w:rFonts w:ascii="宋体" w:hAnsi="宋体" w:cs="Times New Roman"/>
                      <w:color w:val="auto"/>
                      <w:sz w:val="21"/>
                      <w:szCs w:val="21"/>
                    </w:rPr>
                    <w:t>产生量</w:t>
                  </w:r>
                </w:p>
                <w:p w14:paraId="3EB7F079">
                  <w:pPr>
                    <w:pStyle w:val="14"/>
                    <w:adjustRightInd w:val="0"/>
                    <w:snapToGrid w:val="0"/>
                    <w:spacing w:after="0" w:line="240" w:lineRule="auto"/>
                    <w:ind w:left="0" w:leftChars="0" w:firstLine="0" w:firstLineChars="0"/>
                    <w:jc w:val="left"/>
                    <w:rPr>
                      <w:rFonts w:ascii="宋体" w:hAnsi="宋体" w:cs="Times New Roman"/>
                      <w:color w:val="auto"/>
                      <w:sz w:val="21"/>
                      <w:szCs w:val="21"/>
                    </w:rPr>
                  </w:pPr>
                  <w:r>
                    <w:rPr>
                      <w:rFonts w:ascii="宋体" w:hAnsi="宋体" w:cs="Times New Roman"/>
                      <w:color w:val="auto"/>
                      <w:sz w:val="21"/>
                      <w:szCs w:val="21"/>
                    </w:rPr>
                    <w:t>（</w:t>
                  </w:r>
                  <w:r>
                    <w:rPr>
                      <w:rFonts w:hint="eastAsia" w:ascii="宋体" w:hAnsi="宋体" w:cs="Times New Roman"/>
                      <w:color w:val="auto"/>
                      <w:sz w:val="21"/>
                      <w:szCs w:val="21"/>
                    </w:rPr>
                    <w:t>t</w:t>
                  </w:r>
                  <w:r>
                    <w:rPr>
                      <w:rFonts w:ascii="宋体" w:hAnsi="宋体" w:cs="Times New Roman"/>
                      <w:color w:val="auto"/>
                      <w:sz w:val="21"/>
                      <w:szCs w:val="21"/>
                    </w:rPr>
                    <w:t>/a）</w:t>
                  </w:r>
                </w:p>
              </w:tc>
              <w:tc>
                <w:tcPr>
                  <w:tcW w:w="1058" w:type="dxa"/>
                  <w:gridSpan w:val="2"/>
                  <w:vAlign w:val="center"/>
                </w:tcPr>
                <w:p w14:paraId="3C2B111A">
                  <w:pPr>
                    <w:pStyle w:val="14"/>
                    <w:adjustRightInd w:val="0"/>
                    <w:snapToGrid w:val="0"/>
                    <w:spacing w:after="0" w:line="240" w:lineRule="auto"/>
                    <w:ind w:left="0" w:leftChars="0"/>
                    <w:jc w:val="center"/>
                    <w:rPr>
                      <w:rFonts w:ascii="宋体" w:hAnsi="宋体" w:cs="Times New Roman"/>
                      <w:color w:val="auto"/>
                      <w:sz w:val="21"/>
                      <w:szCs w:val="21"/>
                    </w:rPr>
                  </w:pPr>
                  <w:r>
                    <w:rPr>
                      <w:rFonts w:ascii="宋体" w:hAnsi="宋体" w:cs="Times New Roman"/>
                      <w:color w:val="auto"/>
                      <w:sz w:val="21"/>
                      <w:szCs w:val="21"/>
                    </w:rPr>
                    <w:t>浓度（mg/m</w:t>
                  </w:r>
                  <w:r>
                    <w:rPr>
                      <w:rFonts w:ascii="宋体" w:hAnsi="宋体" w:cs="Times New Roman"/>
                      <w:color w:val="auto"/>
                      <w:sz w:val="21"/>
                      <w:szCs w:val="21"/>
                      <w:vertAlign w:val="superscript"/>
                    </w:rPr>
                    <w:t>3</w:t>
                  </w:r>
                  <w:r>
                    <w:rPr>
                      <w:rFonts w:ascii="宋体" w:hAnsi="宋体" w:cs="Times New Roman"/>
                      <w:color w:val="auto"/>
                      <w:sz w:val="21"/>
                      <w:szCs w:val="21"/>
                    </w:rPr>
                    <w:t>）</w:t>
                  </w:r>
                </w:p>
              </w:tc>
              <w:tc>
                <w:tcPr>
                  <w:tcW w:w="1424" w:type="dxa"/>
                  <w:vAlign w:val="center"/>
                </w:tcPr>
                <w:p w14:paraId="106DDEC9">
                  <w:pPr>
                    <w:pStyle w:val="14"/>
                    <w:adjustRightInd w:val="0"/>
                    <w:snapToGrid w:val="0"/>
                    <w:spacing w:after="0" w:line="240" w:lineRule="auto"/>
                    <w:ind w:left="0" w:leftChars="0"/>
                    <w:jc w:val="center"/>
                    <w:rPr>
                      <w:rFonts w:ascii="宋体" w:hAnsi="宋体" w:cs="Times New Roman"/>
                      <w:color w:val="auto"/>
                      <w:sz w:val="21"/>
                      <w:szCs w:val="21"/>
                    </w:rPr>
                  </w:pPr>
                  <w:r>
                    <w:rPr>
                      <w:rFonts w:ascii="宋体" w:hAnsi="宋体" w:cs="Times New Roman"/>
                      <w:color w:val="auto"/>
                      <w:sz w:val="21"/>
                      <w:szCs w:val="21"/>
                    </w:rPr>
                    <w:t>排放量（</w:t>
                  </w:r>
                  <w:r>
                    <w:rPr>
                      <w:rFonts w:hint="eastAsia" w:ascii="宋体" w:hAnsi="宋体" w:cs="Times New Roman"/>
                      <w:color w:val="auto"/>
                      <w:sz w:val="21"/>
                      <w:szCs w:val="21"/>
                    </w:rPr>
                    <w:t>t</w:t>
                  </w:r>
                  <w:r>
                    <w:rPr>
                      <w:rFonts w:ascii="宋体" w:hAnsi="宋体" w:cs="Times New Roman"/>
                      <w:color w:val="auto"/>
                      <w:sz w:val="21"/>
                      <w:szCs w:val="21"/>
                    </w:rPr>
                    <w:t>/a）</w:t>
                  </w:r>
                </w:p>
              </w:tc>
              <w:tc>
                <w:tcPr>
                  <w:tcW w:w="1293" w:type="dxa"/>
                  <w:vAlign w:val="center"/>
                </w:tcPr>
                <w:p w14:paraId="7BD17381">
                  <w:pPr>
                    <w:pStyle w:val="14"/>
                    <w:adjustRightInd w:val="0"/>
                    <w:snapToGrid w:val="0"/>
                    <w:spacing w:after="0" w:line="240" w:lineRule="auto"/>
                    <w:ind w:left="0" w:leftChars="0"/>
                    <w:jc w:val="center"/>
                    <w:rPr>
                      <w:rFonts w:ascii="宋体" w:hAnsi="宋体" w:cs="Times New Roman"/>
                      <w:color w:val="auto"/>
                      <w:sz w:val="21"/>
                      <w:szCs w:val="21"/>
                    </w:rPr>
                  </w:pPr>
                  <w:r>
                    <w:rPr>
                      <w:rFonts w:ascii="宋体" w:hAnsi="宋体" w:cs="Times New Roman"/>
                      <w:color w:val="auto"/>
                      <w:sz w:val="21"/>
                      <w:szCs w:val="21"/>
                    </w:rPr>
                    <w:t>浓度（mg/m</w:t>
                  </w:r>
                  <w:r>
                    <w:rPr>
                      <w:rFonts w:ascii="宋体" w:hAnsi="宋体" w:cs="Times New Roman"/>
                      <w:color w:val="auto"/>
                      <w:sz w:val="21"/>
                      <w:szCs w:val="21"/>
                      <w:vertAlign w:val="superscript"/>
                    </w:rPr>
                    <w:t>3</w:t>
                  </w:r>
                  <w:r>
                    <w:rPr>
                      <w:rFonts w:ascii="宋体" w:hAnsi="宋体" w:cs="Times New Roman"/>
                      <w:color w:val="auto"/>
                      <w:sz w:val="21"/>
                      <w:szCs w:val="21"/>
                    </w:rPr>
                    <w:t>）</w:t>
                  </w:r>
                </w:p>
              </w:tc>
              <w:tc>
                <w:tcPr>
                  <w:tcW w:w="1130" w:type="dxa"/>
                  <w:gridSpan w:val="2"/>
                  <w:vAlign w:val="center"/>
                </w:tcPr>
                <w:p w14:paraId="698F1899">
                  <w:pPr>
                    <w:pStyle w:val="14"/>
                    <w:adjustRightInd w:val="0"/>
                    <w:snapToGrid w:val="0"/>
                    <w:spacing w:after="0" w:line="240" w:lineRule="auto"/>
                    <w:jc w:val="both"/>
                    <w:rPr>
                      <w:rFonts w:ascii="宋体" w:hAnsi="宋体" w:cs="Times New Roman"/>
                      <w:color w:val="auto"/>
                      <w:sz w:val="21"/>
                      <w:szCs w:val="21"/>
                    </w:rPr>
                  </w:pPr>
                  <w:r>
                    <w:rPr>
                      <w:rFonts w:ascii="宋体" w:hAnsi="宋体" w:cs="Times New Roman"/>
                      <w:color w:val="auto"/>
                      <w:sz w:val="21"/>
                      <w:szCs w:val="21"/>
                    </w:rPr>
                    <w:t>速率（kg/h）</w:t>
                  </w:r>
                </w:p>
              </w:tc>
              <w:tc>
                <w:tcPr>
                  <w:tcW w:w="978" w:type="dxa"/>
                  <w:gridSpan w:val="2"/>
                  <w:vMerge w:val="restart"/>
                  <w:vAlign w:val="center"/>
                </w:tcPr>
                <w:p w14:paraId="1ABEC9DC">
                  <w:pPr>
                    <w:pStyle w:val="14"/>
                    <w:adjustRightInd w:val="0"/>
                    <w:snapToGrid w:val="0"/>
                    <w:spacing w:after="0" w:line="240" w:lineRule="auto"/>
                    <w:ind w:left="0" w:leftChars="0" w:firstLine="0" w:firstLineChars="0"/>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eastAsia="zh-CN"/>
                    </w:rPr>
                    <w:t>旋风</w:t>
                  </w:r>
                  <w:r>
                    <w:rPr>
                      <w:rFonts w:hint="eastAsia" w:ascii="宋体" w:hAnsi="宋体" w:cs="Times New Roman"/>
                      <w:color w:val="auto"/>
                      <w:sz w:val="21"/>
                      <w:szCs w:val="21"/>
                      <w:lang w:val="en-US" w:eastAsia="zh-CN"/>
                    </w:rPr>
                    <w:t>+布袋除尘+35m烟囱</w:t>
                  </w:r>
                </w:p>
              </w:tc>
            </w:tr>
            <w:tr w14:paraId="13E6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vMerge w:val="restart"/>
                  <w:vAlign w:val="center"/>
                </w:tcPr>
                <w:p w14:paraId="656B77FF">
                  <w:pPr>
                    <w:pStyle w:val="14"/>
                    <w:adjustRightInd w:val="0"/>
                    <w:snapToGrid w:val="0"/>
                    <w:spacing w:after="0" w:line="240" w:lineRule="auto"/>
                    <w:ind w:left="0" w:leftChars="0" w:firstLine="0" w:firstLineChars="0"/>
                    <w:jc w:val="both"/>
                    <w:rPr>
                      <w:rFonts w:hint="eastAsia" w:ascii="宋体" w:hAnsi="宋体" w:cs="Times New Roman"/>
                      <w:color w:val="auto"/>
                      <w:sz w:val="21"/>
                      <w:szCs w:val="21"/>
                    </w:rPr>
                  </w:pPr>
                  <w:r>
                    <w:rPr>
                      <w:rFonts w:hint="eastAsia" w:ascii="宋体" w:hAnsi="宋体" w:cs="Times New Roman"/>
                      <w:color w:val="auto"/>
                      <w:sz w:val="21"/>
                      <w:szCs w:val="21"/>
                      <w:lang w:eastAsia="zh-CN"/>
                    </w:rPr>
                    <w:t>热风炉烟气</w:t>
                  </w:r>
                </w:p>
              </w:tc>
              <w:tc>
                <w:tcPr>
                  <w:tcW w:w="933" w:type="dxa"/>
                  <w:vMerge w:val="restart"/>
                  <w:vAlign w:val="center"/>
                </w:tcPr>
                <w:p w14:paraId="667E6972">
                  <w:pPr>
                    <w:pStyle w:val="14"/>
                    <w:adjustRightInd w:val="0"/>
                    <w:snapToGrid w:val="0"/>
                    <w:spacing w:after="0" w:line="240" w:lineRule="auto"/>
                    <w:ind w:left="0" w:leftChars="0" w:firstLine="0" w:firstLineChars="0"/>
                    <w:jc w:val="both"/>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10000</w:t>
                  </w:r>
                </w:p>
              </w:tc>
              <w:tc>
                <w:tcPr>
                  <w:tcW w:w="540" w:type="dxa"/>
                  <w:vAlign w:val="center"/>
                </w:tcPr>
                <w:p w14:paraId="35398341">
                  <w:pPr>
                    <w:pStyle w:val="14"/>
                    <w:adjustRightInd w:val="0"/>
                    <w:snapToGrid w:val="0"/>
                    <w:spacing w:after="0" w:line="240" w:lineRule="auto"/>
                    <w:ind w:left="0" w:leftChars="0" w:firstLine="0" w:firstLineChars="0"/>
                    <w:jc w:val="both"/>
                    <w:rPr>
                      <w:rFonts w:ascii="宋体" w:hAnsi="宋体" w:cs="Times New Roman"/>
                      <w:color w:val="auto"/>
                      <w:position w:val="-12"/>
                      <w:sz w:val="21"/>
                      <w:szCs w:val="21"/>
                    </w:rPr>
                  </w:pPr>
                  <w:r>
                    <w:rPr>
                      <w:rFonts w:ascii="宋体" w:hAnsi="宋体" w:cs="Times New Roman"/>
                      <w:color w:val="auto"/>
                      <w:position w:val="-12"/>
                      <w:sz w:val="21"/>
                      <w:szCs w:val="21"/>
                    </w:rPr>
                    <w:t>NO</w:t>
                  </w:r>
                  <w:r>
                    <w:rPr>
                      <w:rFonts w:ascii="宋体" w:hAnsi="宋体" w:cs="Times New Roman"/>
                      <w:color w:val="auto"/>
                      <w:position w:val="-12"/>
                      <w:sz w:val="21"/>
                      <w:szCs w:val="21"/>
                      <w:vertAlign w:val="subscript"/>
                    </w:rPr>
                    <w:t>x</w:t>
                  </w:r>
                </w:p>
              </w:tc>
              <w:tc>
                <w:tcPr>
                  <w:tcW w:w="915" w:type="dxa"/>
                  <w:vAlign w:val="center"/>
                </w:tcPr>
                <w:p w14:paraId="133F34F7">
                  <w:pPr>
                    <w:pStyle w:val="14"/>
                    <w:adjustRightInd w:val="0"/>
                    <w:snapToGrid w:val="0"/>
                    <w:spacing w:after="0" w:line="240" w:lineRule="auto"/>
                    <w:ind w:left="0" w:leftChars="0" w:firstLine="0" w:firstLineChars="0"/>
                    <w:jc w:val="both"/>
                    <w:rPr>
                      <w:rFonts w:hint="default" w:ascii="宋体" w:hAnsi="宋体" w:eastAsia="宋体" w:cs="Times New Roman"/>
                      <w:color w:val="auto"/>
                      <w:position w:val="-12"/>
                      <w:sz w:val="21"/>
                      <w:szCs w:val="21"/>
                      <w:lang w:val="en-US" w:eastAsia="zh-CN"/>
                    </w:rPr>
                  </w:pPr>
                  <w:r>
                    <w:rPr>
                      <w:rFonts w:hint="eastAsia" w:ascii="宋体" w:hAnsi="宋体" w:eastAsia="宋体" w:cs="Times New Roman"/>
                      <w:color w:val="auto"/>
                      <w:sz w:val="21"/>
                      <w:szCs w:val="21"/>
                      <w:lang w:val="en-US" w:eastAsia="zh-CN"/>
                    </w:rPr>
                    <w:t>0.</w:t>
                  </w:r>
                  <w:r>
                    <w:rPr>
                      <w:rFonts w:hint="eastAsia" w:ascii="宋体" w:hAnsi="宋体" w:cs="Times New Roman"/>
                      <w:color w:val="auto"/>
                      <w:sz w:val="21"/>
                      <w:szCs w:val="21"/>
                      <w:lang w:val="en-US" w:eastAsia="zh-CN"/>
                    </w:rPr>
                    <w:t>36</w:t>
                  </w:r>
                </w:p>
              </w:tc>
              <w:tc>
                <w:tcPr>
                  <w:tcW w:w="1058" w:type="dxa"/>
                  <w:gridSpan w:val="2"/>
                  <w:vAlign w:val="center"/>
                </w:tcPr>
                <w:p w14:paraId="0C7257AB">
                  <w:pPr>
                    <w:widowControl/>
                    <w:spacing w:line="240" w:lineRule="auto"/>
                    <w:jc w:val="center"/>
                    <w:textAlignment w:val="center"/>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95.3</w:t>
                  </w:r>
                </w:p>
              </w:tc>
              <w:tc>
                <w:tcPr>
                  <w:tcW w:w="1424" w:type="dxa"/>
                  <w:vAlign w:val="center"/>
                </w:tcPr>
                <w:p w14:paraId="551008D4">
                  <w:pPr>
                    <w:pStyle w:val="14"/>
                    <w:adjustRightInd w:val="0"/>
                    <w:snapToGrid w:val="0"/>
                    <w:spacing w:after="0" w:line="240" w:lineRule="auto"/>
                    <w:ind w:left="0" w:left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0.36</w:t>
                  </w:r>
                </w:p>
              </w:tc>
              <w:tc>
                <w:tcPr>
                  <w:tcW w:w="1293" w:type="dxa"/>
                  <w:vAlign w:val="center"/>
                </w:tcPr>
                <w:p w14:paraId="5ACFE4E4">
                  <w:pPr>
                    <w:widowControl/>
                    <w:spacing w:line="240" w:lineRule="auto"/>
                    <w:jc w:val="center"/>
                    <w:textAlignment w:val="center"/>
                    <w:rPr>
                      <w:rFonts w:hint="default" w:ascii="宋体" w:hAnsi="宋体" w:eastAsia="宋体" w:cs="Times New Roman"/>
                      <w:color w:val="auto"/>
                      <w:sz w:val="21"/>
                      <w:szCs w:val="21"/>
                      <w:lang w:val="en-US" w:eastAsia="zh-CN"/>
                    </w:rPr>
                  </w:pPr>
                  <w:r>
                    <w:rPr>
                      <w:rFonts w:hint="eastAsia" w:ascii="宋体" w:hAnsi="宋体" w:cs="Times New Roman"/>
                      <w:color w:val="auto"/>
                      <w:kern w:val="0"/>
                      <w:sz w:val="21"/>
                      <w:szCs w:val="21"/>
                      <w:lang w:val="en-US" w:eastAsia="zh-CN" w:bidi="ar"/>
                    </w:rPr>
                    <w:t>18.75</w:t>
                  </w:r>
                </w:p>
              </w:tc>
              <w:tc>
                <w:tcPr>
                  <w:tcW w:w="1130" w:type="dxa"/>
                  <w:gridSpan w:val="2"/>
                  <w:vAlign w:val="center"/>
                </w:tcPr>
                <w:p w14:paraId="724BD176">
                  <w:pPr>
                    <w:widowControl/>
                    <w:spacing w:line="240" w:lineRule="auto"/>
                    <w:jc w:val="center"/>
                    <w:textAlignment w:val="center"/>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0.</w:t>
                  </w:r>
                  <w:r>
                    <w:rPr>
                      <w:rFonts w:hint="eastAsia" w:ascii="宋体" w:hAnsi="宋体" w:cs="Times New Roman"/>
                      <w:color w:val="auto"/>
                      <w:sz w:val="21"/>
                      <w:szCs w:val="21"/>
                      <w:lang w:val="en-US" w:eastAsia="zh-CN"/>
                    </w:rPr>
                    <w:t>18</w:t>
                  </w:r>
                </w:p>
              </w:tc>
              <w:tc>
                <w:tcPr>
                  <w:tcW w:w="978" w:type="dxa"/>
                  <w:gridSpan w:val="2"/>
                  <w:vMerge w:val="continue"/>
                  <w:vAlign w:val="center"/>
                </w:tcPr>
                <w:p w14:paraId="11A1BFE3">
                  <w:pPr>
                    <w:pStyle w:val="14"/>
                    <w:adjustRightInd w:val="0"/>
                    <w:snapToGrid w:val="0"/>
                    <w:spacing w:after="0" w:line="240" w:lineRule="auto"/>
                    <w:ind w:left="0" w:leftChars="0"/>
                    <w:jc w:val="center"/>
                    <w:rPr>
                      <w:rFonts w:ascii="宋体" w:hAnsi="宋体" w:cs="Times New Roman"/>
                      <w:color w:val="auto"/>
                      <w:sz w:val="21"/>
                      <w:szCs w:val="21"/>
                    </w:rPr>
                  </w:pPr>
                </w:p>
              </w:tc>
            </w:tr>
            <w:tr w14:paraId="5565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vMerge w:val="continue"/>
                  <w:vAlign w:val="center"/>
                </w:tcPr>
                <w:p w14:paraId="60F08757">
                  <w:pPr>
                    <w:pStyle w:val="14"/>
                    <w:adjustRightInd w:val="0"/>
                    <w:snapToGrid w:val="0"/>
                    <w:spacing w:after="0" w:line="240" w:lineRule="auto"/>
                    <w:ind w:left="0" w:leftChars="0"/>
                    <w:jc w:val="center"/>
                    <w:rPr>
                      <w:rFonts w:ascii="宋体" w:hAnsi="宋体" w:cs="Times New Roman"/>
                      <w:color w:val="auto"/>
                      <w:sz w:val="21"/>
                      <w:szCs w:val="21"/>
                    </w:rPr>
                  </w:pPr>
                </w:p>
              </w:tc>
              <w:tc>
                <w:tcPr>
                  <w:tcW w:w="933" w:type="dxa"/>
                  <w:vMerge w:val="continue"/>
                  <w:vAlign w:val="center"/>
                </w:tcPr>
                <w:p w14:paraId="03410157">
                  <w:pPr>
                    <w:pStyle w:val="14"/>
                    <w:adjustRightInd w:val="0"/>
                    <w:snapToGrid w:val="0"/>
                    <w:spacing w:after="0" w:line="240" w:lineRule="auto"/>
                    <w:ind w:left="0" w:leftChars="0"/>
                    <w:jc w:val="center"/>
                    <w:rPr>
                      <w:rFonts w:hint="eastAsia" w:ascii="宋体" w:hAnsi="宋体" w:eastAsia="宋体" w:cs="Times New Roman"/>
                      <w:color w:val="auto"/>
                      <w:sz w:val="21"/>
                      <w:szCs w:val="21"/>
                      <w:lang w:eastAsia="zh-CN"/>
                    </w:rPr>
                  </w:pPr>
                </w:p>
              </w:tc>
              <w:tc>
                <w:tcPr>
                  <w:tcW w:w="540" w:type="dxa"/>
                  <w:vAlign w:val="center"/>
                </w:tcPr>
                <w:p w14:paraId="0C77DAD2">
                  <w:pPr>
                    <w:pStyle w:val="14"/>
                    <w:adjustRightInd w:val="0"/>
                    <w:snapToGrid w:val="0"/>
                    <w:spacing w:after="0" w:line="240" w:lineRule="auto"/>
                    <w:ind w:left="0" w:leftChars="0" w:firstLine="0" w:firstLineChars="0"/>
                    <w:jc w:val="both"/>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烟尘</w:t>
                  </w:r>
                </w:p>
              </w:tc>
              <w:tc>
                <w:tcPr>
                  <w:tcW w:w="915" w:type="dxa"/>
                  <w:vAlign w:val="center"/>
                </w:tcPr>
                <w:p w14:paraId="08866536">
                  <w:pPr>
                    <w:pStyle w:val="14"/>
                    <w:adjustRightInd w:val="0"/>
                    <w:snapToGrid w:val="0"/>
                    <w:spacing w:after="0" w:line="240" w:lineRule="auto"/>
                    <w:ind w:left="0" w:leftChars="0" w:firstLine="0" w:firstLineChars="0"/>
                    <w:jc w:val="both"/>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13.53</w:t>
                  </w:r>
                </w:p>
              </w:tc>
              <w:tc>
                <w:tcPr>
                  <w:tcW w:w="1058" w:type="dxa"/>
                  <w:gridSpan w:val="2"/>
                  <w:vAlign w:val="center"/>
                </w:tcPr>
                <w:p w14:paraId="204586C5">
                  <w:pPr>
                    <w:widowControl/>
                    <w:spacing w:line="240" w:lineRule="auto"/>
                    <w:jc w:val="center"/>
                    <w:textAlignment w:val="center"/>
                    <w:rPr>
                      <w:rFonts w:hint="default" w:ascii="宋体" w:hAnsi="宋体" w:eastAsia="宋体" w:cs="Times New Roman"/>
                      <w:color w:val="auto"/>
                      <w:sz w:val="21"/>
                      <w:szCs w:val="21"/>
                      <w:lang w:val="en-US" w:eastAsia="zh-CN"/>
                    </w:rPr>
                  </w:pPr>
                  <w:r>
                    <w:rPr>
                      <w:rFonts w:hint="eastAsia" w:ascii="宋体" w:hAnsi="宋体" w:cs="Times New Roman"/>
                      <w:color w:val="auto"/>
                      <w:kern w:val="0"/>
                      <w:sz w:val="21"/>
                      <w:szCs w:val="21"/>
                      <w:lang w:val="en-US" w:eastAsia="zh-CN" w:bidi="ar"/>
                    </w:rPr>
                    <w:t>704.68</w:t>
                  </w:r>
                </w:p>
              </w:tc>
              <w:tc>
                <w:tcPr>
                  <w:tcW w:w="1424" w:type="dxa"/>
                  <w:vAlign w:val="center"/>
                </w:tcPr>
                <w:p w14:paraId="6260F9F6">
                  <w:pPr>
                    <w:pStyle w:val="14"/>
                    <w:adjustRightInd w:val="0"/>
                    <w:snapToGrid w:val="0"/>
                    <w:spacing w:after="0" w:line="240" w:lineRule="auto"/>
                    <w:ind w:left="0" w:left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0.14</w:t>
                  </w:r>
                </w:p>
              </w:tc>
              <w:tc>
                <w:tcPr>
                  <w:tcW w:w="1293" w:type="dxa"/>
                  <w:vAlign w:val="center"/>
                </w:tcPr>
                <w:p w14:paraId="557D7FBD">
                  <w:pPr>
                    <w:widowControl/>
                    <w:spacing w:line="240" w:lineRule="auto"/>
                    <w:jc w:val="center"/>
                    <w:textAlignment w:val="center"/>
                    <w:rPr>
                      <w:rFonts w:hint="default" w:ascii="宋体" w:hAnsi="宋体" w:eastAsia="宋体" w:cs="Times New Roman"/>
                      <w:color w:val="auto"/>
                      <w:sz w:val="21"/>
                      <w:szCs w:val="21"/>
                      <w:lang w:val="en-US" w:eastAsia="zh-CN"/>
                    </w:rPr>
                  </w:pPr>
                  <w:r>
                    <w:rPr>
                      <w:rFonts w:hint="eastAsia" w:ascii="宋体" w:hAnsi="宋体" w:cs="Times New Roman"/>
                      <w:color w:val="auto"/>
                      <w:kern w:val="0"/>
                      <w:sz w:val="21"/>
                      <w:szCs w:val="21"/>
                      <w:lang w:val="en-US" w:eastAsia="zh-CN" w:bidi="ar"/>
                    </w:rPr>
                    <w:t>7.29</w:t>
                  </w:r>
                </w:p>
              </w:tc>
              <w:tc>
                <w:tcPr>
                  <w:tcW w:w="1130" w:type="dxa"/>
                  <w:gridSpan w:val="2"/>
                  <w:vAlign w:val="center"/>
                </w:tcPr>
                <w:p w14:paraId="6623F614">
                  <w:pPr>
                    <w:widowControl/>
                    <w:spacing w:line="240" w:lineRule="auto"/>
                    <w:jc w:val="center"/>
                    <w:textAlignment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rPr>
                    <w:t>0.</w:t>
                  </w:r>
                  <w:r>
                    <w:rPr>
                      <w:rFonts w:hint="eastAsia" w:ascii="宋体" w:hAnsi="宋体" w:cs="Times New Roman"/>
                      <w:color w:val="auto"/>
                      <w:sz w:val="21"/>
                      <w:szCs w:val="21"/>
                      <w:lang w:val="en-US" w:eastAsia="zh-CN"/>
                    </w:rPr>
                    <w:t>072</w:t>
                  </w:r>
                </w:p>
              </w:tc>
              <w:tc>
                <w:tcPr>
                  <w:tcW w:w="978" w:type="dxa"/>
                  <w:gridSpan w:val="2"/>
                  <w:vMerge w:val="continue"/>
                  <w:vAlign w:val="center"/>
                </w:tcPr>
                <w:p w14:paraId="19357068">
                  <w:pPr>
                    <w:pStyle w:val="14"/>
                    <w:adjustRightInd w:val="0"/>
                    <w:snapToGrid w:val="0"/>
                    <w:spacing w:after="0" w:line="240" w:lineRule="auto"/>
                    <w:ind w:left="0" w:leftChars="0"/>
                    <w:jc w:val="center"/>
                    <w:rPr>
                      <w:rFonts w:ascii="宋体" w:hAnsi="宋体" w:cs="Times New Roman"/>
                      <w:color w:val="auto"/>
                      <w:sz w:val="21"/>
                      <w:szCs w:val="21"/>
                    </w:rPr>
                  </w:pPr>
                </w:p>
              </w:tc>
            </w:tr>
            <w:tr w14:paraId="4096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vMerge w:val="continue"/>
                  <w:vAlign w:val="center"/>
                </w:tcPr>
                <w:p w14:paraId="52D76DCD">
                  <w:pPr>
                    <w:pStyle w:val="14"/>
                    <w:adjustRightInd w:val="0"/>
                    <w:snapToGrid w:val="0"/>
                    <w:spacing w:after="0" w:line="240" w:lineRule="auto"/>
                    <w:ind w:left="0" w:leftChars="0"/>
                    <w:jc w:val="center"/>
                    <w:rPr>
                      <w:rFonts w:ascii="宋体" w:hAnsi="宋体" w:cs="Times New Roman"/>
                      <w:color w:val="auto"/>
                      <w:sz w:val="21"/>
                      <w:szCs w:val="21"/>
                    </w:rPr>
                  </w:pPr>
                </w:p>
              </w:tc>
              <w:tc>
                <w:tcPr>
                  <w:tcW w:w="933" w:type="dxa"/>
                  <w:vMerge w:val="continue"/>
                  <w:vAlign w:val="center"/>
                </w:tcPr>
                <w:p w14:paraId="1461C367">
                  <w:pPr>
                    <w:pStyle w:val="14"/>
                    <w:adjustRightInd w:val="0"/>
                    <w:snapToGrid w:val="0"/>
                    <w:spacing w:after="0" w:line="240" w:lineRule="auto"/>
                    <w:ind w:left="0" w:leftChars="0"/>
                    <w:jc w:val="center"/>
                    <w:rPr>
                      <w:rFonts w:ascii="宋体" w:hAnsi="宋体" w:cs="Times New Roman"/>
                      <w:color w:val="auto"/>
                      <w:sz w:val="21"/>
                      <w:szCs w:val="21"/>
                    </w:rPr>
                  </w:pPr>
                </w:p>
              </w:tc>
              <w:tc>
                <w:tcPr>
                  <w:tcW w:w="540" w:type="dxa"/>
                  <w:vAlign w:val="center"/>
                </w:tcPr>
                <w:p w14:paraId="20B2F7AF">
                  <w:pPr>
                    <w:pStyle w:val="14"/>
                    <w:adjustRightInd w:val="0"/>
                    <w:snapToGrid w:val="0"/>
                    <w:spacing w:after="0" w:line="240" w:lineRule="auto"/>
                    <w:ind w:left="0" w:leftChars="0" w:firstLine="0" w:firstLineChars="0"/>
                    <w:jc w:val="both"/>
                    <w:rPr>
                      <w:rFonts w:ascii="宋体" w:hAnsi="宋体" w:cs="Times New Roman"/>
                      <w:color w:val="auto"/>
                      <w:sz w:val="21"/>
                      <w:szCs w:val="21"/>
                    </w:rPr>
                  </w:pPr>
                  <w:r>
                    <w:rPr>
                      <w:rFonts w:ascii="宋体" w:hAnsi="宋体" w:cs="Times New Roman"/>
                      <w:color w:val="auto"/>
                      <w:sz w:val="21"/>
                      <w:szCs w:val="21"/>
                    </w:rPr>
                    <w:t>SO</w:t>
                  </w:r>
                  <w:r>
                    <w:rPr>
                      <w:rFonts w:ascii="宋体" w:hAnsi="宋体" w:cs="Times New Roman"/>
                      <w:color w:val="auto"/>
                      <w:sz w:val="21"/>
                      <w:szCs w:val="21"/>
                      <w:vertAlign w:val="subscript"/>
                    </w:rPr>
                    <w:t>2</w:t>
                  </w:r>
                </w:p>
              </w:tc>
              <w:tc>
                <w:tcPr>
                  <w:tcW w:w="915" w:type="dxa"/>
                  <w:vAlign w:val="center"/>
                </w:tcPr>
                <w:p w14:paraId="18C8F59A">
                  <w:pPr>
                    <w:pStyle w:val="14"/>
                    <w:adjustRightInd w:val="0"/>
                    <w:snapToGrid w:val="0"/>
                    <w:spacing w:after="0" w:line="240" w:lineRule="auto"/>
                    <w:ind w:left="0" w:leftChars="0" w:firstLine="0" w:firstLineChars="0"/>
                    <w:jc w:val="both"/>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1.83</w:t>
                  </w:r>
                </w:p>
              </w:tc>
              <w:tc>
                <w:tcPr>
                  <w:tcW w:w="1058" w:type="dxa"/>
                  <w:gridSpan w:val="2"/>
                  <w:vAlign w:val="center"/>
                </w:tcPr>
                <w:p w14:paraId="6A8D135C">
                  <w:pPr>
                    <w:widowControl/>
                    <w:spacing w:line="240" w:lineRule="auto"/>
                    <w:jc w:val="center"/>
                    <w:textAlignment w:val="center"/>
                    <w:rPr>
                      <w:rFonts w:hint="default" w:ascii="宋体" w:hAnsi="宋体" w:eastAsia="宋体" w:cs="Times New Roman"/>
                      <w:color w:val="auto"/>
                      <w:sz w:val="21"/>
                      <w:szCs w:val="21"/>
                      <w:lang w:val="en-US" w:eastAsia="zh-CN"/>
                    </w:rPr>
                  </w:pPr>
                  <w:r>
                    <w:rPr>
                      <w:rFonts w:hint="eastAsia" w:ascii="宋体" w:hAnsi="宋体" w:cs="Times New Roman"/>
                      <w:color w:val="auto"/>
                      <w:kern w:val="0"/>
                      <w:sz w:val="21"/>
                      <w:szCs w:val="21"/>
                      <w:lang w:val="en-US" w:eastAsia="zh-CN" w:bidi="ar"/>
                    </w:rPr>
                    <w:t>18.75</w:t>
                  </w:r>
                </w:p>
              </w:tc>
              <w:tc>
                <w:tcPr>
                  <w:tcW w:w="1424" w:type="dxa"/>
                  <w:vAlign w:val="center"/>
                </w:tcPr>
                <w:p w14:paraId="5B308E88">
                  <w:pPr>
                    <w:pStyle w:val="14"/>
                    <w:adjustRightInd w:val="0"/>
                    <w:snapToGrid w:val="0"/>
                    <w:spacing w:after="0" w:line="240" w:lineRule="auto"/>
                    <w:ind w:left="0" w:leftChars="0"/>
                    <w:jc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1.83</w:t>
                  </w:r>
                </w:p>
              </w:tc>
              <w:tc>
                <w:tcPr>
                  <w:tcW w:w="1293" w:type="dxa"/>
                  <w:vAlign w:val="center"/>
                </w:tcPr>
                <w:p w14:paraId="58DD77CD">
                  <w:pPr>
                    <w:widowControl/>
                    <w:spacing w:line="240" w:lineRule="auto"/>
                    <w:jc w:val="center"/>
                    <w:textAlignment w:val="center"/>
                    <w:rPr>
                      <w:rFonts w:hint="default" w:ascii="宋体" w:hAnsi="宋体" w:eastAsia="宋体" w:cs="Times New Roman"/>
                      <w:color w:val="auto"/>
                      <w:sz w:val="21"/>
                      <w:szCs w:val="21"/>
                      <w:lang w:val="en-US" w:eastAsia="zh-CN"/>
                    </w:rPr>
                  </w:pPr>
                  <w:r>
                    <w:rPr>
                      <w:rFonts w:hint="eastAsia" w:ascii="宋体" w:hAnsi="宋体" w:cs="Times New Roman"/>
                      <w:color w:val="auto"/>
                      <w:kern w:val="0"/>
                      <w:sz w:val="21"/>
                      <w:szCs w:val="21"/>
                      <w:lang w:val="en-US" w:eastAsia="zh-CN" w:bidi="ar"/>
                    </w:rPr>
                    <w:t>95.3</w:t>
                  </w:r>
                </w:p>
              </w:tc>
              <w:tc>
                <w:tcPr>
                  <w:tcW w:w="1130" w:type="dxa"/>
                  <w:gridSpan w:val="2"/>
                  <w:vAlign w:val="center"/>
                </w:tcPr>
                <w:p w14:paraId="75FEDDB0">
                  <w:pPr>
                    <w:widowControl/>
                    <w:spacing w:line="240" w:lineRule="auto"/>
                    <w:jc w:val="center"/>
                    <w:textAlignment w:val="center"/>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0.95</w:t>
                  </w:r>
                </w:p>
              </w:tc>
              <w:tc>
                <w:tcPr>
                  <w:tcW w:w="978" w:type="dxa"/>
                  <w:gridSpan w:val="2"/>
                  <w:vMerge w:val="continue"/>
                  <w:vAlign w:val="center"/>
                </w:tcPr>
                <w:p w14:paraId="185C7AEF">
                  <w:pPr>
                    <w:pStyle w:val="14"/>
                    <w:adjustRightInd w:val="0"/>
                    <w:snapToGrid w:val="0"/>
                    <w:spacing w:after="0" w:line="240" w:lineRule="auto"/>
                    <w:ind w:left="0" w:leftChars="0"/>
                    <w:jc w:val="center"/>
                    <w:rPr>
                      <w:rFonts w:ascii="宋体" w:hAnsi="宋体" w:cs="Times New Roman"/>
                      <w:color w:val="auto"/>
                      <w:sz w:val="21"/>
                      <w:szCs w:val="21"/>
                    </w:rPr>
                  </w:pPr>
                </w:p>
              </w:tc>
            </w:tr>
          </w:tbl>
          <w:p w14:paraId="3306E1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从上表可以看出，项目热风炉烟气中，氮氧化物和二氧化硫</w:t>
            </w:r>
            <w:r>
              <w:rPr>
                <w:rFonts w:hint="eastAsia" w:ascii="宋体" w:hAnsi="宋体" w:cs="宋体"/>
                <w:color w:val="auto"/>
                <w:sz w:val="24"/>
                <w:szCs w:val="24"/>
                <w:lang w:eastAsia="zh-CN"/>
              </w:rPr>
              <w:t>的</w:t>
            </w:r>
            <w:r>
              <w:rPr>
                <w:rFonts w:hint="eastAsia" w:ascii="宋体" w:hAnsi="宋体" w:eastAsia="宋体" w:cs="宋体"/>
                <w:color w:val="auto"/>
                <w:sz w:val="24"/>
                <w:szCs w:val="24"/>
                <w:lang w:eastAsia="zh-CN"/>
              </w:rPr>
              <w:t>排放浓度在未采取任何措施情况下，氮氧化物的排放浓度</w:t>
            </w:r>
            <w:r>
              <w:rPr>
                <w:rFonts w:hint="eastAsia" w:ascii="宋体" w:hAnsi="宋体" w:cs="宋体"/>
                <w:color w:val="auto"/>
                <w:sz w:val="24"/>
                <w:szCs w:val="24"/>
                <w:lang w:val="en-US" w:eastAsia="zh-CN"/>
              </w:rPr>
              <w:t>18.75</w:t>
            </w:r>
            <w:r>
              <w:rPr>
                <w:rFonts w:hint="eastAsia" w:ascii="宋体" w:hAnsi="宋体" w:cs="宋体"/>
                <w:color w:val="auto"/>
                <w:sz w:val="24"/>
                <w:szCs w:val="24"/>
              </w:rPr>
              <w:t>mg/m</w:t>
            </w:r>
            <w:r>
              <w:rPr>
                <w:rFonts w:hint="eastAsia" w:ascii="宋体" w:hAnsi="宋体" w:cs="宋体"/>
                <w:color w:val="auto"/>
                <w:sz w:val="24"/>
                <w:szCs w:val="24"/>
                <w:vertAlign w:val="superscript"/>
              </w:rPr>
              <w:t>3</w:t>
            </w:r>
            <w:r>
              <w:rPr>
                <w:rFonts w:hint="eastAsia" w:ascii="宋体" w:hAnsi="宋体" w:cs="宋体"/>
                <w:color w:val="auto"/>
                <w:sz w:val="24"/>
                <w:szCs w:val="24"/>
              </w:rPr>
              <w:t>,</w:t>
            </w:r>
            <w:r>
              <w:rPr>
                <w:rFonts w:hint="eastAsia" w:ascii="宋体" w:hAnsi="宋体" w:eastAsia="宋体" w:cs="宋体"/>
                <w:color w:val="auto"/>
                <w:sz w:val="24"/>
                <w:szCs w:val="24"/>
                <w:lang w:eastAsia="zh-CN"/>
              </w:rPr>
              <w:t>二氧化硫的排放的排放浓度</w:t>
            </w:r>
            <w:r>
              <w:rPr>
                <w:rFonts w:hint="eastAsia" w:ascii="宋体" w:hAnsi="宋体" w:cs="宋体"/>
                <w:color w:val="auto"/>
                <w:sz w:val="24"/>
                <w:szCs w:val="24"/>
              </w:rPr>
              <w:t>为</w:t>
            </w:r>
            <w:r>
              <w:rPr>
                <w:rFonts w:hint="eastAsia" w:ascii="宋体" w:hAnsi="宋体" w:cs="宋体"/>
                <w:color w:val="auto"/>
                <w:sz w:val="24"/>
                <w:szCs w:val="24"/>
                <w:lang w:val="en-US" w:eastAsia="zh-CN"/>
              </w:rPr>
              <w:t>95.31</w:t>
            </w:r>
            <w:r>
              <w:rPr>
                <w:rFonts w:hint="eastAsia" w:ascii="宋体" w:hAnsi="宋体" w:cs="宋体"/>
                <w:color w:val="auto"/>
                <w:sz w:val="24"/>
                <w:szCs w:val="24"/>
              </w:rPr>
              <w:t>mg/m</w:t>
            </w:r>
            <w:r>
              <w:rPr>
                <w:rFonts w:hint="eastAsia" w:ascii="宋体" w:hAnsi="宋体" w:cs="宋体"/>
                <w:color w:val="auto"/>
                <w:sz w:val="24"/>
                <w:szCs w:val="24"/>
                <w:vertAlign w:val="superscript"/>
              </w:rPr>
              <w:t>3</w:t>
            </w:r>
            <w:r>
              <w:rPr>
                <w:rFonts w:hint="eastAsia" w:ascii="宋体" w:hAnsi="宋体" w:cs="宋体"/>
                <w:color w:val="auto"/>
                <w:sz w:val="24"/>
                <w:szCs w:val="24"/>
              </w:rPr>
              <w:t>,</w:t>
            </w:r>
            <w:r>
              <w:rPr>
                <w:rFonts w:hint="eastAsia" w:ascii="宋体" w:hAnsi="宋体" w:eastAsia="宋体" w:cs="宋体"/>
                <w:color w:val="auto"/>
                <w:sz w:val="24"/>
                <w:szCs w:val="24"/>
                <w:lang w:eastAsia="zh-CN"/>
              </w:rPr>
              <w:t>烟尘的排放浓度在采用(</w:t>
            </w:r>
            <w:r>
              <w:rPr>
                <w:rFonts w:hint="eastAsia" w:ascii="宋体" w:hAnsi="宋体" w:cs="Times New Roman"/>
                <w:color w:val="auto"/>
                <w:sz w:val="24"/>
                <w:szCs w:val="24"/>
                <w:lang w:eastAsia="zh-CN"/>
              </w:rPr>
              <w:t>旋风</w:t>
            </w:r>
            <w:r>
              <w:rPr>
                <w:rFonts w:hint="eastAsia" w:ascii="宋体" w:hAnsi="宋体" w:cs="Times New Roman"/>
                <w:color w:val="auto"/>
                <w:sz w:val="24"/>
                <w:szCs w:val="24"/>
                <w:lang w:val="en-US" w:eastAsia="zh-CN"/>
              </w:rPr>
              <w:t>+布袋除尘</w:t>
            </w:r>
            <w:r>
              <w:rPr>
                <w:rFonts w:hint="eastAsia" w:ascii="宋体" w:hAnsi="宋体" w:eastAsia="宋体" w:cs="宋体"/>
                <w:color w:val="auto"/>
                <w:sz w:val="24"/>
                <w:szCs w:val="24"/>
                <w:lang w:eastAsia="zh-CN"/>
              </w:rPr>
              <w:t>)的措施后排放浓度为</w:t>
            </w:r>
            <w:r>
              <w:rPr>
                <w:rFonts w:hint="eastAsia" w:ascii="宋体" w:hAnsi="宋体" w:cs="宋体"/>
                <w:color w:val="auto"/>
                <w:sz w:val="24"/>
                <w:szCs w:val="24"/>
                <w:lang w:val="en-US" w:eastAsia="zh-CN"/>
              </w:rPr>
              <w:t>7.29</w:t>
            </w:r>
            <w:r>
              <w:rPr>
                <w:rFonts w:hint="eastAsia" w:ascii="宋体" w:hAnsi="宋体" w:cs="宋体"/>
                <w:color w:val="auto"/>
                <w:sz w:val="24"/>
                <w:szCs w:val="24"/>
              </w:rPr>
              <w:t>mg/m</w:t>
            </w:r>
            <w:r>
              <w:rPr>
                <w:rFonts w:hint="eastAsia" w:ascii="宋体" w:hAnsi="宋体" w:cs="宋体"/>
                <w:color w:val="auto"/>
                <w:sz w:val="24"/>
                <w:szCs w:val="24"/>
                <w:vertAlign w:val="superscript"/>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烟尘产生的浓度满足《锅炉大气污染物排放标准》（</w:t>
            </w:r>
            <w:r>
              <w:rPr>
                <w:rFonts w:hint="eastAsia" w:ascii="宋体" w:hAnsi="宋体" w:eastAsia="宋体" w:cs="宋体"/>
                <w:color w:val="auto"/>
                <w:sz w:val="24"/>
                <w:szCs w:val="24"/>
                <w:lang w:val="en-US" w:eastAsia="zh-CN"/>
              </w:rPr>
              <w:t>GB12317-2014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中燃煤锅炉的标</w:t>
            </w:r>
            <w:r>
              <w:rPr>
                <w:rFonts w:hint="eastAsia" w:ascii="Times New Roman" w:hAnsi="Times New Roman"/>
                <w:color w:val="auto"/>
                <w:sz w:val="24"/>
                <w:lang w:eastAsia="zh-CN"/>
              </w:rPr>
              <w:t>准</w:t>
            </w:r>
            <w:r>
              <w:rPr>
                <w:rFonts w:hint="eastAsia"/>
                <w:color w:val="auto"/>
                <w:sz w:val="24"/>
                <w:lang w:eastAsia="zh-CN"/>
              </w:rPr>
              <w:t>，即</w:t>
            </w:r>
            <w:r>
              <w:rPr>
                <w:rFonts w:hint="eastAsia" w:ascii="宋体" w:hAnsi="宋体" w:eastAsia="宋体" w:cs="宋体"/>
                <w:color w:val="auto"/>
                <w:sz w:val="24"/>
                <w:szCs w:val="24"/>
                <w:lang w:eastAsia="zh-CN"/>
              </w:rPr>
              <w:t>烟尘浓度排放限值</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0</w:t>
            </w:r>
            <w:r>
              <w:rPr>
                <w:rFonts w:hint="eastAsia" w:ascii="宋体" w:hAnsi="宋体" w:cs="宋体"/>
                <w:color w:val="auto"/>
                <w:sz w:val="24"/>
                <w:szCs w:val="24"/>
              </w:rPr>
              <w:t>mg/m</w:t>
            </w:r>
            <w:r>
              <w:rPr>
                <w:rFonts w:hint="eastAsia" w:ascii="宋体" w:hAnsi="宋体" w:cs="宋体"/>
                <w:color w:val="auto"/>
                <w:sz w:val="24"/>
                <w:szCs w:val="24"/>
                <w:vertAlign w:val="superscript"/>
              </w:rPr>
              <w:t>3</w:t>
            </w:r>
            <w:r>
              <w:rPr>
                <w:rFonts w:hint="eastAsia" w:ascii="宋体" w:hAnsi="宋体" w:eastAsia="宋体" w:cs="宋体"/>
                <w:color w:val="auto"/>
                <w:sz w:val="24"/>
                <w:szCs w:val="24"/>
                <w:lang w:eastAsia="zh-CN"/>
              </w:rPr>
              <w:t>。</w:t>
            </w:r>
          </w:p>
          <w:p w14:paraId="3EE1CA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要求项目</w:t>
            </w:r>
            <w:r>
              <w:rPr>
                <w:rFonts w:hint="eastAsia" w:ascii="宋体" w:hAnsi="宋体" w:cs="宋体"/>
                <w:color w:val="auto"/>
                <w:sz w:val="24"/>
                <w:szCs w:val="24"/>
                <w:lang w:val="en-US" w:eastAsia="zh-CN"/>
              </w:rPr>
              <w:t>3台</w:t>
            </w:r>
            <w:r>
              <w:rPr>
                <w:rFonts w:hint="eastAsia" w:ascii="宋体" w:hAnsi="宋体" w:eastAsia="宋体" w:cs="宋体"/>
                <w:color w:val="auto"/>
                <w:sz w:val="24"/>
                <w:szCs w:val="24"/>
                <w:lang w:eastAsia="zh-CN"/>
              </w:rPr>
              <w:t>热风炉</w:t>
            </w:r>
            <w:r>
              <w:rPr>
                <w:rFonts w:hint="eastAsia" w:ascii="宋体" w:hAnsi="宋体" w:cs="宋体"/>
                <w:color w:val="auto"/>
                <w:sz w:val="24"/>
                <w:szCs w:val="24"/>
                <w:lang w:eastAsia="zh-CN"/>
              </w:rPr>
              <w:t>产生的</w:t>
            </w:r>
            <w:r>
              <w:rPr>
                <w:rFonts w:hint="eastAsia" w:ascii="宋体" w:hAnsi="宋体" w:eastAsia="宋体" w:cs="宋体"/>
                <w:color w:val="auto"/>
                <w:sz w:val="24"/>
                <w:szCs w:val="24"/>
                <w:lang w:eastAsia="zh-CN"/>
              </w:rPr>
              <w:t>烟气</w:t>
            </w:r>
            <w:r>
              <w:rPr>
                <w:rFonts w:hint="eastAsia" w:ascii="宋体" w:hAnsi="宋体" w:cs="宋体"/>
                <w:color w:val="auto"/>
                <w:sz w:val="24"/>
                <w:szCs w:val="24"/>
                <w:lang w:eastAsia="zh-CN"/>
              </w:rPr>
              <w:t>统一</w:t>
            </w:r>
            <w:r>
              <w:rPr>
                <w:rFonts w:hint="eastAsia" w:ascii="宋体" w:hAnsi="宋体" w:eastAsia="宋体" w:cs="宋体"/>
                <w:color w:val="auto"/>
                <w:sz w:val="24"/>
                <w:szCs w:val="24"/>
                <w:lang w:eastAsia="zh-CN"/>
              </w:rPr>
              <w:t>通过1根不低于</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5m高的烟囱排放，且应高出周围半径200范围内最高建筑物3m以上。</w:t>
            </w:r>
          </w:p>
          <w:p w14:paraId="1FFCC4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）茶叶加工过程产生的粉尘</w:t>
            </w:r>
          </w:p>
          <w:p w14:paraId="6A3C63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茶叶在加工过程</w:t>
            </w:r>
            <w:r>
              <w:rPr>
                <w:rFonts w:hint="eastAsia" w:ascii="宋体" w:hAnsi="宋体" w:eastAsia="宋体" w:cs="宋体"/>
                <w:color w:val="auto"/>
                <w:sz w:val="24"/>
                <w:szCs w:val="24"/>
              </w:rPr>
              <w:t>中会有一定量的</w:t>
            </w:r>
            <w:r>
              <w:rPr>
                <w:rFonts w:hint="eastAsia" w:ascii="宋体" w:hAnsi="宋体" w:eastAsia="宋体" w:cs="宋体"/>
                <w:color w:val="auto"/>
                <w:sz w:val="24"/>
                <w:szCs w:val="24"/>
                <w:lang w:eastAsia="zh-CN"/>
              </w:rPr>
              <w:t>茶</w:t>
            </w:r>
            <w:r>
              <w:rPr>
                <w:rFonts w:hint="eastAsia" w:ascii="宋体" w:hAnsi="宋体" w:eastAsia="宋体" w:cs="宋体"/>
                <w:color w:val="auto"/>
                <w:sz w:val="24"/>
                <w:szCs w:val="24"/>
              </w:rPr>
              <w:t>尘产生， 茶叶加工过程中会有一定的茶尘产生，主要成分为茶叶，根据《环境影响评价适用技术指南》，无组织茶尘产生量约为加工茶叶量的0.01%，本项目原料鲜叶年用量为</w:t>
            </w:r>
            <w:r>
              <w:rPr>
                <w:rFonts w:hint="eastAsia" w:ascii="宋体" w:hAnsi="宋体" w:eastAsia="宋体" w:cs="宋体"/>
                <w:color w:val="auto"/>
                <w:sz w:val="24"/>
                <w:szCs w:val="24"/>
                <w:lang w:val="en-US" w:eastAsia="zh-CN"/>
              </w:rPr>
              <w:t>1750</w:t>
            </w:r>
            <w:r>
              <w:rPr>
                <w:rFonts w:hint="eastAsia" w:ascii="宋体" w:hAnsi="宋体" w:eastAsia="宋体" w:cs="宋体"/>
                <w:color w:val="auto"/>
                <w:sz w:val="24"/>
                <w:szCs w:val="24"/>
              </w:rPr>
              <w:t>t/a,则茶尘年产量约为0.</w:t>
            </w:r>
            <w:r>
              <w:rPr>
                <w:rFonts w:hint="eastAsia" w:ascii="宋体" w:hAnsi="宋体" w:eastAsia="宋体" w:cs="宋体"/>
                <w:color w:val="auto"/>
                <w:sz w:val="24"/>
                <w:szCs w:val="24"/>
                <w:lang w:val="en-US" w:eastAsia="zh-CN"/>
              </w:rPr>
              <w:t>175</w:t>
            </w:r>
            <w:r>
              <w:rPr>
                <w:rFonts w:hint="eastAsia" w:ascii="宋体" w:hAnsi="宋体" w:eastAsia="宋体" w:cs="宋体"/>
                <w:color w:val="auto"/>
                <w:sz w:val="24"/>
                <w:szCs w:val="24"/>
              </w:rPr>
              <w:t>t/a。由于茶叶</w:t>
            </w:r>
            <w:r>
              <w:rPr>
                <w:rFonts w:hint="eastAsia" w:ascii="宋体" w:hAnsi="宋体" w:eastAsia="宋体" w:cs="宋体"/>
                <w:color w:val="auto"/>
                <w:sz w:val="24"/>
                <w:szCs w:val="24"/>
                <w:lang w:eastAsia="zh-CN"/>
              </w:rPr>
              <w:t>揉切</w:t>
            </w:r>
            <w:r>
              <w:rPr>
                <w:rFonts w:hint="eastAsia" w:ascii="宋体" w:hAnsi="宋体" w:eastAsia="宋体" w:cs="宋体"/>
                <w:color w:val="auto"/>
                <w:sz w:val="24"/>
                <w:szCs w:val="24"/>
              </w:rPr>
              <w:t>阶段，鲜叶含水量较高，不易产生粉尘，根据业主提供的资料可知，整个生产过程中主要产尘点为茶叶烘干</w:t>
            </w:r>
            <w:r>
              <w:rPr>
                <w:rFonts w:hint="eastAsia" w:ascii="宋体" w:hAnsi="宋体" w:eastAsia="宋体" w:cs="宋体"/>
                <w:color w:val="auto"/>
                <w:sz w:val="24"/>
                <w:szCs w:val="24"/>
                <w:lang w:eastAsia="zh-CN"/>
              </w:rPr>
              <w:t>、拣梗及筛分过程，粉尘主要经设备的物料出口溢出，粉尘产生量极少，可通过</w:t>
            </w:r>
            <w:r>
              <w:rPr>
                <w:rFonts w:hint="eastAsia" w:ascii="Times New Roman" w:hAnsi="Times New Roman"/>
                <w:color w:val="auto"/>
                <w:sz w:val="24"/>
                <w:szCs w:val="24"/>
                <w:lang w:eastAsia="zh-CN"/>
              </w:rPr>
              <w:t>门窗阻隔，空气稀释扩散等措施</w:t>
            </w:r>
            <w:r>
              <w:rPr>
                <w:rFonts w:hint="eastAsia" w:ascii="宋体" w:hAnsi="宋体" w:eastAsia="宋体" w:cs="宋体"/>
                <w:color w:val="auto"/>
                <w:sz w:val="24"/>
                <w:szCs w:val="24"/>
                <w:lang w:eastAsia="zh-CN"/>
              </w:rPr>
              <w:t>，对周围环境影响较小</w:t>
            </w:r>
            <w:r>
              <w:rPr>
                <w:rFonts w:hint="eastAsia" w:ascii="宋体" w:hAnsi="宋体" w:eastAsia="宋体" w:cs="宋体"/>
                <w:color w:val="auto"/>
                <w:sz w:val="24"/>
                <w:szCs w:val="24"/>
              </w:rPr>
              <w:t>。</w:t>
            </w:r>
          </w:p>
          <w:p w14:paraId="19C0A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（3）茶香</w:t>
            </w:r>
          </w:p>
          <w:p w14:paraId="14D2025B">
            <w:pPr>
              <w:adjustRightInd w:val="0"/>
              <w:snapToGrid w:val="0"/>
              <w:spacing w:line="360" w:lineRule="auto"/>
              <w:ind w:firstLine="480"/>
              <w:rPr>
                <w:rFonts w:ascii="Times New Roman" w:hAnsi="Times New Roman"/>
                <w:color w:val="auto"/>
                <w:sz w:val="24"/>
                <w:szCs w:val="24"/>
              </w:rPr>
            </w:pPr>
            <w:r>
              <w:rPr>
                <w:rFonts w:hint="eastAsia" w:ascii="宋体" w:hAnsi="宋体" w:eastAsia="宋体" w:cs="宋体"/>
                <w:color w:val="auto"/>
                <w:sz w:val="24"/>
                <w:szCs w:val="24"/>
                <w:lang w:eastAsia="zh-CN"/>
              </w:rPr>
              <w:t>本项目茶叶加工采用的鲜叶为可食用的物质，在发酵过程中，鲜叶会挥发出茶香，其对人体无害，</w:t>
            </w:r>
            <w:r>
              <w:rPr>
                <w:rFonts w:hint="eastAsia" w:ascii="宋体" w:hAnsi="宋体" w:cs="宋体"/>
                <w:color w:val="auto"/>
                <w:sz w:val="24"/>
                <w:szCs w:val="24"/>
                <w:lang w:eastAsia="zh-CN"/>
              </w:rPr>
              <w:t>产生量较少</w:t>
            </w:r>
            <w:r>
              <w:rPr>
                <w:rFonts w:hint="eastAsia" w:ascii="Times New Roman" w:hAnsi="Times New Roman"/>
                <w:color w:val="auto"/>
                <w:sz w:val="24"/>
                <w:szCs w:val="24"/>
              </w:rPr>
              <w:t>，</w:t>
            </w:r>
            <w:r>
              <w:rPr>
                <w:rFonts w:hint="eastAsia"/>
                <w:color w:val="auto"/>
                <w:sz w:val="24"/>
                <w:szCs w:val="24"/>
                <w:lang w:eastAsia="zh-CN"/>
              </w:rPr>
              <w:t>通过门窗阻隔和空气稀释后，</w:t>
            </w:r>
            <w:r>
              <w:rPr>
                <w:rFonts w:hint="eastAsia" w:ascii="Times New Roman" w:hAnsi="Times New Roman"/>
                <w:color w:val="auto"/>
                <w:sz w:val="24"/>
                <w:szCs w:val="24"/>
              </w:rPr>
              <w:t>项目发酵产生的异味较难逸出到厂房外</w:t>
            </w:r>
            <w:r>
              <w:rPr>
                <w:rFonts w:hint="eastAsia"/>
                <w:color w:val="auto"/>
                <w:sz w:val="24"/>
                <w:szCs w:val="24"/>
                <w:lang w:eastAsia="zh-CN"/>
              </w:rPr>
              <w:t>，对周围环境影响较小</w:t>
            </w:r>
            <w:r>
              <w:rPr>
                <w:rFonts w:hint="eastAsia" w:ascii="Times New Roman" w:hAnsi="Times New Roman"/>
                <w:color w:val="auto"/>
                <w:sz w:val="24"/>
                <w:szCs w:val="24"/>
              </w:rPr>
              <w:t>。</w:t>
            </w:r>
          </w:p>
          <w:p w14:paraId="63C15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imes New Roman" w:hAnsi="Times New Roman"/>
                <w:bCs/>
                <w:color w:val="auto"/>
                <w:sz w:val="24"/>
                <w:lang w:val="en-US" w:eastAsia="zh-CN"/>
              </w:rPr>
            </w:pPr>
            <w:r>
              <w:rPr>
                <w:rFonts w:hint="eastAsia" w:ascii="Times New Roman" w:hAnsi="Times New Roman"/>
                <w:bCs/>
                <w:color w:val="auto"/>
                <w:sz w:val="24"/>
                <w:lang w:val="en-US" w:eastAsia="zh-CN"/>
              </w:rPr>
              <w:t>（4）厨房油烟</w:t>
            </w:r>
          </w:p>
          <w:p w14:paraId="196561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ascii="Times New Roman" w:hAnsi="Times New Roman"/>
                <w:color w:val="auto"/>
                <w:sz w:val="24"/>
                <w:szCs w:val="24"/>
              </w:rPr>
            </w:pPr>
            <w:r>
              <w:rPr>
                <w:rFonts w:hint="eastAsia" w:ascii="宋体" w:hAnsi="宋体" w:eastAsia="宋体" w:cs="宋体"/>
                <w:b w:val="0"/>
                <w:bCs/>
                <w:color w:val="auto"/>
                <w:sz w:val="24"/>
                <w:szCs w:val="24"/>
                <w:highlight w:val="none"/>
                <w:u w:val="none" w:color="auto"/>
                <w:lang w:val="en-US" w:eastAsia="zh-CN"/>
              </w:rPr>
              <w:t>项目食堂</w:t>
            </w:r>
            <w:r>
              <w:rPr>
                <w:rFonts w:hint="eastAsia" w:ascii="宋体" w:hAnsi="宋体" w:eastAsia="宋体" w:cs="宋体"/>
                <w:color w:val="auto"/>
                <w:kern w:val="0"/>
                <w:sz w:val="24"/>
                <w:szCs w:val="24"/>
                <w:highlight w:val="none"/>
                <w:u w:val="none" w:color="auto"/>
              </w:rPr>
              <w:t>使用清洁能源电能和液化气，产生的污染物主要为食物在烹调、加工过程中将挥发出油脂、有机质及热分解或裂解产物，从而产生的油烟废气。根据</w:t>
            </w:r>
            <w:r>
              <w:rPr>
                <w:rFonts w:hint="eastAsia" w:ascii="宋体" w:hAnsi="宋体" w:eastAsia="宋体" w:cs="宋体"/>
                <w:b w:val="0"/>
                <w:bCs/>
                <w:color w:val="auto"/>
                <w:sz w:val="24"/>
                <w:szCs w:val="24"/>
                <w:highlight w:val="none"/>
                <w:u w:val="none" w:color="auto"/>
                <w:lang w:val="en-US" w:eastAsia="zh-CN"/>
              </w:rPr>
              <w:t>设计方案，食堂提供项目区职工就餐，设计规模为日就餐10人/d，</w:t>
            </w:r>
            <w:r>
              <w:rPr>
                <w:rFonts w:hint="eastAsia" w:ascii="宋体" w:hAnsi="宋体" w:eastAsia="宋体" w:cs="宋体"/>
                <w:color w:val="auto"/>
                <w:kern w:val="0"/>
                <w:sz w:val="24"/>
                <w:szCs w:val="24"/>
                <w:highlight w:val="none"/>
                <w:u w:val="none" w:color="auto"/>
              </w:rPr>
              <w:t>每天供餐数为</w:t>
            </w:r>
            <w:r>
              <w:rPr>
                <w:rFonts w:hint="eastAsia" w:ascii="宋体" w:hAnsi="宋体" w:eastAsia="宋体" w:cs="宋体"/>
                <w:color w:val="auto"/>
                <w:kern w:val="0"/>
                <w:sz w:val="24"/>
                <w:szCs w:val="24"/>
                <w:highlight w:val="none"/>
                <w:u w:val="none" w:color="auto"/>
                <w:lang w:val="en-US" w:eastAsia="zh-CN"/>
              </w:rPr>
              <w:t>3</w:t>
            </w:r>
            <w:r>
              <w:rPr>
                <w:rFonts w:hint="eastAsia" w:ascii="宋体" w:hAnsi="宋体" w:eastAsia="宋体" w:cs="宋体"/>
                <w:color w:val="auto"/>
                <w:kern w:val="0"/>
                <w:sz w:val="24"/>
                <w:szCs w:val="24"/>
                <w:highlight w:val="none"/>
                <w:u w:val="none" w:color="auto"/>
              </w:rPr>
              <w:t>餐，项目设基准灶头</w:t>
            </w:r>
            <w:r>
              <w:rPr>
                <w:rFonts w:hint="eastAsia" w:ascii="宋体" w:hAnsi="宋体" w:eastAsia="宋体" w:cs="宋体"/>
                <w:color w:val="auto"/>
                <w:kern w:val="0"/>
                <w:sz w:val="24"/>
                <w:szCs w:val="24"/>
                <w:highlight w:val="none"/>
                <w:u w:val="none" w:color="auto"/>
                <w:lang w:val="en-US" w:eastAsia="zh-CN"/>
              </w:rPr>
              <w:t>1</w:t>
            </w:r>
            <w:r>
              <w:rPr>
                <w:rFonts w:hint="eastAsia" w:ascii="宋体" w:hAnsi="宋体" w:eastAsia="宋体" w:cs="宋体"/>
                <w:color w:val="auto"/>
                <w:kern w:val="0"/>
                <w:sz w:val="24"/>
                <w:szCs w:val="24"/>
                <w:highlight w:val="none"/>
                <w:u w:val="none" w:color="auto"/>
              </w:rPr>
              <w:t>个。</w:t>
            </w:r>
            <w:r>
              <w:rPr>
                <w:rFonts w:hint="eastAsia" w:ascii="宋体" w:hAnsi="宋体" w:eastAsia="宋体" w:cs="宋体"/>
                <w:color w:val="auto"/>
                <w:kern w:val="0"/>
                <w:sz w:val="24"/>
                <w:szCs w:val="24"/>
                <w:highlight w:val="none"/>
                <w:u w:val="none" w:color="auto"/>
                <w:lang w:val="en-US" w:eastAsia="zh-CN"/>
              </w:rPr>
              <w:t>据相关统计</w:t>
            </w:r>
            <w:r>
              <w:rPr>
                <w:rFonts w:hint="eastAsia" w:ascii="宋体" w:hAnsi="宋体" w:eastAsia="宋体" w:cs="宋体"/>
                <w:color w:val="auto"/>
                <w:kern w:val="0"/>
                <w:sz w:val="24"/>
                <w:szCs w:val="24"/>
                <w:highlight w:val="none"/>
                <w:u w:val="none" w:color="auto"/>
              </w:rPr>
              <w:t>，人均用油量以30g/d计，则耗油量为</w:t>
            </w:r>
            <w:r>
              <w:rPr>
                <w:rFonts w:hint="eastAsia" w:ascii="宋体" w:hAnsi="宋体" w:eastAsia="宋体" w:cs="宋体"/>
                <w:color w:val="auto"/>
                <w:kern w:val="0"/>
                <w:sz w:val="24"/>
                <w:szCs w:val="24"/>
                <w:highlight w:val="none"/>
                <w:u w:val="none" w:color="auto"/>
                <w:lang w:val="en-US" w:eastAsia="zh-CN"/>
              </w:rPr>
              <w:t>0.3k</w:t>
            </w:r>
            <w:r>
              <w:rPr>
                <w:rFonts w:hint="eastAsia" w:ascii="宋体" w:hAnsi="宋体" w:eastAsia="宋体" w:cs="宋体"/>
                <w:color w:val="auto"/>
                <w:kern w:val="0"/>
                <w:sz w:val="24"/>
                <w:szCs w:val="24"/>
                <w:highlight w:val="none"/>
                <w:u w:val="none" w:color="auto"/>
              </w:rPr>
              <w:t>g</w:t>
            </w:r>
            <w:r>
              <w:rPr>
                <w:rFonts w:hint="eastAsia" w:ascii="宋体" w:hAnsi="宋体" w:eastAsia="宋体" w:cs="宋体"/>
                <w:color w:val="auto"/>
                <w:kern w:val="0"/>
                <w:sz w:val="24"/>
                <w:szCs w:val="24"/>
                <w:highlight w:val="none"/>
                <w:u w:val="none" w:color="auto"/>
                <w:lang w:val="en-US" w:eastAsia="zh-CN"/>
              </w:rPr>
              <w:t>/d</w:t>
            </w:r>
            <w:r>
              <w:rPr>
                <w:rFonts w:hint="eastAsia" w:ascii="宋体" w:hAnsi="宋体" w:eastAsia="宋体" w:cs="宋体"/>
                <w:color w:val="auto"/>
                <w:kern w:val="0"/>
                <w:sz w:val="24"/>
                <w:szCs w:val="24"/>
                <w:highlight w:val="none"/>
                <w:u w:val="none" w:color="auto"/>
                <w:lang w:eastAsia="zh-CN"/>
              </w:rPr>
              <w:t>（</w:t>
            </w:r>
            <w:r>
              <w:rPr>
                <w:rFonts w:hint="eastAsia" w:ascii="宋体" w:hAnsi="宋体" w:cs="宋体"/>
                <w:color w:val="auto"/>
                <w:kern w:val="0"/>
                <w:sz w:val="24"/>
                <w:szCs w:val="24"/>
                <w:highlight w:val="none"/>
                <w:u w:val="none" w:color="auto"/>
                <w:lang w:val="en-US" w:eastAsia="zh-CN"/>
              </w:rPr>
              <w:t>72</w:t>
            </w:r>
            <w:r>
              <w:rPr>
                <w:rFonts w:hint="eastAsia" w:ascii="宋体" w:hAnsi="宋体" w:eastAsia="宋体" w:cs="宋体"/>
                <w:color w:val="auto"/>
                <w:kern w:val="0"/>
                <w:sz w:val="24"/>
                <w:szCs w:val="24"/>
                <w:highlight w:val="none"/>
                <w:u w:val="none" w:color="auto"/>
              </w:rPr>
              <w:t>kg</w:t>
            </w:r>
            <w:r>
              <w:rPr>
                <w:rFonts w:hint="eastAsia" w:ascii="宋体" w:hAnsi="宋体" w:eastAsia="宋体" w:cs="宋体"/>
                <w:color w:val="auto"/>
                <w:kern w:val="0"/>
                <w:sz w:val="24"/>
                <w:szCs w:val="24"/>
                <w:highlight w:val="none"/>
                <w:u w:val="none" w:color="auto"/>
                <w:lang w:val="en-US" w:eastAsia="zh-CN"/>
              </w:rPr>
              <w:t>/a</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rPr>
              <w:t>。据调查，不同的烧炸工况，油烟气中烟气浓度及挥发量均有所不同，油的平均挥发量为总耗油量的1%~3%，本次环评取2%，</w:t>
            </w:r>
            <w:r>
              <w:rPr>
                <w:rFonts w:hint="eastAsia" w:ascii="宋体" w:hAnsi="宋体" w:eastAsia="宋体" w:cs="宋体"/>
                <w:color w:val="auto"/>
                <w:kern w:val="0"/>
                <w:sz w:val="24"/>
                <w:szCs w:val="24"/>
                <w:highlight w:val="none"/>
                <w:u w:val="none" w:color="auto"/>
                <w:lang w:val="en-US" w:eastAsia="zh-CN"/>
              </w:rPr>
              <w:t>则项目油烟产生量为6.0g/d</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1.</w:t>
            </w:r>
            <w:r>
              <w:rPr>
                <w:rFonts w:hint="eastAsia" w:ascii="宋体" w:hAnsi="宋体" w:cs="宋体"/>
                <w:color w:val="auto"/>
                <w:kern w:val="0"/>
                <w:sz w:val="24"/>
                <w:szCs w:val="24"/>
                <w:highlight w:val="none"/>
                <w:u w:val="none" w:color="auto"/>
                <w:lang w:val="en-US" w:eastAsia="zh-CN"/>
              </w:rPr>
              <w:t>44</w:t>
            </w:r>
            <w:r>
              <w:rPr>
                <w:rFonts w:hint="eastAsia" w:ascii="宋体" w:hAnsi="宋体" w:eastAsia="宋体" w:cs="宋体"/>
                <w:color w:val="auto"/>
                <w:kern w:val="0"/>
                <w:sz w:val="24"/>
                <w:szCs w:val="24"/>
                <w:highlight w:val="none"/>
                <w:u w:val="none" w:color="auto"/>
              </w:rPr>
              <w:t>kg</w:t>
            </w:r>
            <w:r>
              <w:rPr>
                <w:rFonts w:hint="eastAsia" w:ascii="宋体" w:hAnsi="宋体" w:eastAsia="宋体" w:cs="宋体"/>
                <w:color w:val="auto"/>
                <w:kern w:val="0"/>
                <w:sz w:val="24"/>
                <w:szCs w:val="24"/>
                <w:highlight w:val="none"/>
                <w:u w:val="none" w:color="auto"/>
                <w:lang w:val="en-US" w:eastAsia="zh-CN"/>
              </w:rPr>
              <w:t>/a</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项目食堂日使用高峰值为3</w:t>
            </w:r>
            <w:r>
              <w:rPr>
                <w:rFonts w:hint="eastAsia" w:ascii="宋体" w:hAnsi="宋体" w:eastAsia="宋体" w:cs="宋体"/>
                <w:color w:val="auto"/>
                <w:kern w:val="0"/>
                <w:sz w:val="24"/>
                <w:szCs w:val="24"/>
                <w:highlight w:val="none"/>
                <w:u w:val="none" w:color="auto"/>
              </w:rPr>
              <w:t>h，</w:t>
            </w:r>
            <w:r>
              <w:rPr>
                <w:rFonts w:hint="eastAsia" w:ascii="宋体" w:hAnsi="宋体" w:eastAsia="宋体" w:cs="宋体"/>
                <w:color w:val="auto"/>
                <w:kern w:val="0"/>
                <w:sz w:val="24"/>
                <w:szCs w:val="24"/>
                <w:highlight w:val="none"/>
                <w:u w:val="none" w:color="auto"/>
                <w:lang w:eastAsia="zh-CN"/>
              </w:rPr>
              <w:t>灶头</w:t>
            </w:r>
            <w:r>
              <w:rPr>
                <w:rFonts w:hint="eastAsia" w:ascii="宋体" w:hAnsi="宋体" w:eastAsia="宋体" w:cs="宋体"/>
                <w:color w:val="auto"/>
                <w:kern w:val="0"/>
                <w:sz w:val="24"/>
                <w:szCs w:val="24"/>
                <w:highlight w:val="none"/>
                <w:u w:val="none" w:color="auto"/>
                <w:lang w:val="en-US" w:eastAsia="zh-CN"/>
              </w:rPr>
              <w:t>引风机风量为8</w:t>
            </w:r>
            <w:r>
              <w:rPr>
                <w:rFonts w:hint="eastAsia" w:ascii="宋体" w:hAnsi="宋体" w:eastAsia="宋体" w:cs="宋体"/>
                <w:color w:val="auto"/>
                <w:kern w:val="0"/>
                <w:sz w:val="24"/>
                <w:szCs w:val="24"/>
                <w:highlight w:val="none"/>
                <w:u w:val="none" w:color="auto"/>
              </w:rPr>
              <w:t>00m</w:t>
            </w:r>
            <w:r>
              <w:rPr>
                <w:rFonts w:hint="eastAsia" w:ascii="宋体" w:hAnsi="宋体" w:eastAsia="宋体" w:cs="宋体"/>
                <w:color w:val="auto"/>
                <w:kern w:val="0"/>
                <w:sz w:val="24"/>
                <w:szCs w:val="24"/>
                <w:highlight w:val="none"/>
                <w:u w:val="none" w:color="auto"/>
                <w:vertAlign w:val="superscript"/>
              </w:rPr>
              <w:t>3</w:t>
            </w:r>
            <w:r>
              <w:rPr>
                <w:rFonts w:hint="eastAsia" w:ascii="宋体" w:hAnsi="宋体" w:eastAsia="宋体" w:cs="宋体"/>
                <w:color w:val="auto"/>
                <w:kern w:val="0"/>
                <w:sz w:val="24"/>
                <w:szCs w:val="24"/>
                <w:highlight w:val="none"/>
                <w:u w:val="none" w:color="auto"/>
              </w:rPr>
              <w:t>/h，</w:t>
            </w:r>
            <w:r>
              <w:rPr>
                <w:rFonts w:hint="eastAsia" w:ascii="宋体" w:hAnsi="宋体" w:eastAsia="宋体" w:cs="宋体"/>
                <w:color w:val="auto"/>
                <w:kern w:val="0"/>
                <w:sz w:val="24"/>
                <w:szCs w:val="24"/>
                <w:highlight w:val="none"/>
                <w:u w:val="none" w:color="auto"/>
                <w:lang w:val="en-US" w:eastAsia="zh-CN"/>
              </w:rPr>
              <w:t>则项目油烟产生浓度为2.5</w:t>
            </w:r>
            <w:r>
              <w:rPr>
                <w:rFonts w:hint="eastAsia" w:ascii="宋体" w:hAnsi="宋体" w:eastAsia="宋体" w:cs="宋体"/>
                <w:color w:val="auto"/>
                <w:kern w:val="0"/>
                <w:sz w:val="24"/>
                <w:szCs w:val="24"/>
                <w:highlight w:val="none"/>
                <w:u w:val="none" w:color="auto"/>
              </w:rPr>
              <w:t>mg/m</w:t>
            </w:r>
            <w:r>
              <w:rPr>
                <w:rFonts w:hint="eastAsia" w:ascii="宋体" w:hAnsi="宋体" w:eastAsia="宋体" w:cs="宋体"/>
                <w:color w:val="auto"/>
                <w:kern w:val="0"/>
                <w:sz w:val="24"/>
                <w:szCs w:val="24"/>
                <w:highlight w:val="none"/>
                <w:u w:val="none" w:color="auto"/>
                <w:vertAlign w:val="superscript"/>
              </w:rPr>
              <w:t>3</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据</w:t>
            </w:r>
            <w:r>
              <w:rPr>
                <w:rFonts w:hint="eastAsia" w:ascii="宋体" w:hAnsi="宋体" w:eastAsia="宋体" w:cs="宋体"/>
                <w:color w:val="auto"/>
                <w:sz w:val="24"/>
                <w:highlight w:val="none"/>
                <w:u w:val="none" w:color="auto"/>
              </w:rPr>
              <w:t>《饮食业油烟排放标准》（GB18483-2001）</w:t>
            </w:r>
            <w:r>
              <w:rPr>
                <w:rFonts w:hint="eastAsia" w:ascii="宋体" w:hAnsi="宋体" w:eastAsia="宋体" w:cs="宋体"/>
                <w:color w:val="auto"/>
                <w:sz w:val="24"/>
                <w:highlight w:val="none"/>
                <w:u w:val="none" w:color="auto"/>
                <w:lang w:eastAsia="zh-CN"/>
              </w:rPr>
              <w:t>，</w:t>
            </w:r>
            <w:r>
              <w:rPr>
                <w:rFonts w:hint="eastAsia" w:ascii="宋体" w:hAnsi="宋体" w:eastAsia="宋体" w:cs="宋体"/>
                <w:color w:val="auto"/>
                <w:sz w:val="24"/>
                <w:highlight w:val="none"/>
                <w:u w:val="none" w:color="auto"/>
                <w:lang w:val="en-US" w:eastAsia="zh-CN"/>
              </w:rPr>
              <w:t>小型食堂需安装油烟净化器，且</w:t>
            </w:r>
            <w:r>
              <w:rPr>
                <w:rFonts w:hint="eastAsia" w:ascii="宋体" w:hAnsi="宋体" w:eastAsia="宋体" w:cs="宋体"/>
                <w:color w:val="auto"/>
                <w:kern w:val="0"/>
                <w:sz w:val="24"/>
                <w:szCs w:val="24"/>
                <w:highlight w:val="none"/>
                <w:u w:val="none" w:color="auto"/>
                <w:lang w:eastAsia="zh-CN"/>
              </w:rPr>
              <w:t>处理</w:t>
            </w:r>
            <w:r>
              <w:rPr>
                <w:rFonts w:hint="eastAsia" w:ascii="宋体" w:hAnsi="宋体" w:eastAsia="宋体" w:cs="宋体"/>
                <w:color w:val="auto"/>
                <w:kern w:val="0"/>
                <w:sz w:val="24"/>
                <w:szCs w:val="24"/>
                <w:highlight w:val="none"/>
                <w:u w:val="none" w:color="auto"/>
              </w:rPr>
              <w:t>效率为不低于</w:t>
            </w:r>
            <w:r>
              <w:rPr>
                <w:rFonts w:hint="eastAsia" w:ascii="宋体" w:hAnsi="宋体" w:eastAsia="宋体" w:cs="宋体"/>
                <w:color w:val="auto"/>
                <w:kern w:val="0"/>
                <w:sz w:val="24"/>
                <w:szCs w:val="24"/>
                <w:highlight w:val="none"/>
                <w:u w:val="none" w:color="auto"/>
                <w:lang w:val="en-US" w:eastAsia="zh-CN"/>
              </w:rPr>
              <w:t>60</w:t>
            </w:r>
            <w:r>
              <w:rPr>
                <w:rFonts w:hint="eastAsia" w:ascii="宋体" w:hAnsi="宋体" w:eastAsia="宋体" w:cs="宋体"/>
                <w:color w:val="auto"/>
                <w:kern w:val="0"/>
                <w:sz w:val="24"/>
                <w:szCs w:val="24"/>
                <w:highlight w:val="none"/>
                <w:u w:val="none" w:color="auto"/>
              </w:rPr>
              <w:t>%，</w:t>
            </w:r>
            <w:r>
              <w:rPr>
                <w:rFonts w:hint="eastAsia" w:ascii="宋体" w:hAnsi="宋体" w:eastAsia="宋体" w:cs="宋体"/>
                <w:color w:val="auto"/>
                <w:kern w:val="0"/>
                <w:sz w:val="24"/>
                <w:szCs w:val="24"/>
                <w:highlight w:val="none"/>
                <w:u w:val="none" w:color="auto"/>
                <w:lang w:val="en-US" w:eastAsia="zh-CN"/>
              </w:rPr>
              <w:t>则项目油烟排放量为2.4g/d</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0.5</w:t>
            </w:r>
            <w:r>
              <w:rPr>
                <w:rFonts w:hint="eastAsia" w:ascii="宋体" w:hAnsi="宋体" w:cs="宋体"/>
                <w:color w:val="auto"/>
                <w:kern w:val="0"/>
                <w:sz w:val="24"/>
                <w:szCs w:val="24"/>
                <w:highlight w:val="none"/>
                <w:u w:val="none" w:color="auto"/>
                <w:lang w:val="en-US" w:eastAsia="zh-CN"/>
              </w:rPr>
              <w:t>76</w:t>
            </w:r>
            <w:r>
              <w:rPr>
                <w:rFonts w:hint="eastAsia" w:ascii="宋体" w:hAnsi="宋体" w:eastAsia="宋体" w:cs="宋体"/>
                <w:color w:val="auto"/>
                <w:kern w:val="0"/>
                <w:sz w:val="24"/>
                <w:szCs w:val="24"/>
                <w:highlight w:val="none"/>
                <w:u w:val="none" w:color="auto"/>
              </w:rPr>
              <w:t>kg</w:t>
            </w:r>
            <w:r>
              <w:rPr>
                <w:rFonts w:hint="eastAsia" w:ascii="宋体" w:hAnsi="宋体" w:eastAsia="宋体" w:cs="宋体"/>
                <w:color w:val="auto"/>
                <w:kern w:val="0"/>
                <w:sz w:val="24"/>
                <w:szCs w:val="24"/>
                <w:highlight w:val="none"/>
                <w:u w:val="none" w:color="auto"/>
                <w:lang w:val="en-US" w:eastAsia="zh-CN"/>
              </w:rPr>
              <w:t>/a</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油烟排放浓度为1.0</w:t>
            </w:r>
            <w:r>
              <w:rPr>
                <w:rFonts w:hint="eastAsia" w:ascii="宋体" w:hAnsi="宋体" w:eastAsia="宋体" w:cs="宋体"/>
                <w:color w:val="auto"/>
                <w:kern w:val="0"/>
                <w:sz w:val="24"/>
                <w:szCs w:val="24"/>
                <w:highlight w:val="none"/>
                <w:u w:val="none" w:color="auto"/>
              </w:rPr>
              <w:t>mg/m</w:t>
            </w:r>
            <w:r>
              <w:rPr>
                <w:rFonts w:hint="eastAsia" w:ascii="宋体" w:hAnsi="宋体" w:eastAsia="宋体" w:cs="宋体"/>
                <w:color w:val="auto"/>
                <w:kern w:val="0"/>
                <w:sz w:val="24"/>
                <w:szCs w:val="24"/>
                <w:highlight w:val="none"/>
                <w:u w:val="none" w:color="auto"/>
                <w:vertAlign w:val="superscript"/>
              </w:rPr>
              <w:t>3</w:t>
            </w:r>
            <w:r>
              <w:rPr>
                <w:rFonts w:hint="eastAsia" w:ascii="宋体" w:hAnsi="宋体" w:eastAsia="宋体" w:cs="宋体"/>
                <w:color w:val="auto"/>
                <w:kern w:val="0"/>
                <w:sz w:val="24"/>
                <w:szCs w:val="24"/>
                <w:highlight w:val="none"/>
                <w:u w:val="none" w:color="auto"/>
                <w:vertAlign w:val="baseline"/>
                <w:lang w:eastAsia="zh-CN"/>
              </w:rPr>
              <w:t>。</w:t>
            </w:r>
          </w:p>
          <w:p w14:paraId="3D276CA9">
            <w:pPr>
              <w:numPr>
                <w:ilvl w:val="0"/>
                <w:numId w:val="0"/>
              </w:numPr>
              <w:spacing w:line="0" w:lineRule="atLeast"/>
              <w:rPr>
                <w:rFonts w:ascii="Times New Roman" w:hAnsi="Times New Roman"/>
                <w:b/>
                <w:color w:val="auto"/>
                <w:sz w:val="24"/>
              </w:rPr>
            </w:pPr>
            <w:r>
              <w:rPr>
                <w:rFonts w:hint="eastAsia" w:ascii="Times New Roman" w:hAnsi="Times New Roman"/>
                <w:b/>
                <w:color w:val="auto"/>
                <w:sz w:val="24"/>
                <w:lang w:val="en-US" w:eastAsia="zh-CN"/>
              </w:rPr>
              <w:t>2、</w:t>
            </w:r>
            <w:r>
              <w:rPr>
                <w:rFonts w:ascii="Times New Roman" w:hAnsi="Times New Roman"/>
                <w:b/>
                <w:color w:val="auto"/>
                <w:sz w:val="24"/>
              </w:rPr>
              <w:t>废水</w:t>
            </w:r>
          </w:p>
          <w:p w14:paraId="1E033443">
            <w:pPr>
              <w:spacing w:line="360" w:lineRule="auto"/>
              <w:ind w:firstLine="480" w:firstLineChars="200"/>
              <w:rPr>
                <w:rFonts w:hint="eastAsia" w:ascii="Times New Roman" w:hAnsi="Times New Roman"/>
                <w:color w:val="auto"/>
                <w:sz w:val="24"/>
                <w:szCs w:val="24"/>
                <w:lang w:eastAsia="zh-CN"/>
              </w:rPr>
            </w:pPr>
            <w:r>
              <w:rPr>
                <w:rFonts w:hint="eastAsia" w:ascii="Times New Roman" w:hAnsi="Times New Roman"/>
                <w:color w:val="auto"/>
                <w:sz w:val="24"/>
                <w:szCs w:val="24"/>
              </w:rPr>
              <w:t>项目运营期</w:t>
            </w:r>
            <w:r>
              <w:rPr>
                <w:rFonts w:hint="eastAsia" w:ascii="Times New Roman" w:hAnsi="Times New Roman"/>
                <w:color w:val="auto"/>
                <w:sz w:val="24"/>
                <w:szCs w:val="24"/>
                <w:lang w:eastAsia="zh-CN"/>
              </w:rPr>
              <w:t>无生产废水产生，</w:t>
            </w:r>
            <w:r>
              <w:rPr>
                <w:rFonts w:hint="eastAsia" w:ascii="Times New Roman" w:hAnsi="Times New Roman"/>
                <w:color w:val="auto"/>
                <w:sz w:val="24"/>
                <w:szCs w:val="24"/>
              </w:rPr>
              <w:t>产生的废水主要为员工的生活污水</w:t>
            </w:r>
            <w:r>
              <w:rPr>
                <w:rFonts w:hint="eastAsia" w:ascii="Times New Roman" w:hAnsi="Times New Roman"/>
                <w:color w:val="auto"/>
                <w:sz w:val="24"/>
                <w:szCs w:val="24"/>
                <w:lang w:eastAsia="zh-CN"/>
              </w:rPr>
              <w:t>。</w:t>
            </w:r>
          </w:p>
          <w:p w14:paraId="38D553E2">
            <w:pPr>
              <w:spacing w:line="360" w:lineRule="auto"/>
              <w:ind w:firstLine="480" w:firstLineChars="200"/>
              <w:rPr>
                <w:rFonts w:hint="eastAsia" w:asciiTheme="majorEastAsia" w:hAnsiTheme="majorEastAsia" w:eastAsiaTheme="majorEastAsia" w:cstheme="majorEastAsia"/>
                <w:bCs/>
                <w:color w:val="auto"/>
                <w:sz w:val="24"/>
                <w:szCs w:val="24"/>
                <w:lang w:val="en-US" w:eastAsia="zh-CN"/>
              </w:rPr>
            </w:pPr>
            <w:r>
              <w:rPr>
                <w:rFonts w:hint="eastAsia" w:asciiTheme="majorEastAsia" w:hAnsiTheme="majorEastAsia" w:eastAsiaTheme="majorEastAsia" w:cstheme="majorEastAsia"/>
                <w:bCs/>
                <w:color w:val="auto"/>
                <w:sz w:val="24"/>
                <w:szCs w:val="24"/>
                <w:lang w:val="en-US" w:eastAsia="zh-CN"/>
              </w:rPr>
              <w:t>（1）生活用水</w:t>
            </w:r>
          </w:p>
          <w:p w14:paraId="0044028F">
            <w:pPr>
              <w:pStyle w:val="31"/>
              <w:ind w:left="0" w:leftChars="0"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eastAsia="zh-CN"/>
              </w:rPr>
              <w:t>①</w:t>
            </w:r>
            <w:r>
              <w:rPr>
                <w:rFonts w:hint="eastAsia" w:asciiTheme="majorEastAsia" w:hAnsiTheme="majorEastAsia" w:eastAsiaTheme="majorEastAsia" w:cstheme="majorEastAsia"/>
                <w:color w:val="auto"/>
              </w:rPr>
              <w:t>办公生活用水、排水</w:t>
            </w:r>
          </w:p>
          <w:p w14:paraId="65C7CC5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本项目营运期工作人员为10人，职工均在厂区</w:t>
            </w:r>
            <w:r>
              <w:rPr>
                <w:rFonts w:hint="eastAsia" w:ascii="宋体" w:hAnsi="宋体" w:cs="宋体"/>
                <w:color w:val="auto"/>
                <w:sz w:val="24"/>
                <w:lang w:eastAsia="zh-CN"/>
              </w:rPr>
              <w:t>住</w:t>
            </w:r>
            <w:r>
              <w:rPr>
                <w:rFonts w:hint="eastAsia" w:ascii="宋体" w:hAnsi="宋体" w:eastAsia="宋体" w:cs="宋体"/>
                <w:color w:val="auto"/>
                <w:sz w:val="24"/>
              </w:rPr>
              <w:t>宿。根据《云南省地方用水定额标准》(DB53</w:t>
            </w:r>
            <w:r>
              <w:rPr>
                <w:rFonts w:hint="eastAsia" w:ascii="宋体" w:hAnsi="宋体" w:eastAsia="宋体" w:cs="宋体"/>
                <w:color w:val="auto"/>
                <w:sz w:val="24"/>
                <w:lang w:val="en-US" w:eastAsia="zh-CN"/>
              </w:rPr>
              <w:t>/</w:t>
            </w:r>
            <w:r>
              <w:rPr>
                <w:rFonts w:hint="eastAsia" w:ascii="宋体" w:hAnsi="宋体" w:eastAsia="宋体" w:cs="宋体"/>
                <w:color w:val="auto"/>
                <w:sz w:val="24"/>
              </w:rPr>
              <w:t>T168-2013)，职工用水量按</w:t>
            </w:r>
            <w:r>
              <w:rPr>
                <w:rFonts w:hint="eastAsia" w:ascii="宋体" w:hAnsi="宋体" w:eastAsia="宋体" w:cs="宋体"/>
                <w:color w:val="auto"/>
                <w:sz w:val="24"/>
                <w:lang w:val="en-US" w:eastAsia="zh-CN"/>
              </w:rPr>
              <w:t>110</w:t>
            </w:r>
            <w:r>
              <w:rPr>
                <w:rFonts w:hint="eastAsia" w:ascii="宋体" w:hAnsi="宋体" w:eastAsia="宋体" w:cs="宋体"/>
                <w:color w:val="auto"/>
                <w:sz w:val="24"/>
              </w:rPr>
              <w:t>L/（p·◮d）计，则办公、生活用水量为</w:t>
            </w:r>
            <w:r>
              <w:rPr>
                <w:rFonts w:hint="eastAsia" w:ascii="宋体" w:hAnsi="宋体" w:eastAsia="宋体" w:cs="宋体"/>
                <w:color w:val="auto"/>
                <w:sz w:val="24"/>
                <w:lang w:val="en-US" w:eastAsia="zh-CN"/>
              </w:rPr>
              <w:t>1.1</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/d，产污系数按0.8计，则生活污水产生量为0.</w:t>
            </w:r>
            <w:r>
              <w:rPr>
                <w:rFonts w:hint="eastAsia" w:ascii="宋体" w:hAnsi="宋体" w:eastAsia="宋体" w:cs="宋体"/>
                <w:color w:val="auto"/>
                <w:sz w:val="24"/>
                <w:lang w:val="en-US" w:eastAsia="zh-CN"/>
              </w:rPr>
              <w:t>88</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/d。年工作天数为</w:t>
            </w:r>
            <w:r>
              <w:rPr>
                <w:rFonts w:hint="eastAsia" w:ascii="宋体" w:hAnsi="宋体" w:eastAsia="宋体" w:cs="宋体"/>
                <w:color w:val="auto"/>
                <w:sz w:val="24"/>
                <w:lang w:val="en-US" w:eastAsia="zh-CN"/>
              </w:rPr>
              <w:t>24</w:t>
            </w:r>
            <w:r>
              <w:rPr>
                <w:rFonts w:hint="eastAsia" w:ascii="宋体" w:hAnsi="宋体" w:eastAsia="宋体" w:cs="宋体"/>
                <w:color w:val="auto"/>
                <w:sz w:val="24"/>
              </w:rPr>
              <w:t>0天，则每年生活污水量为</w:t>
            </w:r>
            <w:r>
              <w:rPr>
                <w:rFonts w:hint="eastAsia" w:ascii="宋体" w:hAnsi="宋体" w:eastAsia="宋体" w:cs="宋体"/>
                <w:color w:val="auto"/>
                <w:sz w:val="24"/>
                <w:lang w:val="en-US" w:eastAsia="zh-CN"/>
              </w:rPr>
              <w:t>211.2</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/a。根据类比，办公、生活污水中主要污染物为COD</w:t>
            </w:r>
            <w:r>
              <w:rPr>
                <w:rFonts w:hint="eastAsia" w:ascii="宋体" w:hAnsi="宋体" w:eastAsia="宋体" w:cs="宋体"/>
                <w:color w:val="auto"/>
                <w:sz w:val="24"/>
                <w:vertAlign w:val="subscript"/>
              </w:rPr>
              <w:t>cr</w:t>
            </w:r>
            <w:r>
              <w:rPr>
                <w:rFonts w:hint="eastAsia" w:ascii="宋体" w:hAnsi="宋体" w:eastAsia="宋体" w:cs="宋体"/>
                <w:color w:val="auto"/>
                <w:sz w:val="24"/>
              </w:rPr>
              <w:t>、BOD</w:t>
            </w:r>
            <w:r>
              <w:rPr>
                <w:rFonts w:hint="eastAsia" w:ascii="宋体" w:hAnsi="宋体" w:eastAsia="宋体" w:cs="宋体"/>
                <w:color w:val="auto"/>
                <w:sz w:val="24"/>
                <w:vertAlign w:val="subscript"/>
              </w:rPr>
              <w:t>5</w:t>
            </w:r>
            <w:r>
              <w:rPr>
                <w:rFonts w:hint="eastAsia" w:ascii="宋体" w:hAnsi="宋体" w:eastAsia="宋体" w:cs="宋体"/>
                <w:color w:val="auto"/>
                <w:sz w:val="24"/>
              </w:rPr>
              <w:t>、SS、NH</w:t>
            </w:r>
            <w:r>
              <w:rPr>
                <w:rFonts w:hint="eastAsia" w:ascii="宋体" w:hAnsi="宋体" w:eastAsia="宋体" w:cs="宋体"/>
                <w:color w:val="auto"/>
                <w:sz w:val="24"/>
                <w:vertAlign w:val="subscript"/>
              </w:rPr>
              <w:t>3</w:t>
            </w:r>
            <w:r>
              <w:rPr>
                <w:rFonts w:hint="eastAsia" w:ascii="宋体" w:hAnsi="宋体" w:eastAsia="宋体" w:cs="宋体"/>
                <w:color w:val="auto"/>
                <w:sz w:val="24"/>
              </w:rPr>
              <w:t>-N、动植物油，</w:t>
            </w:r>
            <w:r>
              <w:rPr>
                <w:rFonts w:hint="eastAsia" w:ascii="宋体" w:hAnsi="宋体" w:eastAsia="宋体" w:cs="宋体"/>
                <w:color w:val="auto"/>
                <w:kern w:val="0"/>
                <w:sz w:val="24"/>
              </w:rPr>
              <w:t>浓度值分别约为400mg/L、250mg/L、170mg/L、29mg/L、</w:t>
            </w:r>
            <w:r>
              <w:rPr>
                <w:rFonts w:hint="eastAsia" w:ascii="宋体" w:hAnsi="宋体" w:eastAsia="宋体" w:cs="宋体"/>
                <w:color w:val="auto"/>
                <w:sz w:val="24"/>
              </w:rPr>
              <w:t>20mg/L</w:t>
            </w:r>
            <w:r>
              <w:rPr>
                <w:rFonts w:hint="eastAsia" w:ascii="宋体" w:hAnsi="宋体" w:eastAsia="宋体" w:cs="宋体"/>
                <w:color w:val="auto"/>
                <w:kern w:val="0"/>
                <w:sz w:val="24"/>
              </w:rPr>
              <w:t>，经计算污染物产生量分别为0.</w:t>
            </w:r>
            <w:r>
              <w:rPr>
                <w:rFonts w:hint="eastAsia" w:ascii="宋体" w:hAnsi="宋体" w:eastAsia="宋体" w:cs="宋体"/>
                <w:color w:val="auto"/>
                <w:kern w:val="0"/>
                <w:sz w:val="24"/>
                <w:lang w:val="en-US" w:eastAsia="zh-CN"/>
              </w:rPr>
              <w:t>0845</w:t>
            </w:r>
            <w:r>
              <w:rPr>
                <w:rFonts w:hint="eastAsia" w:ascii="宋体" w:hAnsi="宋体" w:eastAsia="宋体" w:cs="宋体"/>
                <w:color w:val="auto"/>
                <w:kern w:val="0"/>
                <w:sz w:val="24"/>
              </w:rPr>
              <w:t>t/a、0.0</w:t>
            </w:r>
            <w:r>
              <w:rPr>
                <w:rFonts w:hint="eastAsia" w:ascii="宋体" w:hAnsi="宋体" w:eastAsia="宋体" w:cs="宋体"/>
                <w:color w:val="auto"/>
                <w:kern w:val="0"/>
                <w:sz w:val="24"/>
                <w:lang w:val="en-US" w:eastAsia="zh-CN"/>
              </w:rPr>
              <w:t>528</w:t>
            </w:r>
            <w:r>
              <w:rPr>
                <w:rFonts w:hint="eastAsia" w:ascii="宋体" w:hAnsi="宋体" w:eastAsia="宋体" w:cs="宋体"/>
                <w:color w:val="auto"/>
                <w:kern w:val="0"/>
                <w:sz w:val="24"/>
              </w:rPr>
              <w:t>t/a、0.0</w:t>
            </w:r>
            <w:r>
              <w:rPr>
                <w:rFonts w:hint="eastAsia" w:ascii="宋体" w:hAnsi="宋体" w:eastAsia="宋体" w:cs="宋体"/>
                <w:color w:val="auto"/>
                <w:kern w:val="0"/>
                <w:sz w:val="24"/>
                <w:lang w:val="en-US" w:eastAsia="zh-CN"/>
              </w:rPr>
              <w:t>359</w:t>
            </w:r>
            <w:r>
              <w:rPr>
                <w:rFonts w:hint="eastAsia" w:ascii="宋体" w:hAnsi="宋体" w:eastAsia="宋体" w:cs="宋体"/>
                <w:color w:val="auto"/>
                <w:kern w:val="0"/>
                <w:sz w:val="24"/>
              </w:rPr>
              <w:t>t/a、0.00</w:t>
            </w:r>
            <w:r>
              <w:rPr>
                <w:rFonts w:hint="eastAsia" w:ascii="宋体" w:hAnsi="宋体" w:eastAsia="宋体" w:cs="宋体"/>
                <w:color w:val="auto"/>
                <w:kern w:val="0"/>
                <w:sz w:val="24"/>
                <w:lang w:val="en-US" w:eastAsia="zh-CN"/>
              </w:rPr>
              <w:t>61</w:t>
            </w:r>
            <w:r>
              <w:rPr>
                <w:rFonts w:hint="eastAsia" w:ascii="宋体" w:hAnsi="宋体" w:eastAsia="宋体" w:cs="宋体"/>
                <w:color w:val="auto"/>
                <w:kern w:val="0"/>
                <w:sz w:val="24"/>
              </w:rPr>
              <w:t>t/a、0.00</w:t>
            </w:r>
            <w:r>
              <w:rPr>
                <w:rFonts w:hint="eastAsia" w:ascii="宋体" w:hAnsi="宋体" w:eastAsia="宋体" w:cs="宋体"/>
                <w:color w:val="auto"/>
                <w:kern w:val="0"/>
                <w:sz w:val="24"/>
                <w:lang w:val="en-US" w:eastAsia="zh-CN"/>
              </w:rPr>
              <w:t>42</w:t>
            </w:r>
            <w:r>
              <w:rPr>
                <w:rFonts w:hint="eastAsia" w:ascii="宋体" w:hAnsi="宋体" w:eastAsia="宋体" w:cs="宋体"/>
                <w:color w:val="auto"/>
                <w:kern w:val="0"/>
                <w:sz w:val="24"/>
              </w:rPr>
              <w:t>t/a，</w:t>
            </w:r>
            <w:r>
              <w:rPr>
                <w:rFonts w:hint="eastAsia" w:ascii="宋体" w:hAnsi="宋体" w:eastAsia="宋体" w:cs="宋体"/>
                <w:color w:val="auto"/>
                <w:sz w:val="24"/>
              </w:rPr>
              <w:t>生活污水经化粪池处理后，由农民运走，作为农家肥使用。</w:t>
            </w:r>
          </w:p>
          <w:p w14:paraId="33C0D561">
            <w:pPr>
              <w:pStyle w:val="31"/>
              <w:ind w:left="0" w:leftChars="0" w:firstLine="480" w:firstLineChars="200"/>
              <w:rPr>
                <w:rFonts w:hint="eastAsia" w:ascii="宋体" w:hAnsi="宋体" w:eastAsia="宋体" w:cs="宋体"/>
                <w:bCs/>
                <w:color w:val="auto"/>
              </w:rPr>
            </w:pPr>
            <w:r>
              <w:rPr>
                <w:rFonts w:hint="eastAsia" w:ascii="宋体" w:hAnsi="宋体" w:eastAsia="宋体" w:cs="宋体"/>
                <w:bCs/>
                <w:color w:val="auto"/>
                <w:lang w:eastAsia="zh-CN"/>
              </w:rPr>
              <w:t>②</w:t>
            </w:r>
            <w:r>
              <w:rPr>
                <w:rFonts w:hint="eastAsia" w:ascii="宋体" w:hAnsi="宋体" w:eastAsia="宋体" w:cs="宋体"/>
                <w:bCs/>
                <w:color w:val="auto"/>
              </w:rPr>
              <w:t>厨房用水、排水</w:t>
            </w:r>
          </w:p>
          <w:p w14:paraId="2BABB73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本项目营运期工作人员为10人，厨房用水量按40L/p·d计，则本项目每天的厨房用水量为0.4m</w:t>
            </w:r>
            <w:r>
              <w:rPr>
                <w:rFonts w:hint="eastAsia" w:ascii="宋体" w:hAnsi="宋体" w:eastAsia="宋体" w:cs="宋体"/>
                <w:color w:val="auto"/>
                <w:sz w:val="24"/>
                <w:vertAlign w:val="superscript"/>
              </w:rPr>
              <w:t>3</w:t>
            </w:r>
            <w:r>
              <w:rPr>
                <w:rFonts w:hint="eastAsia" w:ascii="宋体" w:hAnsi="宋体" w:eastAsia="宋体" w:cs="宋体"/>
                <w:color w:val="auto"/>
                <w:sz w:val="24"/>
              </w:rPr>
              <w:t>/d，产污系数按0.8计，则每天厨房废水产生量为0.32m</w:t>
            </w:r>
            <w:r>
              <w:rPr>
                <w:rFonts w:hint="eastAsia" w:ascii="宋体" w:hAnsi="宋体" w:eastAsia="宋体" w:cs="宋体"/>
                <w:color w:val="auto"/>
                <w:sz w:val="24"/>
                <w:vertAlign w:val="superscript"/>
              </w:rPr>
              <w:t>3</w:t>
            </w:r>
            <w:r>
              <w:rPr>
                <w:rFonts w:hint="eastAsia" w:ascii="宋体" w:hAnsi="宋体" w:eastAsia="宋体" w:cs="宋体"/>
                <w:color w:val="auto"/>
                <w:sz w:val="24"/>
              </w:rPr>
              <w:t>/d。年工作天数为</w:t>
            </w:r>
            <w:r>
              <w:rPr>
                <w:rFonts w:hint="eastAsia" w:ascii="宋体" w:hAnsi="宋体" w:eastAsia="宋体" w:cs="宋体"/>
                <w:color w:val="auto"/>
                <w:sz w:val="24"/>
                <w:lang w:val="en-US" w:eastAsia="zh-CN"/>
              </w:rPr>
              <w:t>24</w:t>
            </w:r>
            <w:r>
              <w:rPr>
                <w:rFonts w:hint="eastAsia" w:ascii="宋体" w:hAnsi="宋体" w:eastAsia="宋体" w:cs="宋体"/>
                <w:color w:val="auto"/>
                <w:sz w:val="24"/>
              </w:rPr>
              <w:t>0天，则每年厨房废水量为</w:t>
            </w:r>
            <w:r>
              <w:rPr>
                <w:rFonts w:hint="eastAsia" w:ascii="宋体" w:hAnsi="宋体" w:eastAsia="宋体" w:cs="宋体"/>
                <w:color w:val="auto"/>
                <w:sz w:val="24"/>
                <w:lang w:val="en-US" w:eastAsia="zh-CN"/>
              </w:rPr>
              <w:t>76.8</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/a。根据类比，厨房废水中主要污染物为COD</w:t>
            </w:r>
            <w:r>
              <w:rPr>
                <w:rFonts w:hint="eastAsia" w:ascii="宋体" w:hAnsi="宋体" w:eastAsia="宋体" w:cs="宋体"/>
                <w:color w:val="auto"/>
                <w:sz w:val="24"/>
                <w:vertAlign w:val="subscript"/>
              </w:rPr>
              <w:t>cr</w:t>
            </w:r>
            <w:r>
              <w:rPr>
                <w:rFonts w:hint="eastAsia" w:ascii="宋体" w:hAnsi="宋体" w:eastAsia="宋体" w:cs="宋体"/>
                <w:color w:val="auto"/>
                <w:sz w:val="24"/>
              </w:rPr>
              <w:t>、BOD</w:t>
            </w:r>
            <w:r>
              <w:rPr>
                <w:rFonts w:hint="eastAsia" w:ascii="宋体" w:hAnsi="宋体" w:eastAsia="宋体" w:cs="宋体"/>
                <w:color w:val="auto"/>
                <w:sz w:val="24"/>
                <w:vertAlign w:val="subscript"/>
              </w:rPr>
              <w:t>5</w:t>
            </w:r>
            <w:r>
              <w:rPr>
                <w:rFonts w:hint="eastAsia" w:ascii="宋体" w:hAnsi="宋体" w:eastAsia="宋体" w:cs="宋体"/>
                <w:color w:val="auto"/>
                <w:sz w:val="24"/>
              </w:rPr>
              <w:t>、SS、NH</w:t>
            </w:r>
            <w:r>
              <w:rPr>
                <w:rFonts w:hint="eastAsia" w:ascii="宋体" w:hAnsi="宋体" w:eastAsia="宋体" w:cs="宋体"/>
                <w:color w:val="auto"/>
                <w:sz w:val="24"/>
                <w:vertAlign w:val="subscript"/>
              </w:rPr>
              <w:t>3</w:t>
            </w:r>
            <w:r>
              <w:rPr>
                <w:rFonts w:hint="eastAsia" w:ascii="宋体" w:hAnsi="宋体" w:eastAsia="宋体" w:cs="宋体"/>
                <w:color w:val="auto"/>
                <w:sz w:val="24"/>
              </w:rPr>
              <w:t>-N、动植物油，</w:t>
            </w:r>
            <w:r>
              <w:rPr>
                <w:rFonts w:hint="eastAsia" w:ascii="宋体" w:hAnsi="宋体" w:eastAsia="宋体" w:cs="宋体"/>
                <w:color w:val="auto"/>
                <w:kern w:val="0"/>
                <w:sz w:val="24"/>
              </w:rPr>
              <w:t>浓度值分别约为600mg/L、400mg/L、300mg/L、30mg/L、</w:t>
            </w:r>
            <w:r>
              <w:rPr>
                <w:rFonts w:hint="eastAsia" w:ascii="宋体" w:hAnsi="宋体" w:eastAsia="宋体" w:cs="宋体"/>
                <w:color w:val="auto"/>
                <w:sz w:val="24"/>
              </w:rPr>
              <w:t>25mg/L，</w:t>
            </w:r>
            <w:r>
              <w:rPr>
                <w:rFonts w:hint="eastAsia" w:ascii="宋体" w:hAnsi="宋体" w:eastAsia="宋体" w:cs="宋体"/>
                <w:color w:val="auto"/>
                <w:kern w:val="0"/>
                <w:sz w:val="24"/>
              </w:rPr>
              <w:t>经计算污染物产生量分别为0.0</w:t>
            </w:r>
            <w:r>
              <w:rPr>
                <w:rFonts w:hint="eastAsia" w:ascii="宋体" w:hAnsi="宋体" w:eastAsia="宋体" w:cs="宋体"/>
                <w:color w:val="auto"/>
                <w:kern w:val="0"/>
                <w:sz w:val="24"/>
                <w:lang w:val="en-US" w:eastAsia="zh-CN"/>
              </w:rPr>
              <w:t>461</w:t>
            </w:r>
            <w:r>
              <w:rPr>
                <w:rFonts w:hint="eastAsia" w:ascii="宋体" w:hAnsi="宋体" w:eastAsia="宋体" w:cs="宋体"/>
                <w:color w:val="auto"/>
                <w:kern w:val="0"/>
                <w:sz w:val="24"/>
              </w:rPr>
              <w:t>t/a、0.03</w:t>
            </w:r>
            <w:r>
              <w:rPr>
                <w:rFonts w:hint="eastAsia" w:ascii="宋体" w:hAnsi="宋体" w:eastAsia="宋体" w:cs="宋体"/>
                <w:color w:val="auto"/>
                <w:kern w:val="0"/>
                <w:sz w:val="24"/>
                <w:lang w:val="en-US" w:eastAsia="zh-CN"/>
              </w:rPr>
              <w:t>07</w:t>
            </w:r>
            <w:r>
              <w:rPr>
                <w:rFonts w:hint="eastAsia" w:ascii="宋体" w:hAnsi="宋体" w:eastAsia="宋体" w:cs="宋体"/>
                <w:color w:val="auto"/>
                <w:kern w:val="0"/>
                <w:sz w:val="24"/>
              </w:rPr>
              <w:t>t/a、0.02</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t/a、0.002</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t/a、0.00</w:t>
            </w:r>
            <w:r>
              <w:rPr>
                <w:rFonts w:hint="eastAsia" w:ascii="宋体" w:hAnsi="宋体" w:eastAsia="宋体" w:cs="宋体"/>
                <w:color w:val="auto"/>
                <w:kern w:val="0"/>
                <w:sz w:val="24"/>
                <w:lang w:val="en-US" w:eastAsia="zh-CN"/>
              </w:rPr>
              <w:t>19</w:t>
            </w:r>
            <w:r>
              <w:rPr>
                <w:rFonts w:hint="eastAsia" w:ascii="宋体" w:hAnsi="宋体" w:eastAsia="宋体" w:cs="宋体"/>
                <w:color w:val="auto"/>
                <w:kern w:val="0"/>
                <w:sz w:val="24"/>
              </w:rPr>
              <w:t>t/a，</w:t>
            </w:r>
            <w:r>
              <w:rPr>
                <w:rFonts w:hint="eastAsia" w:ascii="宋体" w:hAnsi="宋体" w:eastAsia="宋体" w:cs="宋体"/>
                <w:color w:val="auto"/>
                <w:sz w:val="24"/>
              </w:rPr>
              <w:t>产生的废水先进入隔油池预处理，再经化粪池处理后由农民运走，作为农家肥使用。</w:t>
            </w:r>
          </w:p>
          <w:p w14:paraId="4AE06461">
            <w:pPr>
              <w:pStyle w:val="31"/>
              <w:ind w:left="0" w:leftChars="0" w:firstLine="480" w:firstLineChars="200"/>
              <w:rPr>
                <w:rFonts w:hint="eastAsia" w:ascii="宋体" w:hAnsi="宋体" w:eastAsia="宋体" w:cs="宋体"/>
                <w:color w:val="auto"/>
              </w:rPr>
            </w:pPr>
            <w:r>
              <w:rPr>
                <w:rFonts w:hint="eastAsia" w:ascii="宋体" w:hAnsi="宋体" w:eastAsia="宋体" w:cs="宋体"/>
                <w:bCs/>
                <w:color w:val="auto"/>
                <w:lang w:eastAsia="zh-CN"/>
              </w:rPr>
              <w:t>③</w:t>
            </w:r>
            <w:r>
              <w:rPr>
                <w:rFonts w:hint="eastAsia" w:ascii="宋体" w:hAnsi="宋体" w:eastAsia="宋体" w:cs="宋体"/>
                <w:bCs/>
                <w:color w:val="auto"/>
              </w:rPr>
              <w:t>绿化用水、排水</w:t>
            </w:r>
          </w:p>
          <w:p w14:paraId="195205F6">
            <w:pPr>
              <w:pStyle w:val="31"/>
              <w:ind w:firstLine="480"/>
              <w:rPr>
                <w:rFonts w:hint="eastAsia" w:ascii="宋体" w:hAnsi="宋体" w:eastAsia="宋体" w:cs="宋体"/>
                <w:b/>
                <w:bCs/>
                <w:color w:val="auto"/>
                <w:kern w:val="0"/>
                <w:sz w:val="24"/>
                <w:lang w:bidi="ar"/>
              </w:rPr>
            </w:pPr>
            <w:r>
              <w:rPr>
                <w:rFonts w:hint="eastAsia" w:ascii="宋体" w:hAnsi="宋体" w:eastAsia="宋体" w:cs="宋体"/>
                <w:color w:val="auto"/>
              </w:rPr>
              <w:t>根据初步计算本项目可绿化的面积约为</w:t>
            </w:r>
            <w:r>
              <w:rPr>
                <w:rFonts w:hint="eastAsia" w:ascii="宋体" w:hAnsi="宋体" w:eastAsia="宋体" w:cs="宋体"/>
                <w:color w:val="auto"/>
                <w:lang w:val="en-US" w:eastAsia="zh-CN"/>
              </w:rPr>
              <w:t>2</w:t>
            </w:r>
            <w:r>
              <w:rPr>
                <w:rFonts w:hint="eastAsia" w:ascii="宋体" w:hAnsi="宋体" w:eastAsia="宋体" w:cs="宋体"/>
                <w:color w:val="auto"/>
              </w:rPr>
              <w:t>20m</w:t>
            </w:r>
            <w:r>
              <w:rPr>
                <w:rFonts w:hint="eastAsia" w:ascii="宋体" w:hAnsi="宋体" w:eastAsia="宋体" w:cs="宋体"/>
                <w:color w:val="auto"/>
                <w:vertAlign w:val="superscript"/>
              </w:rPr>
              <w:t>2</w:t>
            </w:r>
            <w:r>
              <w:rPr>
                <w:rFonts w:hint="eastAsia" w:ascii="宋体" w:hAnsi="宋体" w:eastAsia="宋体" w:cs="宋体"/>
                <w:color w:val="auto"/>
              </w:rPr>
              <w:t>。</w:t>
            </w:r>
            <w:r>
              <w:rPr>
                <w:rFonts w:hint="eastAsia" w:ascii="宋体" w:hAnsi="宋体" w:eastAsia="宋体" w:cs="宋体"/>
                <w:color w:val="auto"/>
                <w:kern w:val="0"/>
                <w:sz w:val="24"/>
                <w:szCs w:val="24"/>
                <w:highlight w:val="none"/>
                <w:u w:val="none" w:color="auto"/>
              </w:rPr>
              <w:t>根据《云南省</w:t>
            </w:r>
            <w:r>
              <w:rPr>
                <w:rFonts w:hint="eastAsia" w:ascii="宋体" w:hAnsi="宋体" w:cs="宋体"/>
                <w:color w:val="auto"/>
                <w:kern w:val="0"/>
                <w:sz w:val="24"/>
                <w:szCs w:val="24"/>
                <w:highlight w:val="none"/>
                <w:u w:val="none" w:color="auto"/>
                <w:lang w:eastAsia="zh-CN"/>
              </w:rPr>
              <w:t>地方</w:t>
            </w:r>
            <w:r>
              <w:rPr>
                <w:rFonts w:hint="eastAsia" w:ascii="宋体" w:hAnsi="宋体" w:eastAsia="宋体" w:cs="宋体"/>
                <w:color w:val="auto"/>
                <w:kern w:val="0"/>
                <w:sz w:val="24"/>
                <w:szCs w:val="24"/>
                <w:highlight w:val="none"/>
                <w:u w:val="none" w:color="auto"/>
              </w:rPr>
              <w:t>用水</w:t>
            </w:r>
            <w:r>
              <w:rPr>
                <w:rFonts w:hint="eastAsia" w:ascii="宋体" w:hAnsi="宋体" w:cs="宋体"/>
                <w:color w:val="auto"/>
                <w:kern w:val="0"/>
                <w:sz w:val="24"/>
                <w:szCs w:val="24"/>
                <w:highlight w:val="none"/>
                <w:u w:val="none" w:color="auto"/>
                <w:lang w:eastAsia="zh-CN"/>
              </w:rPr>
              <w:t>标准</w:t>
            </w:r>
            <w:r>
              <w:rPr>
                <w:rFonts w:hint="eastAsia" w:ascii="宋体" w:hAnsi="宋体" w:eastAsia="宋体" w:cs="宋体"/>
                <w:color w:val="auto"/>
                <w:kern w:val="0"/>
                <w:sz w:val="24"/>
                <w:szCs w:val="24"/>
                <w:highlight w:val="none"/>
                <w:u w:val="none" w:color="auto"/>
              </w:rPr>
              <w:t>定额》（DB53/T 168—2013）</w:t>
            </w:r>
            <w:r>
              <w:rPr>
                <w:rFonts w:hint="eastAsia" w:ascii="宋体" w:hAnsi="宋体" w:eastAsia="宋体" w:cs="宋体"/>
                <w:color w:val="auto"/>
              </w:rPr>
              <w:t>，灌溉日绿化用水量按0.003m</w:t>
            </w:r>
            <w:r>
              <w:rPr>
                <w:rFonts w:hint="eastAsia" w:ascii="宋体" w:hAnsi="宋体" w:eastAsia="宋体" w:cs="宋体"/>
                <w:color w:val="auto"/>
                <w:vertAlign w:val="superscript"/>
              </w:rPr>
              <w:t>3</w:t>
            </w:r>
            <w:r>
              <w:rPr>
                <w:rFonts w:hint="eastAsia" w:ascii="宋体" w:hAnsi="宋体" w:eastAsia="宋体" w:cs="宋体"/>
                <w:color w:val="auto"/>
              </w:rPr>
              <w:t>/m</w:t>
            </w:r>
            <w:r>
              <w:rPr>
                <w:rFonts w:hint="eastAsia" w:ascii="宋体" w:hAnsi="宋体" w:eastAsia="宋体" w:cs="宋体"/>
                <w:color w:val="auto"/>
                <w:vertAlign w:val="superscript"/>
              </w:rPr>
              <w:t>2</w:t>
            </w:r>
            <w:r>
              <w:rPr>
                <w:rFonts w:hint="eastAsia" w:ascii="宋体" w:hAnsi="宋体" w:eastAsia="宋体" w:cs="宋体"/>
                <w:color w:val="auto"/>
              </w:rPr>
              <w:t>·d计。项目非雨天（灌溉日）绿化用水量约为0.</w:t>
            </w:r>
            <w:r>
              <w:rPr>
                <w:rFonts w:hint="eastAsia" w:ascii="宋体" w:hAnsi="宋体" w:eastAsia="宋体" w:cs="宋体"/>
                <w:color w:val="auto"/>
                <w:lang w:val="en-US" w:eastAsia="zh-CN"/>
              </w:rPr>
              <w:t>6</w:t>
            </w:r>
            <w:r>
              <w:rPr>
                <w:rFonts w:hint="eastAsia" w:ascii="宋体" w:hAnsi="宋体" w:eastAsia="宋体" w:cs="宋体"/>
                <w:color w:val="auto"/>
              </w:rPr>
              <w:t>6m</w:t>
            </w:r>
            <w:r>
              <w:rPr>
                <w:rFonts w:hint="eastAsia" w:ascii="宋体" w:hAnsi="宋体" w:eastAsia="宋体" w:cs="宋体"/>
                <w:color w:val="auto"/>
                <w:vertAlign w:val="superscript"/>
              </w:rPr>
              <w:t>3</w:t>
            </w:r>
            <w:r>
              <w:rPr>
                <w:rFonts w:hint="eastAsia" w:ascii="宋体" w:hAnsi="宋体" w:eastAsia="宋体" w:cs="宋体"/>
                <w:color w:val="auto"/>
              </w:rPr>
              <w:t>/d，绿化用水被植物吸收或者蒸发耗散，全部消纳，不外排。</w:t>
            </w:r>
            <w:r>
              <w:rPr>
                <w:rFonts w:hint="eastAsia" w:ascii="宋体" w:hAnsi="宋体" w:eastAsia="宋体" w:cs="宋体"/>
                <w:color w:val="auto"/>
                <w:sz w:val="24"/>
              </w:rPr>
              <w:t>项目废水污染物产生排放情况详见表5-</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p>
          <w:p w14:paraId="08BCD974">
            <w:pPr>
              <w:spacing w:line="240" w:lineRule="auto"/>
              <w:jc w:val="center"/>
              <w:outlineLvl w:val="9"/>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表5-</w:t>
            </w:r>
            <w:r>
              <w:rPr>
                <w:rFonts w:hint="eastAsia" w:ascii="Times New Roman" w:hAnsi="Times New Roman" w:cs="Times New Roman"/>
                <w:b/>
                <w:bCs/>
                <w:color w:val="auto"/>
                <w:sz w:val="24"/>
                <w:highlight w:val="none"/>
                <w:u w:val="none" w:color="auto"/>
                <w:lang w:val="en-US" w:eastAsia="zh-CN"/>
              </w:rPr>
              <w:t>4</w:t>
            </w:r>
            <w:r>
              <w:rPr>
                <w:rFonts w:hint="default" w:ascii="Times New Roman" w:hAnsi="Times New Roman" w:eastAsia="宋体" w:cs="Times New Roman"/>
                <w:b/>
                <w:bCs/>
                <w:color w:val="auto"/>
                <w:spacing w:val="40"/>
                <w:sz w:val="24"/>
                <w:highlight w:val="none"/>
                <w:u w:val="none" w:color="auto"/>
              </w:rPr>
              <w:t xml:space="preserve"> </w:t>
            </w:r>
            <w:r>
              <w:rPr>
                <w:rFonts w:hint="default" w:ascii="Times New Roman" w:hAnsi="Times New Roman" w:eastAsia="宋体" w:cs="Times New Roman"/>
                <w:b/>
                <w:bCs/>
                <w:color w:val="auto"/>
                <w:sz w:val="24"/>
                <w:szCs w:val="24"/>
                <w:highlight w:val="none"/>
                <w:u w:val="none" w:color="auto"/>
              </w:rPr>
              <w:t>项目</w:t>
            </w:r>
            <w:r>
              <w:rPr>
                <w:rFonts w:hint="default" w:ascii="Times New Roman" w:hAnsi="Times New Roman" w:eastAsia="宋体" w:cs="Times New Roman"/>
                <w:b/>
                <w:bCs/>
                <w:color w:val="auto"/>
                <w:sz w:val="24"/>
                <w:highlight w:val="none"/>
                <w:u w:val="none" w:color="auto"/>
              </w:rPr>
              <w:t>用水量及污水排放量表</w:t>
            </w:r>
          </w:p>
          <w:tbl>
            <w:tblPr>
              <w:tblStyle w:val="2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7"/>
              <w:gridCol w:w="1390"/>
              <w:gridCol w:w="747"/>
              <w:gridCol w:w="1416"/>
              <w:gridCol w:w="1484"/>
              <w:gridCol w:w="2677"/>
            </w:tblGrid>
            <w:tr w14:paraId="52BB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1347" w:type="dxa"/>
                  <w:vAlign w:val="center"/>
                </w:tcPr>
                <w:p w14:paraId="60B508A6">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用水项目</w:t>
                  </w:r>
                </w:p>
              </w:tc>
              <w:tc>
                <w:tcPr>
                  <w:tcW w:w="1390" w:type="dxa"/>
                  <w:vAlign w:val="center"/>
                </w:tcPr>
                <w:p w14:paraId="0024417B">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面积（m</w:t>
                  </w:r>
                  <w:r>
                    <w:rPr>
                      <w:rFonts w:hint="eastAsia" w:ascii="宋体" w:hAnsi="宋体" w:eastAsia="宋体" w:cs="宋体"/>
                      <w:color w:val="auto"/>
                      <w:sz w:val="21"/>
                      <w:szCs w:val="21"/>
                      <w:highlight w:val="none"/>
                      <w:u w:val="none" w:color="auto"/>
                      <w:vertAlign w:val="superscript"/>
                    </w:rPr>
                    <w:t>2</w:t>
                  </w:r>
                  <w:r>
                    <w:rPr>
                      <w:rFonts w:hint="eastAsia" w:ascii="宋体" w:hAnsi="宋体" w:eastAsia="宋体" w:cs="宋体"/>
                      <w:color w:val="auto"/>
                      <w:sz w:val="21"/>
                      <w:szCs w:val="21"/>
                      <w:highlight w:val="none"/>
                      <w:u w:val="none" w:color="auto"/>
                    </w:rPr>
                    <w:t>）</w:t>
                  </w:r>
                </w:p>
              </w:tc>
              <w:tc>
                <w:tcPr>
                  <w:tcW w:w="747" w:type="dxa"/>
                  <w:vAlign w:val="center"/>
                </w:tcPr>
                <w:p w14:paraId="76A20756">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人数</w:t>
                  </w:r>
                </w:p>
              </w:tc>
              <w:tc>
                <w:tcPr>
                  <w:tcW w:w="1416" w:type="dxa"/>
                  <w:vAlign w:val="center"/>
                </w:tcPr>
                <w:p w14:paraId="2EE9BB6C">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用水量标准</w:t>
                  </w:r>
                </w:p>
              </w:tc>
              <w:tc>
                <w:tcPr>
                  <w:tcW w:w="1484" w:type="dxa"/>
                  <w:vAlign w:val="center"/>
                </w:tcPr>
                <w:p w14:paraId="37D9407B">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用水量m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/d</w:t>
                  </w:r>
                </w:p>
              </w:tc>
              <w:tc>
                <w:tcPr>
                  <w:tcW w:w="2677" w:type="dxa"/>
                  <w:vAlign w:val="center"/>
                </w:tcPr>
                <w:p w14:paraId="0B2CFE1B">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废水量m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/d</w:t>
                  </w:r>
                </w:p>
              </w:tc>
            </w:tr>
            <w:tr w14:paraId="2247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47" w:type="dxa"/>
                  <w:vAlign w:val="center"/>
                </w:tcPr>
                <w:p w14:paraId="40924B5C">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bCs/>
                      <w:color w:val="auto"/>
                      <w:sz w:val="21"/>
                      <w:szCs w:val="24"/>
                      <w:highlight w:val="none"/>
                      <w:u w:val="none" w:color="auto"/>
                      <w:lang w:eastAsia="zh-CN"/>
                    </w:rPr>
                    <w:t>食堂</w:t>
                  </w:r>
                </w:p>
              </w:tc>
              <w:tc>
                <w:tcPr>
                  <w:tcW w:w="1390" w:type="dxa"/>
                  <w:vAlign w:val="center"/>
                </w:tcPr>
                <w:p w14:paraId="2B105C41">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10</w:t>
                  </w:r>
                </w:p>
              </w:tc>
              <w:tc>
                <w:tcPr>
                  <w:tcW w:w="747" w:type="dxa"/>
                  <w:vAlign w:val="center"/>
                </w:tcPr>
                <w:p w14:paraId="1F26D52B">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10</w:t>
                  </w:r>
                </w:p>
              </w:tc>
              <w:tc>
                <w:tcPr>
                  <w:tcW w:w="1416" w:type="dxa"/>
                  <w:vAlign w:val="center"/>
                </w:tcPr>
                <w:p w14:paraId="4E0934C6">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40</w:t>
                  </w:r>
                  <w:r>
                    <w:rPr>
                      <w:rFonts w:hint="eastAsia" w:ascii="宋体" w:hAnsi="宋体" w:eastAsia="宋体" w:cs="宋体"/>
                      <w:color w:val="auto"/>
                      <w:kern w:val="0"/>
                      <w:sz w:val="21"/>
                      <w:szCs w:val="24"/>
                      <w:highlight w:val="none"/>
                      <w:u w:val="none" w:color="auto"/>
                    </w:rPr>
                    <w:t>L/（</w:t>
                  </w:r>
                  <w:r>
                    <w:rPr>
                      <w:rFonts w:hint="eastAsia" w:ascii="宋体" w:hAnsi="宋体" w:eastAsia="宋体" w:cs="宋体"/>
                      <w:color w:val="auto"/>
                      <w:kern w:val="0"/>
                      <w:sz w:val="21"/>
                      <w:szCs w:val="24"/>
                      <w:highlight w:val="none"/>
                      <w:u w:val="none" w:color="auto"/>
                      <w:lang w:val="en-US" w:eastAsia="zh-CN"/>
                    </w:rPr>
                    <w:t>m</w:t>
                  </w:r>
                  <w:r>
                    <w:rPr>
                      <w:rFonts w:hint="eastAsia" w:ascii="宋体" w:hAnsi="宋体" w:eastAsia="宋体" w:cs="宋体"/>
                      <w:color w:val="auto"/>
                      <w:kern w:val="0"/>
                      <w:sz w:val="21"/>
                      <w:szCs w:val="24"/>
                      <w:highlight w:val="none"/>
                      <w:u w:val="none" w:color="auto"/>
                      <w:vertAlign w:val="superscript"/>
                      <w:lang w:val="en-US" w:eastAsia="zh-CN"/>
                    </w:rPr>
                    <w:t>2</w:t>
                  </w:r>
                  <w:r>
                    <w:rPr>
                      <w:rFonts w:hint="eastAsia" w:ascii="宋体" w:hAnsi="宋体" w:eastAsia="宋体" w:cs="宋体"/>
                      <w:color w:val="auto"/>
                      <w:kern w:val="0"/>
                      <w:sz w:val="21"/>
                      <w:szCs w:val="24"/>
                      <w:highlight w:val="none"/>
                      <w:u w:val="none" w:color="auto"/>
                    </w:rPr>
                    <w:t>·d）</w:t>
                  </w:r>
                </w:p>
              </w:tc>
              <w:tc>
                <w:tcPr>
                  <w:tcW w:w="1484" w:type="dxa"/>
                  <w:vAlign w:val="center"/>
                </w:tcPr>
                <w:p w14:paraId="2FB728CB">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kern w:val="0"/>
                      <w:sz w:val="21"/>
                      <w:szCs w:val="24"/>
                      <w:highlight w:val="none"/>
                      <w:u w:val="none" w:color="auto"/>
                      <w:lang w:val="en-US" w:eastAsia="zh-CN"/>
                    </w:rPr>
                    <w:t>0.4</w:t>
                  </w:r>
                </w:p>
              </w:tc>
              <w:tc>
                <w:tcPr>
                  <w:tcW w:w="2677" w:type="dxa"/>
                  <w:vAlign w:val="center"/>
                </w:tcPr>
                <w:p w14:paraId="5CB12CBB">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rPr>
                  </w:pPr>
                  <w:r>
                    <w:rPr>
                      <w:rFonts w:hint="eastAsia" w:ascii="宋体" w:hAnsi="宋体" w:eastAsia="宋体" w:cs="宋体"/>
                      <w:color w:val="auto"/>
                      <w:kern w:val="0"/>
                      <w:sz w:val="21"/>
                      <w:szCs w:val="24"/>
                      <w:highlight w:val="none"/>
                      <w:u w:val="none" w:color="auto"/>
                      <w:lang w:val="en-US" w:eastAsia="zh-CN"/>
                    </w:rPr>
                    <w:t>0.3</w:t>
                  </w:r>
                  <w:r>
                    <w:rPr>
                      <w:rFonts w:hint="eastAsia" w:ascii="宋体" w:hAnsi="宋体" w:cs="宋体"/>
                      <w:color w:val="auto"/>
                      <w:kern w:val="0"/>
                      <w:sz w:val="21"/>
                      <w:szCs w:val="24"/>
                      <w:highlight w:val="none"/>
                      <w:u w:val="none" w:color="auto"/>
                      <w:lang w:val="en-US" w:eastAsia="zh-CN"/>
                    </w:rPr>
                    <w:t>2</w:t>
                  </w:r>
                </w:p>
              </w:tc>
            </w:tr>
            <w:tr w14:paraId="796F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47" w:type="dxa"/>
                  <w:vAlign w:val="center"/>
                </w:tcPr>
                <w:p w14:paraId="4E5A5686">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bCs/>
                      <w:color w:val="auto"/>
                      <w:sz w:val="21"/>
                      <w:szCs w:val="24"/>
                      <w:highlight w:val="none"/>
                      <w:u w:val="none" w:color="auto"/>
                      <w:lang w:val="en-US" w:eastAsia="zh-CN"/>
                    </w:rPr>
                    <w:t>工作人员</w:t>
                  </w:r>
                </w:p>
              </w:tc>
              <w:tc>
                <w:tcPr>
                  <w:tcW w:w="1390" w:type="dxa"/>
                  <w:vAlign w:val="center"/>
                </w:tcPr>
                <w:p w14:paraId="509735F9">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w:t>
                  </w:r>
                </w:p>
              </w:tc>
              <w:tc>
                <w:tcPr>
                  <w:tcW w:w="747" w:type="dxa"/>
                  <w:vAlign w:val="center"/>
                </w:tcPr>
                <w:p w14:paraId="743433C6">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10</w:t>
                  </w:r>
                </w:p>
              </w:tc>
              <w:tc>
                <w:tcPr>
                  <w:tcW w:w="1416" w:type="dxa"/>
                  <w:vAlign w:val="center"/>
                </w:tcPr>
                <w:p w14:paraId="7AA65E1B">
                  <w:pPr>
                    <w:spacing w:line="240" w:lineRule="atLeast"/>
                    <w:ind w:left="0" w:leftChars="0" w:right="0" w:rightChars="0" w:firstLine="0" w:firstLineChars="0"/>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color w:val="auto"/>
                      <w:kern w:val="0"/>
                      <w:sz w:val="21"/>
                      <w:szCs w:val="24"/>
                      <w:highlight w:val="none"/>
                      <w:u w:val="none" w:color="auto"/>
                    </w:rPr>
                    <w:t>1</w:t>
                  </w:r>
                  <w:r>
                    <w:rPr>
                      <w:rFonts w:hint="eastAsia" w:ascii="宋体" w:hAnsi="宋体" w:eastAsia="宋体" w:cs="宋体"/>
                      <w:color w:val="auto"/>
                      <w:kern w:val="0"/>
                      <w:sz w:val="21"/>
                      <w:szCs w:val="24"/>
                      <w:highlight w:val="none"/>
                      <w:u w:val="none" w:color="auto"/>
                      <w:lang w:val="en-US" w:eastAsia="zh-CN"/>
                    </w:rPr>
                    <w:t>1</w:t>
                  </w:r>
                  <w:r>
                    <w:rPr>
                      <w:rFonts w:hint="eastAsia" w:ascii="宋体" w:hAnsi="宋体" w:eastAsia="宋体" w:cs="宋体"/>
                      <w:color w:val="auto"/>
                      <w:kern w:val="0"/>
                      <w:sz w:val="21"/>
                      <w:szCs w:val="24"/>
                      <w:highlight w:val="none"/>
                      <w:u w:val="none" w:color="auto"/>
                    </w:rPr>
                    <w:t>0L/（人·d）</w:t>
                  </w:r>
                </w:p>
              </w:tc>
              <w:tc>
                <w:tcPr>
                  <w:tcW w:w="1484" w:type="dxa"/>
                  <w:vAlign w:val="center"/>
                </w:tcPr>
                <w:p w14:paraId="5DE0EF2A">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1.1</w:t>
                  </w:r>
                </w:p>
              </w:tc>
              <w:tc>
                <w:tcPr>
                  <w:tcW w:w="2677" w:type="dxa"/>
                  <w:vAlign w:val="center"/>
                </w:tcPr>
                <w:p w14:paraId="69D8DCA4">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0.88</w:t>
                  </w:r>
                </w:p>
              </w:tc>
            </w:tr>
            <w:tr w14:paraId="5CD1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347" w:type="dxa"/>
                  <w:vAlign w:val="center"/>
                </w:tcPr>
                <w:p w14:paraId="7AA361D2">
                  <w:pPr>
                    <w:spacing w:line="240" w:lineRule="atLeast"/>
                    <w:ind w:left="0" w:leftChars="0" w:right="0" w:rightChars="0" w:firstLine="0" w:firstLineChars="0"/>
                    <w:jc w:val="center"/>
                    <w:outlineLvl w:val="9"/>
                    <w:rPr>
                      <w:rFonts w:hint="eastAsia" w:ascii="宋体" w:hAnsi="宋体" w:eastAsia="宋体" w:cs="宋体"/>
                      <w:bCs/>
                      <w:color w:val="auto"/>
                      <w:sz w:val="21"/>
                      <w:szCs w:val="24"/>
                      <w:highlight w:val="none"/>
                      <w:u w:val="none" w:color="auto"/>
                      <w:lang w:val="en-US" w:eastAsia="zh-CN"/>
                    </w:rPr>
                  </w:pPr>
                  <w:r>
                    <w:rPr>
                      <w:rFonts w:hint="eastAsia" w:ascii="宋体" w:hAnsi="宋体" w:eastAsia="宋体" w:cs="宋体"/>
                      <w:bCs/>
                      <w:color w:val="auto"/>
                      <w:sz w:val="21"/>
                      <w:szCs w:val="24"/>
                      <w:highlight w:val="none"/>
                      <w:u w:val="none" w:color="auto"/>
                      <w:lang w:val="en-US" w:eastAsia="zh-CN"/>
                    </w:rPr>
                    <w:t>绿化用水</w:t>
                  </w:r>
                </w:p>
              </w:tc>
              <w:tc>
                <w:tcPr>
                  <w:tcW w:w="1390" w:type="dxa"/>
                  <w:vAlign w:val="center"/>
                </w:tcPr>
                <w:p w14:paraId="4D989999">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22</w:t>
                  </w:r>
                  <w:r>
                    <w:rPr>
                      <w:rFonts w:hint="eastAsia" w:ascii="宋体" w:hAnsi="宋体" w:eastAsia="宋体" w:cs="宋体"/>
                      <w:color w:val="auto"/>
                      <w:sz w:val="21"/>
                      <w:szCs w:val="21"/>
                      <w:highlight w:val="none"/>
                      <w:u w:val="none" w:color="auto"/>
                      <w:lang w:val="en-US" w:eastAsia="zh-CN"/>
                    </w:rPr>
                    <w:t>0</w:t>
                  </w:r>
                </w:p>
              </w:tc>
              <w:tc>
                <w:tcPr>
                  <w:tcW w:w="747" w:type="dxa"/>
                  <w:vAlign w:val="center"/>
                </w:tcPr>
                <w:p w14:paraId="70D175DB">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w:t>
                  </w:r>
                </w:p>
              </w:tc>
              <w:tc>
                <w:tcPr>
                  <w:tcW w:w="1416" w:type="dxa"/>
                  <w:vAlign w:val="center"/>
                </w:tcPr>
                <w:p w14:paraId="789E1F28">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u w:val="none"/>
                    </w:rPr>
                    <w:t>0.003</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m</w:t>
                  </w:r>
                  <w:r>
                    <w:rPr>
                      <w:rFonts w:hint="eastAsia" w:ascii="宋体" w:hAnsi="宋体" w:eastAsia="宋体" w:cs="宋体"/>
                      <w:color w:val="auto"/>
                      <w:sz w:val="21"/>
                      <w:szCs w:val="21"/>
                      <w:u w:val="none"/>
                      <w:vertAlign w:val="superscript"/>
                    </w:rPr>
                    <w:t>3</w:t>
                  </w:r>
                  <w:r>
                    <w:rPr>
                      <w:rFonts w:hint="eastAsia" w:ascii="宋体" w:hAnsi="宋体" w:eastAsia="宋体" w:cs="宋体"/>
                      <w:color w:val="auto"/>
                      <w:sz w:val="21"/>
                      <w:szCs w:val="21"/>
                      <w:u w:val="none"/>
                    </w:rPr>
                    <w:t>/m</w:t>
                  </w:r>
                  <w:r>
                    <w:rPr>
                      <w:rFonts w:hint="eastAsia" w:ascii="宋体" w:hAnsi="宋体" w:eastAsia="宋体" w:cs="宋体"/>
                      <w:color w:val="auto"/>
                      <w:sz w:val="21"/>
                      <w:szCs w:val="21"/>
                      <w:u w:val="none"/>
                      <w:vertAlign w:val="superscript"/>
                    </w:rPr>
                    <w:t>2</w:t>
                  </w:r>
                  <w:r>
                    <w:rPr>
                      <w:rFonts w:hint="eastAsia" w:ascii="宋体" w:hAnsi="宋体" w:eastAsia="宋体" w:cs="宋体"/>
                      <w:color w:val="auto"/>
                      <w:sz w:val="21"/>
                      <w:szCs w:val="21"/>
                      <w:u w:val="none"/>
                    </w:rPr>
                    <w:t>·d</w:t>
                  </w:r>
                  <w:r>
                    <w:rPr>
                      <w:rFonts w:hint="eastAsia" w:ascii="宋体" w:hAnsi="宋体" w:eastAsia="宋体" w:cs="宋体"/>
                      <w:color w:val="auto"/>
                      <w:sz w:val="21"/>
                      <w:szCs w:val="21"/>
                      <w:u w:val="none"/>
                      <w:lang w:eastAsia="zh-CN"/>
                    </w:rPr>
                    <w:t>）</w:t>
                  </w:r>
                </w:p>
              </w:tc>
              <w:tc>
                <w:tcPr>
                  <w:tcW w:w="1484" w:type="dxa"/>
                  <w:vAlign w:val="center"/>
                </w:tcPr>
                <w:p w14:paraId="275F1D1A">
                  <w:pPr>
                    <w:spacing w:line="240" w:lineRule="atLeast"/>
                    <w:ind w:left="0" w:leftChars="0" w:right="0" w:rightChars="0" w:firstLine="0" w:firstLineChars="0"/>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0.66</w:t>
                  </w:r>
                </w:p>
              </w:tc>
              <w:tc>
                <w:tcPr>
                  <w:tcW w:w="2677" w:type="dxa"/>
                  <w:vAlign w:val="center"/>
                </w:tcPr>
                <w:p w14:paraId="09445C77">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0</w:t>
                  </w:r>
                </w:p>
              </w:tc>
            </w:tr>
          </w:tbl>
          <w:p w14:paraId="7465571C">
            <w:pPr>
              <w:pStyle w:val="54"/>
              <w:adjustRightInd w:val="0"/>
              <w:snapToGrid w:val="0"/>
              <w:ind w:left="0" w:leftChars="0" w:firstLine="0" w:firstLineChars="0"/>
              <w:rPr>
                <w:rFonts w:hint="eastAsia" w:ascii="Times New Roman" w:hAnsi="Times New Roman"/>
                <w:color w:val="auto"/>
                <w:spacing w:val="-6"/>
                <w:szCs w:val="24"/>
              </w:rPr>
            </w:pPr>
          </w:p>
          <w:p w14:paraId="552A6C8C">
            <w:pPr>
              <w:pStyle w:val="54"/>
              <w:adjustRightInd w:val="0"/>
              <w:snapToGrid w:val="0"/>
              <w:ind w:left="0" w:leftChars="0" w:firstLine="0" w:firstLineChars="0"/>
              <w:rPr>
                <w:rFonts w:hint="eastAsia" w:ascii="Times New Roman" w:hAnsi="Times New Roman"/>
                <w:bCs/>
                <w:color w:val="auto"/>
                <w:szCs w:val="24"/>
              </w:rPr>
            </w:pPr>
            <w:r>
              <w:rPr>
                <w:rFonts w:ascii="Times New Roman" w:hAnsi="Times New Roman"/>
                <w:color w:val="auto"/>
                <w:sz w:val="24"/>
              </w:rPr>
              <mc:AlternateContent>
                <mc:Choice Requires="wps">
                  <w:drawing>
                    <wp:anchor distT="0" distB="0" distL="114300" distR="114300" simplePos="0" relativeHeight="251689984" behindDoc="0" locked="0" layoutInCell="1" allowOverlap="1">
                      <wp:simplePos x="0" y="0"/>
                      <wp:positionH relativeFrom="column">
                        <wp:posOffset>1962785</wp:posOffset>
                      </wp:positionH>
                      <wp:positionV relativeFrom="paragraph">
                        <wp:posOffset>82550</wp:posOffset>
                      </wp:positionV>
                      <wp:extent cx="541655" cy="29527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541655" cy="295275"/>
                              </a:xfrm>
                              <a:prstGeom prst="rect">
                                <a:avLst/>
                              </a:prstGeom>
                              <a:noFill/>
                              <a:ln w="9525">
                                <a:noFill/>
                              </a:ln>
                            </wps:spPr>
                            <wps:txbx>
                              <w:txbxContent>
                                <w:p w14:paraId="528DA646">
                                  <w:pPr>
                                    <w:rPr>
                                      <w:rFonts w:hint="eastAsia" w:eastAsia="宋体"/>
                                      <w:lang w:val="en-US" w:eastAsia="zh-CN"/>
                                    </w:rPr>
                                  </w:pPr>
                                  <w:r>
                                    <w:rPr>
                                      <w:rFonts w:hint="eastAsia"/>
                                      <w:lang w:val="en-US" w:eastAsia="zh-CN"/>
                                    </w:rPr>
                                    <w:t>0.22</w:t>
                                  </w:r>
                                </w:p>
                              </w:txbxContent>
                            </wps:txbx>
                            <wps:bodyPr lIns="91439" tIns="45719" rIns="91439" bIns="45719" upright="1"/>
                          </wps:wsp>
                        </a:graphicData>
                      </a:graphic>
                    </wp:anchor>
                  </w:drawing>
                </mc:Choice>
                <mc:Fallback>
                  <w:pict>
                    <v:shape id="_x0000_s1026" o:spid="_x0000_s1026" o:spt="202" type="#_x0000_t202" style="position:absolute;left:0pt;margin-left:154.55pt;margin-top:6.5pt;height:23.25pt;width:42.65pt;z-index:251689984;mso-width-relative:page;mso-height-relative:page;" filled="f" stroked="f" coordsize="21600,21600" o:gfxdata="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&#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dM1S3XAAAACQEAAA8AAAAAAAAAAQAgAAAAIgAAAGRy&#10;cy9kb3ducmV2LnhtbFBLAQIUABQAAAAIAIdO4kALEIOIzQEAAIwDAAAOAAAAAAAAAAEAIAAAACYB&#10;AABkcnMvZTJvRG9jLnhtbFBLBQYAAAAABgAGAFkBAABlBQAAAAA=&#10;">
                      <v:fill on="f" focussize="0,0"/>
                      <v:stroke on="f"/>
                      <v:imagedata o:title=""/>
                      <o:lock v:ext="edit" aspectratio="f"/>
                      <v:textbox inset="7.19992125984252pt,3.59992125984252pt,7.19992125984252pt,3.59992125984252pt">
                        <w:txbxContent>
                          <w:p w14:paraId="528DA646">
                            <w:pPr>
                              <w:rPr>
                                <w:rFonts w:hint="eastAsia" w:eastAsia="宋体"/>
                                <w:lang w:val="en-US" w:eastAsia="zh-CN"/>
                              </w:rPr>
                            </w:pPr>
                            <w:r>
                              <w:rPr>
                                <w:rFonts w:hint="eastAsia"/>
                                <w:lang w:val="en-US" w:eastAsia="zh-CN"/>
                              </w:rPr>
                              <w:t>0.22</w:t>
                            </w:r>
                          </w:p>
                        </w:txbxContent>
                      </v:textbox>
                    </v:shape>
                  </w:pict>
                </mc:Fallback>
              </mc:AlternateContent>
            </w:r>
            <w:r>
              <w:rPr>
                <w:rFonts w:hint="eastAsia" w:ascii="Times New Roman" w:hAnsi="Times New Roman"/>
                <w:color w:val="auto"/>
                <w:spacing w:val="-6"/>
                <w:szCs w:val="24"/>
              </w:rPr>
              <w:t>本</w:t>
            </w:r>
            <w:r>
              <w:rPr>
                <w:rFonts w:hint="eastAsia" w:ascii="Times New Roman" w:hAnsi="Times New Roman"/>
                <w:color w:val="auto"/>
                <w:szCs w:val="24"/>
              </w:rPr>
              <w:t>项目</w:t>
            </w:r>
            <w:r>
              <w:rPr>
                <w:rFonts w:hint="eastAsia" w:ascii="Times New Roman" w:hAnsi="Times New Roman"/>
                <w:bCs/>
                <w:color w:val="auto"/>
                <w:szCs w:val="24"/>
              </w:rPr>
              <w:t>水平衡图见图5-</w:t>
            </w:r>
            <w:r>
              <w:rPr>
                <w:rFonts w:hint="eastAsia" w:ascii="Times New Roman" w:hAnsi="Times New Roman"/>
                <w:bCs/>
                <w:color w:val="auto"/>
                <w:szCs w:val="24"/>
                <w:lang w:val="en-US" w:eastAsia="zh-CN"/>
              </w:rPr>
              <w:t>3</w:t>
            </w:r>
            <w:r>
              <w:rPr>
                <w:rFonts w:hint="eastAsia" w:ascii="Times New Roman" w:hAnsi="Times New Roman"/>
                <w:bCs/>
                <w:color w:val="auto"/>
                <w:szCs w:val="24"/>
              </w:rPr>
              <w:t>。</w:t>
            </w:r>
          </w:p>
          <w:p w14:paraId="7D8E4817">
            <w:pPr>
              <w:pStyle w:val="54"/>
              <w:adjustRightInd w:val="0"/>
              <w:snapToGrid w:val="0"/>
              <w:rPr>
                <w:rFonts w:hint="eastAsia" w:ascii="Times New Roman" w:hAnsi="Times New Roman"/>
                <w:bCs/>
                <w:color w:val="auto"/>
                <w:szCs w:val="24"/>
              </w:rPr>
            </w:pPr>
            <w:r>
              <w:rPr>
                <w:rFonts w:ascii="Times New Roman" w:hAnsi="Times New Roman"/>
                <w:color w:val="auto"/>
                <w:sz w:val="24"/>
              </w:rPr>
              <mc:AlternateContent>
                <mc:Choice Requires="wps">
                  <w:drawing>
                    <wp:anchor distT="0" distB="0" distL="114300" distR="114300" simplePos="0" relativeHeight="251684864" behindDoc="0" locked="0" layoutInCell="1" allowOverlap="1">
                      <wp:simplePos x="0" y="0"/>
                      <wp:positionH relativeFrom="column">
                        <wp:posOffset>1182370</wp:posOffset>
                      </wp:positionH>
                      <wp:positionV relativeFrom="paragraph">
                        <wp:posOffset>186690</wp:posOffset>
                      </wp:positionV>
                      <wp:extent cx="417830" cy="29527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417830" cy="295275"/>
                              </a:xfrm>
                              <a:prstGeom prst="rect">
                                <a:avLst/>
                              </a:prstGeom>
                              <a:noFill/>
                              <a:ln w="9525">
                                <a:noFill/>
                              </a:ln>
                            </wps:spPr>
                            <wps:txbx>
                              <w:txbxContent>
                                <w:p w14:paraId="4FA0641B">
                                  <w:pPr>
                                    <w:rPr>
                                      <w:rFonts w:hint="eastAsia" w:eastAsia="宋体"/>
                                      <w:lang w:val="en-US" w:eastAsia="zh-CN"/>
                                    </w:rPr>
                                  </w:pPr>
                                  <w:r>
                                    <w:rPr>
                                      <w:rFonts w:hint="eastAsia" w:eastAsia="宋体"/>
                                      <w:lang w:val="en-US" w:eastAsia="zh-CN"/>
                                    </w:rPr>
                                    <w:t>1.1</w:t>
                                  </w:r>
                                </w:p>
                              </w:txbxContent>
                            </wps:txbx>
                            <wps:bodyPr lIns="91439" tIns="45719" rIns="91439" bIns="45719" upright="1"/>
                          </wps:wsp>
                        </a:graphicData>
                      </a:graphic>
                    </wp:anchor>
                  </w:drawing>
                </mc:Choice>
                <mc:Fallback>
                  <w:pict>
                    <v:shape id="_x0000_s1026" o:spid="_x0000_s1026" o:spt="202" type="#_x0000_t202" style="position:absolute;left:0pt;margin-left:93.1pt;margin-top:14.7pt;height:23.25pt;width:32.9pt;z-index:251684864;mso-width-relative:page;mso-height-relative:page;" filled="f" stroked="f" coordsize="21600,21600" o:gfxdata="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JaMDNcAAAAJAQAADwAAAAAAAAABACAAAAAiAAAAZHJz&#10;L2Rvd25yZXYueG1sUEsBAhQAFAAAAAgAh07iQAH3s5DMAQAAjAMAAA4AAAAAAAAAAQAgAAAAJgEA&#10;AGRycy9lMm9Eb2MueG1sUEsFBgAAAAAGAAYAWQEAAGQFAAAAAA==&#10;">
                      <v:fill on="f" focussize="0,0"/>
                      <v:stroke on="f"/>
                      <v:imagedata o:title=""/>
                      <o:lock v:ext="edit" aspectratio="f"/>
                      <v:textbox inset="7.19992125984252pt,3.59992125984252pt,7.19992125984252pt,3.59992125984252pt">
                        <w:txbxContent>
                          <w:p w14:paraId="4FA0641B">
                            <w:pPr>
                              <w:rPr>
                                <w:rFonts w:hint="eastAsia" w:eastAsia="宋体"/>
                                <w:lang w:val="en-US" w:eastAsia="zh-CN"/>
                              </w:rPr>
                            </w:pPr>
                            <w:r>
                              <w:rPr>
                                <w:rFonts w:hint="eastAsia" w:eastAsia="宋体"/>
                                <w:lang w:val="en-US" w:eastAsia="zh-CN"/>
                              </w:rPr>
                              <w:t>1.1</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88960" behindDoc="0" locked="0" layoutInCell="1" allowOverlap="1">
                      <wp:simplePos x="0" y="0"/>
                      <wp:positionH relativeFrom="column">
                        <wp:posOffset>1960880</wp:posOffset>
                      </wp:positionH>
                      <wp:positionV relativeFrom="paragraph">
                        <wp:posOffset>180975</wp:posOffset>
                      </wp:positionV>
                      <wp:extent cx="257175" cy="133350"/>
                      <wp:effectExtent l="0" t="22860" r="9525" b="15240"/>
                      <wp:wrapNone/>
                      <wp:docPr id="55" name="曲线连接符 55"/>
                      <wp:cNvGraphicFramePr/>
                      <a:graphic xmlns:a="http://schemas.openxmlformats.org/drawingml/2006/main">
                        <a:graphicData uri="http://schemas.microsoft.com/office/word/2010/wordprocessingShape">
                          <wps:wsp>
                            <wps:cNvCnPr>
                              <a:stCxn id="34" idx="0"/>
                            </wps:cNvCnPr>
                            <wps:spPr>
                              <a:xfrm flipV="1">
                                <a:off x="0" y="0"/>
                                <a:ext cx="257175" cy="133350"/>
                              </a:xfrm>
                              <a:prstGeom prst="curvedConnector3">
                                <a:avLst>
                                  <a:gd name="adj1" fmla="val 50125"/>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flip:y;margin-left:154.4pt;margin-top:14.25pt;height:10.5pt;width:20.25pt;z-index:251688960;mso-width-relative:page;mso-height-relative:page;" filled="f" stroked="t" coordsize="21600,21600" o:gfxdata="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otVPvaAAAACQEAAA8AAAAAAAAAAQAgAAAAIgAAAGRycy9kb3ducmV2&#10;LnhtbFBLAQIUABQAAAAIAIdO4kBXext2MwIAAEwEAAAOAAAAAAAAAAEAIAAAACkBAABkcnMvZTJv&#10;RG9jLnhtbFBLBQYAAAAABgAGAFkBAADOBQAAAAA=&#10;" adj="10827">
                      <v:fill on="f" focussize="0,0"/>
                      <v:stroke color="#000000" joinstyle="round" endarrow="block"/>
                      <v:imagedata o:title=""/>
                      <o:lock v:ext="edit" aspectratio="f"/>
                    </v:shape>
                  </w:pict>
                </mc:Fallback>
              </mc:AlternateContent>
            </w:r>
            <w:r>
              <w:rPr>
                <w:rFonts w:ascii="Times New Roman" w:hAnsi="Times New Roman"/>
                <w:color w:val="auto"/>
                <w:sz w:val="24"/>
              </w:rPr>
              <mc:AlternateContent>
                <mc:Choice Requires="wps">
                  <w:drawing>
                    <wp:anchor distT="0" distB="0" distL="114300" distR="114300" simplePos="0" relativeHeight="251685888" behindDoc="0" locked="0" layoutInCell="1" allowOverlap="1">
                      <wp:simplePos x="0" y="0"/>
                      <wp:positionH relativeFrom="column">
                        <wp:posOffset>2439035</wp:posOffset>
                      </wp:positionH>
                      <wp:positionV relativeFrom="paragraph">
                        <wp:posOffset>233680</wp:posOffset>
                      </wp:positionV>
                      <wp:extent cx="655320" cy="29527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655320" cy="295275"/>
                              </a:xfrm>
                              <a:prstGeom prst="rect">
                                <a:avLst/>
                              </a:prstGeom>
                              <a:noFill/>
                              <a:ln w="9525">
                                <a:noFill/>
                              </a:ln>
                            </wps:spPr>
                            <wps:txbx>
                              <w:txbxContent>
                                <w:p w14:paraId="6B3F98F4">
                                  <w:pPr>
                                    <w:rPr>
                                      <w:rFonts w:hint="eastAsia" w:eastAsia="宋体"/>
                                      <w:lang w:val="en-US" w:eastAsia="zh-CN"/>
                                    </w:rPr>
                                  </w:pPr>
                                  <w:r>
                                    <w:rPr>
                                      <w:rFonts w:hint="eastAsia" w:eastAsia="宋体"/>
                                      <w:lang w:val="en-US" w:eastAsia="zh-CN"/>
                                    </w:rPr>
                                    <w:t>0.88</w:t>
                                  </w:r>
                                </w:p>
                              </w:txbxContent>
                            </wps:txbx>
                            <wps:bodyPr lIns="91439" tIns="45719" rIns="91439" bIns="45719" upright="1"/>
                          </wps:wsp>
                        </a:graphicData>
                      </a:graphic>
                    </wp:anchor>
                  </w:drawing>
                </mc:Choice>
                <mc:Fallback>
                  <w:pict>
                    <v:shape id="_x0000_s1026" o:spid="_x0000_s1026" o:spt="202" type="#_x0000_t202" style="position:absolute;left:0pt;margin-left:192.05pt;margin-top:18.4pt;height:23.25pt;width:51.6pt;z-index:251685888;mso-width-relative:page;mso-height-relative:page;" filled="f" stroked="f" coordsize="21600,21600" o:gfxdata="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&#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V5UD2AAAAAkBAAAPAAAAAAAAAAEAIAAAACIAAABk&#10;cnMvZG93bnJldi54bWxQSwECFAAUAAAACACHTuJAzeonKs0BAACMAwAADgAAAAAAAAABACAAAAAn&#10;AQAAZHJzL2Uyb0RvYy54bWxQSwUGAAAAAAYABgBZAQAAZgUAAAAA&#10;">
                      <v:fill on="f" focussize="0,0"/>
                      <v:stroke on="f"/>
                      <v:imagedata o:title=""/>
                      <o:lock v:ext="edit" aspectratio="f"/>
                      <v:textbox inset="7.19992125984252pt,3.59992125984252pt,7.19992125984252pt,3.59992125984252pt">
                        <w:txbxContent>
                          <w:p w14:paraId="6B3F98F4">
                            <w:pPr>
                              <w:rPr>
                                <w:rFonts w:hint="eastAsia" w:eastAsia="宋体"/>
                                <w:lang w:val="en-US" w:eastAsia="zh-CN"/>
                              </w:rPr>
                            </w:pPr>
                            <w:r>
                              <w:rPr>
                                <w:rFonts w:hint="eastAsia" w:eastAsia="宋体"/>
                                <w:lang w:val="en-US" w:eastAsia="zh-CN"/>
                              </w:rPr>
                              <w:t>0.88</w:t>
                            </w:r>
                          </w:p>
                        </w:txbxContent>
                      </v:textbox>
                    </v:shape>
                  </w:pict>
                </mc:Fallback>
              </mc:AlternateContent>
            </w:r>
          </w:p>
          <w:p w14:paraId="6C01DE82">
            <w:pPr>
              <w:pStyle w:val="54"/>
              <w:adjustRightInd w:val="0"/>
              <w:snapToGrid w:val="0"/>
              <w:rPr>
                <w:rFonts w:hint="eastAsia" w:ascii="Times New Roman" w:hAnsi="Times New Roman"/>
                <w:bCs/>
                <w:color w:val="auto"/>
                <w:szCs w:val="24"/>
              </w:rPr>
            </w:pPr>
            <w:r>
              <w:rPr>
                <w:rFonts w:ascii="Times New Roman" w:hAnsi="Times New Roman"/>
                <w:color w:val="auto"/>
                <w:sz w:val="24"/>
              </w:rPr>
              <mc:AlternateContent>
                <mc:Choice Requires="wps">
                  <w:drawing>
                    <wp:anchor distT="0" distB="0" distL="114300" distR="114300" simplePos="0" relativeHeight="251678720" behindDoc="0" locked="0" layoutInCell="1" allowOverlap="1">
                      <wp:simplePos x="0" y="0"/>
                      <wp:positionH relativeFrom="column">
                        <wp:posOffset>1066165</wp:posOffset>
                      </wp:positionH>
                      <wp:positionV relativeFrom="paragraph">
                        <wp:posOffset>142875</wp:posOffset>
                      </wp:positionV>
                      <wp:extent cx="18415" cy="1258570"/>
                      <wp:effectExtent l="6350" t="0" r="13335" b="17780"/>
                      <wp:wrapNone/>
                      <wp:docPr id="57" name="直接连接符 57"/>
                      <wp:cNvGraphicFramePr/>
                      <a:graphic xmlns:a="http://schemas.openxmlformats.org/drawingml/2006/main">
                        <a:graphicData uri="http://schemas.microsoft.com/office/word/2010/wordprocessingShape">
                          <wps:wsp>
                            <wps:cNvCnPr/>
                            <wps:spPr>
                              <a:xfrm flipH="1">
                                <a:off x="0" y="0"/>
                                <a:ext cx="18415" cy="125857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83.95pt;margin-top:11.25pt;height:99.1pt;width:1.45pt;z-index:251678720;mso-width-relative:page;mso-height-relative:page;" filled="f" stroked="t" coordsize="21600,21600" o:gfxdata="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vnEs2AAAAAoBAAAPAAAAAAAAAAEAIAAAACIAAABkcnMv&#10;ZG93bnJldi54bWxQSwECFAAUAAAACACHTuJAKI1wxwMCAAD1AwAADgAAAAAAAAABACAAAAAnAQAA&#10;ZHJzL2Uyb0RvYy54bWxQSwUGAAAAAAYABgBZAQAAnAUAAAAA&#10;">
                      <v:fill on="f" focussize="0,0"/>
                      <v:stroke weight="1pt" color="#000000" joinstyle="round"/>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691008" behindDoc="0" locked="0" layoutInCell="1" allowOverlap="1">
                      <wp:simplePos x="0" y="0"/>
                      <wp:positionH relativeFrom="column">
                        <wp:posOffset>3889375</wp:posOffset>
                      </wp:positionH>
                      <wp:positionV relativeFrom="paragraph">
                        <wp:posOffset>126365</wp:posOffset>
                      </wp:positionV>
                      <wp:extent cx="1062990" cy="295275"/>
                      <wp:effectExtent l="5080" t="4445" r="17780" b="5080"/>
                      <wp:wrapNone/>
                      <wp:docPr id="58" name="文本框 58"/>
                      <wp:cNvGraphicFramePr/>
                      <a:graphic xmlns:a="http://schemas.openxmlformats.org/drawingml/2006/main">
                        <a:graphicData uri="http://schemas.microsoft.com/office/word/2010/wordprocessingShape">
                          <wps:wsp>
                            <wps:cNvSpPr txBox="1"/>
                            <wps:spPr>
                              <a:xfrm>
                                <a:off x="0" y="0"/>
                                <a:ext cx="106299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1EA798">
                                  <w:pPr>
                                    <w:jc w:val="center"/>
                                    <w:rPr>
                                      <w:rFonts w:hint="eastAsia" w:eastAsia="宋体"/>
                                      <w:sz w:val="21"/>
                                      <w:szCs w:val="21"/>
                                      <w:lang w:eastAsia="zh-CN"/>
                                    </w:rPr>
                                  </w:pPr>
                                  <w:r>
                                    <w:rPr>
                                      <w:rFonts w:hint="eastAsia"/>
                                      <w:spacing w:val="-6"/>
                                      <w:sz w:val="21"/>
                                      <w:szCs w:val="21"/>
                                      <w:lang w:eastAsia="zh-CN"/>
                                    </w:rPr>
                                    <w:t>周边农田农肥</w:t>
                                  </w:r>
                                </w:p>
                              </w:txbxContent>
                            </wps:txbx>
                            <wps:bodyPr upright="1"/>
                          </wps:wsp>
                        </a:graphicData>
                      </a:graphic>
                    </wp:anchor>
                  </w:drawing>
                </mc:Choice>
                <mc:Fallback>
                  <w:pict>
                    <v:shape id="_x0000_s1026" o:spid="_x0000_s1026" o:spt="202" type="#_x0000_t202" style="position:absolute;left:0pt;margin-left:306.25pt;margin-top:9.95pt;height:23.25pt;width:83.7pt;z-index:251691008;mso-width-relative:page;mso-height-relative:page;" fillcolor="#FFFFFF" filled="t" stroked="t" coordsize="21600,21600" o:gfxdata="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HHiv1wAAAAkBAAAPAAAAAAAAAAEAIAAAACIA&#10;AABkcnMvZG93bnJldi54bWxQSwECFAAUAAAACACHTuJAiK3aggoCAAA4BAAADgAAAAAAAAABACAA&#10;AAAmAQAAZHJzL2Uyb0RvYy54bWxQSwUGAAAAAAYABgBZAQAAogUAAAAA&#10;">
                      <v:fill on="t" focussize="0,0"/>
                      <v:stroke color="#000000" joinstyle="miter"/>
                      <v:imagedata o:title=""/>
                      <o:lock v:ext="edit" aspectratio="f"/>
                      <v:textbox>
                        <w:txbxContent>
                          <w:p w14:paraId="761EA798">
                            <w:pPr>
                              <w:jc w:val="center"/>
                              <w:rPr>
                                <w:rFonts w:hint="eastAsia" w:eastAsia="宋体"/>
                                <w:sz w:val="21"/>
                                <w:szCs w:val="21"/>
                                <w:lang w:eastAsia="zh-CN"/>
                              </w:rPr>
                            </w:pPr>
                            <w:r>
                              <w:rPr>
                                <w:rFonts w:hint="eastAsia"/>
                                <w:spacing w:val="-6"/>
                                <w:sz w:val="21"/>
                                <w:szCs w:val="21"/>
                                <w:lang w:eastAsia="zh-CN"/>
                              </w:rPr>
                              <w:t>周边农田农肥</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87936" behindDoc="0" locked="0" layoutInCell="1" allowOverlap="1">
                      <wp:simplePos x="0" y="0"/>
                      <wp:positionH relativeFrom="column">
                        <wp:posOffset>3534410</wp:posOffset>
                      </wp:positionH>
                      <wp:positionV relativeFrom="paragraph">
                        <wp:posOffset>18415</wp:posOffset>
                      </wp:positionV>
                      <wp:extent cx="655320" cy="29527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655320" cy="295275"/>
                              </a:xfrm>
                              <a:prstGeom prst="rect">
                                <a:avLst/>
                              </a:prstGeom>
                              <a:noFill/>
                              <a:ln w="9525">
                                <a:noFill/>
                              </a:ln>
                            </wps:spPr>
                            <wps:txbx>
                              <w:txbxContent>
                                <w:p w14:paraId="7B6DB531">
                                  <w:pPr>
                                    <w:rPr>
                                      <w:rFonts w:hint="eastAsia" w:eastAsia="宋体"/>
                                      <w:lang w:val="en-US" w:eastAsia="zh-CN"/>
                                    </w:rPr>
                                  </w:pPr>
                                  <w:r>
                                    <w:rPr>
                                      <w:rFonts w:hint="eastAsia"/>
                                      <w:lang w:val="en-US" w:eastAsia="zh-CN"/>
                                    </w:rPr>
                                    <w:t>1.2</w:t>
                                  </w:r>
                                </w:p>
                              </w:txbxContent>
                            </wps:txbx>
                            <wps:bodyPr lIns="91439" tIns="45719" rIns="91439" bIns="45719" upright="1"/>
                          </wps:wsp>
                        </a:graphicData>
                      </a:graphic>
                    </wp:anchor>
                  </w:drawing>
                </mc:Choice>
                <mc:Fallback>
                  <w:pict>
                    <v:shape id="_x0000_s1026" o:spid="_x0000_s1026" o:spt="202" type="#_x0000_t202" style="position:absolute;left:0pt;margin-left:278.3pt;margin-top:1.45pt;height:23.25pt;width:51.6pt;z-index:251687936;mso-width-relative:page;mso-height-relative:page;" filled="f" stroked="f" coordsize="21600,21600" o:gfxdata="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q1WZtcAAAAIAQAADwAAAAAAAAABACAAAAAiAAAAZHJz&#10;L2Rvd25yZXYueG1sUEsBAhQAFAAAAAgAh07iQOdaTkLMAQAAjAMAAA4AAAAAAAAAAQAgAAAAJgEA&#10;AGRycy9lMm9Eb2MueG1sUEsFBgAAAAAGAAYAWQEAAGQFAAAAAA==&#10;">
                      <v:fill on="f" focussize="0,0"/>
                      <v:stroke on="f"/>
                      <v:imagedata o:title=""/>
                      <o:lock v:ext="edit" aspectratio="f"/>
                      <v:textbox inset="7.19992125984252pt,3.59992125984252pt,7.19992125984252pt,3.59992125984252pt">
                        <w:txbxContent>
                          <w:p w14:paraId="7B6DB531">
                            <w:pPr>
                              <w:rPr>
                                <w:rFonts w:hint="eastAsia" w:eastAsia="宋体"/>
                                <w:lang w:val="en-US" w:eastAsia="zh-CN"/>
                              </w:rPr>
                            </w:pPr>
                            <w:r>
                              <w:rPr>
                                <w:rFonts w:hint="eastAsia"/>
                                <w:lang w:val="en-US" w:eastAsia="zh-CN"/>
                              </w:rPr>
                              <w:t>1.2</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81792" behindDoc="0" locked="0" layoutInCell="1" allowOverlap="1">
                      <wp:simplePos x="0" y="0"/>
                      <wp:positionH relativeFrom="column">
                        <wp:posOffset>3493135</wp:posOffset>
                      </wp:positionH>
                      <wp:positionV relativeFrom="paragraph">
                        <wp:posOffset>257175</wp:posOffset>
                      </wp:positionV>
                      <wp:extent cx="391160" cy="3810"/>
                      <wp:effectExtent l="0" t="37465" r="8890" b="34925"/>
                      <wp:wrapNone/>
                      <wp:docPr id="60" name="直接连接符 60"/>
                      <wp:cNvGraphicFramePr/>
                      <a:graphic xmlns:a="http://schemas.openxmlformats.org/drawingml/2006/main">
                        <a:graphicData uri="http://schemas.microsoft.com/office/word/2010/wordprocessingShape">
                          <wps:wsp>
                            <wps:cNvCnPr/>
                            <wps:spPr>
                              <a:xfrm flipV="1">
                                <a:off x="0" y="0"/>
                                <a:ext cx="391160" cy="381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5.05pt;margin-top:20.25pt;height:0.3pt;width:30.8pt;z-index:251681792;mso-width-relative:page;mso-height-relative:page;" filled="f" stroked="t" coordsize="21600,21600" o:gfxdata="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WXQL2AAAAAkBAAAPAAAAAAAAAAEAIAAAACIAAABk&#10;cnMvZG93bnJldi54bWxQSwECFAAUAAAACACHTuJAzjvRsAYCAAD3AwAADgAAAAAAAAABACAAAAAn&#10;AQAAZHJzL2Uyb0RvYy54bWxQSwUGAAAAAAYABgBZAQAAnwUAAAAA&#10;">
                      <v:fill on="f" focussize="0,0"/>
                      <v:stroke weight="1pt" color="#000000" joinstyle="round" endarrow="block"/>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683840" behindDoc="0" locked="0" layoutInCell="1" allowOverlap="1">
                      <wp:simplePos x="0" y="0"/>
                      <wp:positionH relativeFrom="column">
                        <wp:posOffset>2868295</wp:posOffset>
                      </wp:positionH>
                      <wp:positionV relativeFrom="paragraph">
                        <wp:posOffset>85725</wp:posOffset>
                      </wp:positionV>
                      <wp:extent cx="607060" cy="295275"/>
                      <wp:effectExtent l="4445" t="4445" r="17145" b="5080"/>
                      <wp:wrapNone/>
                      <wp:docPr id="61" name="文本框 61"/>
                      <wp:cNvGraphicFramePr/>
                      <a:graphic xmlns:a="http://schemas.openxmlformats.org/drawingml/2006/main">
                        <a:graphicData uri="http://schemas.microsoft.com/office/word/2010/wordprocessingShape">
                          <wps:wsp>
                            <wps:cNvSpPr txBox="1"/>
                            <wps:spPr>
                              <a:xfrm>
                                <a:off x="0" y="0"/>
                                <a:ext cx="60706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C09F94">
                                  <w:pPr>
                                    <w:jc w:val="center"/>
                                    <w:rPr>
                                      <w:rFonts w:hint="eastAsia" w:eastAsia="宋体"/>
                                      <w:lang w:val="en-US" w:eastAsia="zh-CN"/>
                                    </w:rPr>
                                  </w:pPr>
                                  <w:r>
                                    <w:rPr>
                                      <w:rFonts w:hint="eastAsia" w:eastAsia="宋体"/>
                                      <w:lang w:val="en-US" w:eastAsia="zh-CN"/>
                                    </w:rPr>
                                    <w:t>化粪池</w:t>
                                  </w:r>
                                </w:p>
                              </w:txbxContent>
                            </wps:txbx>
                            <wps:bodyPr upright="1"/>
                          </wps:wsp>
                        </a:graphicData>
                      </a:graphic>
                    </wp:anchor>
                  </w:drawing>
                </mc:Choice>
                <mc:Fallback>
                  <w:pict>
                    <v:shape id="_x0000_s1026" o:spid="_x0000_s1026" o:spt="202" type="#_x0000_t202" style="position:absolute;left:0pt;margin-left:225.85pt;margin-top:6.75pt;height:23.25pt;width:47.8pt;z-index:251683840;mso-width-relative:page;mso-height-relative:page;" fillcolor="#FFFFFF" filled="t" stroked="t" coordsize="21600,21600" o:gfxdata="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juK29gAAAAJAQAADwAAAAAAAAABACAAAAAi&#10;AAAAZHJzL2Rvd25yZXYueG1sUEsBAhQAFAAAAAgAh07iQJydOSEKAgAANwQAAA4AAAAAAAAAAQAg&#10;AAAAJwEAAGRycy9lMm9Eb2MueG1sUEsFBgAAAAAGAAYAWQEAAKMFAAAAAA==&#10;">
                      <v:fill on="t" focussize="0,0"/>
                      <v:stroke color="#000000" joinstyle="miter"/>
                      <v:imagedata o:title=""/>
                      <o:lock v:ext="edit" aspectratio="f"/>
                      <v:textbox>
                        <w:txbxContent>
                          <w:p w14:paraId="71C09F94">
                            <w:pPr>
                              <w:jc w:val="center"/>
                              <w:rPr>
                                <w:rFonts w:hint="eastAsia" w:eastAsia="宋体"/>
                                <w:lang w:val="en-US" w:eastAsia="zh-CN"/>
                              </w:rPr>
                            </w:pPr>
                            <w:r>
                              <w:rPr>
                                <w:rFonts w:hint="eastAsia" w:eastAsia="宋体"/>
                                <w:lang w:val="en-US" w:eastAsia="zh-CN"/>
                              </w:rPr>
                              <w:t>化粪池</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80768" behindDoc="0" locked="0" layoutInCell="1" allowOverlap="1">
                      <wp:simplePos x="0" y="0"/>
                      <wp:positionH relativeFrom="column">
                        <wp:posOffset>2408555</wp:posOffset>
                      </wp:positionH>
                      <wp:positionV relativeFrom="paragraph">
                        <wp:posOffset>228600</wp:posOffset>
                      </wp:positionV>
                      <wp:extent cx="438150" cy="635"/>
                      <wp:effectExtent l="0" t="37465" r="0" b="38100"/>
                      <wp:wrapNone/>
                      <wp:docPr id="62" name="直接连接符 62"/>
                      <wp:cNvGraphicFramePr/>
                      <a:graphic xmlns:a="http://schemas.openxmlformats.org/drawingml/2006/main">
                        <a:graphicData uri="http://schemas.microsoft.com/office/word/2010/wordprocessingShape">
                          <wps:wsp>
                            <wps:cNvCnPr/>
                            <wps:spPr>
                              <a:xfrm>
                                <a:off x="0" y="0"/>
                                <a:ext cx="438150" cy="63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65pt;margin-top:18pt;height:0.05pt;width:34.5pt;z-index:251680768;mso-width-relative:page;mso-height-relative:page;" filled="f" stroked="t" coordsize="21600,21600" o:gfxdata="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nGCJdYAAAAJAQAADwAAAAAAAAABACAAAAAiAAAAZHJzL2Rvd25yZXYu&#10;eG1sUEsBAhQAFAAAAAgAh07iQPHl+W39AQAA7AMAAA4AAAAAAAAAAQAgAAAAJQEAAGRycy9lMm9E&#10;b2MueG1sUEsFBgAAAAAGAAYAWQEAAJQFAAAAAA==&#10;">
                      <v:fill on="f" focussize="0,0"/>
                      <v:stroke weight="1pt" color="#000000" joinstyle="round" endarrow="block"/>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675648" behindDoc="0" locked="0" layoutInCell="1" allowOverlap="1">
                      <wp:simplePos x="0" y="0"/>
                      <wp:positionH relativeFrom="column">
                        <wp:posOffset>1686560</wp:posOffset>
                      </wp:positionH>
                      <wp:positionV relativeFrom="paragraph">
                        <wp:posOffset>55880</wp:posOffset>
                      </wp:positionV>
                      <wp:extent cx="732155" cy="295275"/>
                      <wp:effectExtent l="4445" t="4445" r="6350" b="5080"/>
                      <wp:wrapNone/>
                      <wp:docPr id="63" name="文本框 63"/>
                      <wp:cNvGraphicFramePr/>
                      <a:graphic xmlns:a="http://schemas.openxmlformats.org/drawingml/2006/main">
                        <a:graphicData uri="http://schemas.microsoft.com/office/word/2010/wordprocessingShape">
                          <wps:wsp>
                            <wps:cNvSpPr txBox="1"/>
                            <wps:spPr>
                              <a:xfrm>
                                <a:off x="0" y="0"/>
                                <a:ext cx="73215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206712">
                                  <w:pPr>
                                    <w:rPr>
                                      <w:rFonts w:hint="eastAsia" w:eastAsia="宋体"/>
                                      <w:lang w:eastAsia="zh-CN"/>
                                    </w:rPr>
                                  </w:pPr>
                                  <w:r>
                                    <w:rPr>
                                      <w:rFonts w:hint="eastAsia"/>
                                      <w:lang w:eastAsia="zh-CN"/>
                                    </w:rPr>
                                    <w:t>生活用水</w:t>
                                  </w:r>
                                </w:p>
                              </w:txbxContent>
                            </wps:txbx>
                            <wps:bodyPr upright="1"/>
                          </wps:wsp>
                        </a:graphicData>
                      </a:graphic>
                    </wp:anchor>
                  </w:drawing>
                </mc:Choice>
                <mc:Fallback>
                  <w:pict>
                    <v:shape id="_x0000_s1026" o:spid="_x0000_s1026" o:spt="202" type="#_x0000_t202" style="position:absolute;left:0pt;margin-left:132.8pt;margin-top:4.4pt;height:23.25pt;width:57.65pt;z-index:251675648;mso-width-relative:page;mso-height-relative:page;" fillcolor="#FFFFFF" filled="t" stroked="t" coordsize="21600,21600" o:gfxdata="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fSesDYAAAACAEAAA8AAAAAAAAAAQAgAAAA&#10;IgAAAGRycy9kb3ducmV2LnhtbFBLAQIUABQAAAAIAIdO4kBQxc1+CwIAADcEAAAOAAAAAAAAAAEA&#10;IAAAACcBAABkcnMvZTJvRG9jLnhtbFBLBQYAAAAABgAGAFkBAACkBQAAAAA=&#10;">
                      <v:fill on="t" focussize="0,0"/>
                      <v:stroke color="#000000" joinstyle="miter"/>
                      <v:imagedata o:title=""/>
                      <o:lock v:ext="edit" aspectratio="f"/>
                      <v:textbox>
                        <w:txbxContent>
                          <w:p w14:paraId="71206712">
                            <w:pPr>
                              <w:rPr>
                                <w:rFonts w:hint="eastAsia" w:eastAsia="宋体"/>
                                <w:lang w:eastAsia="zh-CN"/>
                              </w:rPr>
                            </w:pPr>
                            <w:r>
                              <w:rPr>
                                <w:rFonts w:hint="eastAsia"/>
                                <w:lang w:eastAsia="zh-CN"/>
                              </w:rPr>
                              <w:t>生活用水</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79744" behindDoc="0" locked="0" layoutInCell="1" allowOverlap="1">
                      <wp:simplePos x="0" y="0"/>
                      <wp:positionH relativeFrom="column">
                        <wp:posOffset>1075055</wp:posOffset>
                      </wp:positionH>
                      <wp:positionV relativeFrom="paragraph">
                        <wp:posOffset>163195</wp:posOffset>
                      </wp:positionV>
                      <wp:extent cx="609600" cy="3175"/>
                      <wp:effectExtent l="0" t="35560" r="0" b="37465"/>
                      <wp:wrapNone/>
                      <wp:docPr id="64" name="直接连接符 64"/>
                      <wp:cNvGraphicFramePr/>
                      <a:graphic xmlns:a="http://schemas.openxmlformats.org/drawingml/2006/main">
                        <a:graphicData uri="http://schemas.microsoft.com/office/word/2010/wordprocessingShape">
                          <wps:wsp>
                            <wps:cNvCnPr/>
                            <wps:spPr>
                              <a:xfrm>
                                <a:off x="0" y="0"/>
                                <a:ext cx="609600" cy="317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4.65pt;margin-top:12.85pt;height:0.25pt;width:48pt;z-index:251679744;mso-width-relative:page;mso-height-relative:page;" filled="f" stroked="t" coordsize="21600,21600" o:gfxdata="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4B7HrXAAAACQEAAA8AAAAAAAAAAQAgAAAAIgAAAGRycy9kb3ducmV2&#10;LnhtbFBLAQIUABQAAAAIAIdO4kDlBnrf/QEAAO0DAAAOAAAAAAAAAAEAIAAAACYBAABkcnMvZTJv&#10;RG9jLnhtbFBLBQYAAAAABgAGAFkBAACVBQAAAAA=&#10;">
                      <v:fill on="f" focussize="0,0"/>
                      <v:stroke weight="1pt" color="#000000" joinstyle="round" endarrow="block"/>
                      <v:imagedata o:title=""/>
                      <o:lock v:ext="edit" aspectratio="f"/>
                    </v:line>
                  </w:pict>
                </mc:Fallback>
              </mc:AlternateContent>
            </w:r>
          </w:p>
          <w:p w14:paraId="29B0DD10">
            <w:pPr>
              <w:pStyle w:val="54"/>
              <w:adjustRightInd w:val="0"/>
              <w:snapToGrid w:val="0"/>
              <w:rPr>
                <w:rFonts w:hint="eastAsia" w:ascii="Times New Roman" w:hAnsi="Times New Roman"/>
                <w:bCs/>
                <w:color w:val="auto"/>
                <w:szCs w:val="24"/>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128270</wp:posOffset>
                      </wp:positionH>
                      <wp:positionV relativeFrom="paragraph">
                        <wp:posOffset>27305</wp:posOffset>
                      </wp:positionV>
                      <wp:extent cx="1242060" cy="271145"/>
                      <wp:effectExtent l="0" t="0" r="0" b="0"/>
                      <wp:wrapNone/>
                      <wp:docPr id="65" name="矩形 65"/>
                      <wp:cNvGraphicFramePr/>
                      <a:graphic xmlns:a="http://schemas.openxmlformats.org/drawingml/2006/main">
                        <a:graphicData uri="http://schemas.microsoft.com/office/word/2010/wordprocessingShape">
                          <wps:wsp>
                            <wps:cNvSpPr/>
                            <wps:spPr>
                              <a:xfrm>
                                <a:off x="0" y="0"/>
                                <a:ext cx="1242060" cy="271145"/>
                              </a:xfrm>
                              <a:prstGeom prst="rect">
                                <a:avLst/>
                              </a:prstGeom>
                              <a:noFill/>
                              <a:ln w="9525">
                                <a:noFill/>
                              </a:ln>
                            </wps:spPr>
                            <wps:txbx>
                              <w:txbxContent>
                                <w:p w14:paraId="32950E01">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非雨天（</w:t>
                                  </w:r>
                                  <w:r>
                                    <w:rPr>
                                      <w:rFonts w:hint="eastAsia" w:ascii="宋体" w:hAnsi="宋体" w:cs="宋体"/>
                                      <w:sz w:val="21"/>
                                      <w:u w:val="none" w:color="auto"/>
                                      <w:lang w:val="en-US" w:eastAsia="zh-CN"/>
                                    </w:rPr>
                                    <w:t>2.16</w:t>
                                  </w:r>
                                  <w:r>
                                    <w:rPr>
                                      <w:rFonts w:hint="eastAsia"/>
                                      <w:sz w:val="21"/>
                                      <w:u w:val="none" w:color="auto"/>
                                      <w:lang w:val="en-US" w:eastAsia="zh-CN"/>
                                    </w:rPr>
                                    <w:t>）</w:t>
                                  </w:r>
                                </w:p>
                              </w:txbxContent>
                            </wps:txbx>
                            <wps:bodyPr upright="1"/>
                          </wps:wsp>
                        </a:graphicData>
                      </a:graphic>
                    </wp:anchor>
                  </w:drawing>
                </mc:Choice>
                <mc:Fallback>
                  <w:pict>
                    <v:rect id="_x0000_s1026" o:spid="_x0000_s1026" o:spt="1" style="position:absolute;left:0pt;margin-left:10.1pt;margin-top:2.15pt;height:21.35pt;width:97.8pt;z-index:251714560;mso-width-relative:page;mso-height-relative:page;" filled="f" stroked="f" coordsize="21600,21600" o:gfxdata="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nHXvXAAAA&#10;BwEAAA8AAAAAAAAAAQAgAAAAIgAAAGRycy9kb3ducmV2LnhtbFBLAQIUABQAAAAIAIdO4kDoKc2z&#10;rAEAAEwDAAAOAAAAAAAAAAEAIAAAACYBAABkcnMvZTJvRG9jLnhtbFBLBQYAAAAABgAGAFkBAABE&#10;BQAAAAA=&#10;">
                      <v:fill on="f" focussize="0,0"/>
                      <v:stroke on="f"/>
                      <v:imagedata o:title=""/>
                      <o:lock v:ext="edit" aspectratio="f"/>
                      <v:textbox>
                        <w:txbxContent>
                          <w:p w14:paraId="32950E01">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非雨天（</w:t>
                            </w:r>
                            <w:r>
                              <w:rPr>
                                <w:rFonts w:hint="eastAsia" w:ascii="宋体" w:hAnsi="宋体" w:cs="宋体"/>
                                <w:sz w:val="21"/>
                                <w:u w:val="none" w:color="auto"/>
                                <w:lang w:val="en-US" w:eastAsia="zh-CN"/>
                              </w:rPr>
                              <w:t>2.16</w:t>
                            </w:r>
                            <w:r>
                              <w:rPr>
                                <w:rFonts w:hint="eastAsia"/>
                                <w:sz w:val="21"/>
                                <w:u w:val="none" w:color="auto"/>
                                <w:lang w:val="en-US" w:eastAsia="zh-CN"/>
                              </w:rPr>
                              <w:t>）</w:t>
                            </w:r>
                          </w:p>
                        </w:txbxContent>
                      </v:textbox>
                    </v:rect>
                  </w:pict>
                </mc:Fallback>
              </mc:AlternateContent>
            </w:r>
            <w:r>
              <w:rPr>
                <w:rFonts w:ascii="Times New Roman" w:hAnsi="Times New Roman"/>
                <w:color w:val="auto"/>
                <w:sz w:val="24"/>
              </w:rPr>
              <mc:AlternateContent>
                <mc:Choice Requires="wps">
                  <w:drawing>
                    <wp:anchor distT="0" distB="0" distL="114300" distR="114300" simplePos="0" relativeHeight="251676672" behindDoc="0" locked="0" layoutInCell="1" allowOverlap="1">
                      <wp:simplePos x="0" y="0"/>
                      <wp:positionH relativeFrom="column">
                        <wp:posOffset>-48895</wp:posOffset>
                      </wp:positionH>
                      <wp:positionV relativeFrom="paragraph">
                        <wp:posOffset>26035</wp:posOffset>
                      </wp:positionV>
                      <wp:extent cx="372110" cy="787400"/>
                      <wp:effectExtent l="4445" t="4445" r="23495" b="8255"/>
                      <wp:wrapNone/>
                      <wp:docPr id="66" name="文本框 66"/>
                      <wp:cNvGraphicFramePr/>
                      <a:graphic xmlns:a="http://schemas.openxmlformats.org/drawingml/2006/main">
                        <a:graphicData uri="http://schemas.microsoft.com/office/word/2010/wordprocessingShape">
                          <wps:wsp>
                            <wps:cNvSpPr txBox="1"/>
                            <wps:spPr>
                              <a:xfrm>
                                <a:off x="0" y="0"/>
                                <a:ext cx="372110" cy="787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D84A7F">
                                  <w:pPr>
                                    <w:jc w:val="center"/>
                                    <w:rPr>
                                      <w:rFonts w:hint="eastAsia" w:eastAsia="宋体"/>
                                      <w:lang w:eastAsia="zh-CN"/>
                                    </w:rPr>
                                  </w:pPr>
                                  <w:r>
                                    <w:rPr>
                                      <w:rFonts w:hint="eastAsia"/>
                                      <w:lang w:eastAsia="zh-CN"/>
                                    </w:rPr>
                                    <w:t>自来水</w:t>
                                  </w:r>
                                </w:p>
                              </w:txbxContent>
                            </wps:txbx>
                            <wps:bodyPr vert="eaVert" upright="1"/>
                          </wps:wsp>
                        </a:graphicData>
                      </a:graphic>
                    </wp:anchor>
                  </w:drawing>
                </mc:Choice>
                <mc:Fallback>
                  <w:pict>
                    <v:shape id="_x0000_s1026" o:spid="_x0000_s1026" o:spt="202" type="#_x0000_t202" style="position:absolute;left:0pt;margin-left:-3.85pt;margin-top:2.05pt;height:62pt;width:29.3pt;z-index:251676672;mso-width-relative:page;mso-height-relative:page;" fillcolor="#FFFFFF" filled="t" stroked="t" coordsize="21600,21600" o:gfxdata="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0jRPdUAAAAHAQAADwAAAAAA&#10;AAABACAAAAAiAAAAZHJzL2Rvd25yZXYueG1sUEsBAhQAFAAAAAgAh07iQGj7oooWAgAARQQAAA4A&#10;AAAAAAAAAQAgAAAAJAEAAGRycy9lMm9Eb2MueG1sUEsFBgAAAAAGAAYAWQEAAKwFAAAAAA==&#10;">
                      <v:fill on="t" focussize="0,0"/>
                      <v:stroke color="#000000" joinstyle="miter"/>
                      <v:imagedata o:title=""/>
                      <o:lock v:ext="edit" aspectratio="f"/>
                      <v:textbox style="layout-flow:vertical-ideographic;">
                        <w:txbxContent>
                          <w:p w14:paraId="3AD84A7F">
                            <w:pPr>
                              <w:jc w:val="center"/>
                              <w:rPr>
                                <w:rFonts w:hint="eastAsia" w:eastAsia="宋体"/>
                                <w:lang w:eastAsia="zh-CN"/>
                              </w:rPr>
                            </w:pPr>
                            <w:r>
                              <w:rPr>
                                <w:rFonts w:hint="eastAsia"/>
                                <w:lang w:eastAsia="zh-CN"/>
                              </w:rPr>
                              <w:t>自来水</w:t>
                            </w:r>
                          </w:p>
                        </w:txbxContent>
                      </v:textbox>
                    </v:shape>
                  </w:pict>
                </mc:Fallback>
              </mc:AlternateContent>
            </w:r>
            <w:r>
              <w:rPr>
                <w:color w:val="auto"/>
                <w:sz w:val="24"/>
              </w:rPr>
              <mc:AlternateContent>
                <mc:Choice Requires="wps">
                  <w:drawing>
                    <wp:anchor distT="0" distB="0" distL="114300" distR="114300" simplePos="0" relativeHeight="251716608" behindDoc="0" locked="0" layoutInCell="1" allowOverlap="1">
                      <wp:simplePos x="0" y="0"/>
                      <wp:positionH relativeFrom="column">
                        <wp:posOffset>3169285</wp:posOffset>
                      </wp:positionH>
                      <wp:positionV relativeFrom="paragraph">
                        <wp:posOffset>143510</wp:posOffset>
                      </wp:positionV>
                      <wp:extent cx="8890" cy="334010"/>
                      <wp:effectExtent l="50165" t="0" r="55245" b="8890"/>
                      <wp:wrapNone/>
                      <wp:docPr id="67" name="直接连接符 67"/>
                      <wp:cNvGraphicFramePr/>
                      <a:graphic xmlns:a="http://schemas.openxmlformats.org/drawingml/2006/main">
                        <a:graphicData uri="http://schemas.microsoft.com/office/word/2010/wordprocessingShape">
                          <wps:wsp>
                            <wps:cNvCnPr/>
                            <wps:spPr>
                              <a:xfrm flipH="1" flipV="1">
                                <a:off x="0" y="0"/>
                                <a:ext cx="8890" cy="334010"/>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49.55pt;margin-top:11.3pt;height:26.3pt;width:0.7pt;z-index:251716608;mso-width-relative:page;mso-height-relative:page;" filled="f" stroked="t" coordsize="21600,21600" o:gfxdata="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Jt5S1wAAAAkBAAAPAAAAAAAAAAEAIAAAACIA&#10;AABkcnMvZG93bnJldi54bWxQSwECFAAUAAAACACHTuJAMae7GAoCAAD+AwAADgAAAAAAAAABACAA&#10;AAAmAQAAZHJzL2Uyb0RvYy54bWxQSwUGAAAAAAYABgBZAQAAogUAAAAA&#10;">
                      <v:fill on="f" focussize="0,0"/>
                      <v:stroke weight="1.25pt" color="#000000" joinstyle="round" endarrow="open"/>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712512" behindDoc="0" locked="0" layoutInCell="1" allowOverlap="1">
                      <wp:simplePos x="0" y="0"/>
                      <wp:positionH relativeFrom="column">
                        <wp:posOffset>1906270</wp:posOffset>
                      </wp:positionH>
                      <wp:positionV relativeFrom="paragraph">
                        <wp:posOffset>99060</wp:posOffset>
                      </wp:positionV>
                      <wp:extent cx="522605" cy="26733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522605" cy="267335"/>
                              </a:xfrm>
                              <a:prstGeom prst="rect">
                                <a:avLst/>
                              </a:prstGeom>
                              <a:noFill/>
                              <a:ln w="9525">
                                <a:noFill/>
                              </a:ln>
                            </wps:spPr>
                            <wps:txbx>
                              <w:txbxContent>
                                <w:p w14:paraId="3D860CE6">
                                  <w:pPr>
                                    <w:rPr>
                                      <w:rFonts w:hint="eastAsia" w:eastAsia="宋体"/>
                                      <w:lang w:val="en-US" w:eastAsia="zh-CN"/>
                                    </w:rPr>
                                  </w:pPr>
                                  <w:r>
                                    <w:rPr>
                                      <w:rFonts w:hint="eastAsia" w:eastAsia="宋体"/>
                                      <w:lang w:val="en-US" w:eastAsia="zh-CN"/>
                                    </w:rPr>
                                    <w:t>0.08</w:t>
                                  </w:r>
                                </w:p>
                              </w:txbxContent>
                            </wps:txbx>
                            <wps:bodyPr lIns="91439" tIns="45719" rIns="91439" bIns="45719" upright="1"/>
                          </wps:wsp>
                        </a:graphicData>
                      </a:graphic>
                    </wp:anchor>
                  </w:drawing>
                </mc:Choice>
                <mc:Fallback>
                  <w:pict>
                    <v:shape id="_x0000_s1026" o:spid="_x0000_s1026" o:spt="202" type="#_x0000_t202" style="position:absolute;left:0pt;margin-left:150.1pt;margin-top:7.8pt;height:21.05pt;width:41.15pt;z-index:251712512;mso-width-relative:page;mso-height-relative:page;" filled="f" stroked="f" coordsize="21600,21600" o:gfxdata="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3Wk9NgAAAAJAQAADwAAAAAAAAABACAAAAAiAAAA&#10;ZHJzL2Rvd25yZXYueG1sUEsBAhQAFAAAAAgAh07iQMbGN0HOAQAAjAMAAA4AAAAAAAAAAQAgAAAA&#10;JwEAAGRycy9lMm9Eb2MueG1sUEsFBgAAAAAGAAYAWQEAAGcFAAAAAA==&#10;">
                      <v:fill on="f" focussize="0,0"/>
                      <v:stroke on="f"/>
                      <v:imagedata o:title=""/>
                      <o:lock v:ext="edit" aspectratio="f"/>
                      <v:textbox inset="7.19992125984252pt,3.59992125984252pt,7.19992125984252pt,3.59992125984252pt">
                        <w:txbxContent>
                          <w:p w14:paraId="3D860CE6">
                            <w:pPr>
                              <w:rPr>
                                <w:rFonts w:hint="eastAsia" w:eastAsia="宋体"/>
                                <w:lang w:val="en-US" w:eastAsia="zh-CN"/>
                              </w:rPr>
                            </w:pPr>
                            <w:r>
                              <w:rPr>
                                <w:rFonts w:hint="eastAsia" w:eastAsia="宋体"/>
                                <w:lang w:val="en-US" w:eastAsia="zh-CN"/>
                              </w:rPr>
                              <w:t>0.08</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686912" behindDoc="0" locked="0" layoutInCell="1" allowOverlap="1">
                      <wp:simplePos x="0" y="0"/>
                      <wp:positionH relativeFrom="column">
                        <wp:posOffset>2973070</wp:posOffset>
                      </wp:positionH>
                      <wp:positionV relativeFrom="paragraph">
                        <wp:posOffset>184785</wp:posOffset>
                      </wp:positionV>
                      <wp:extent cx="522605" cy="295275"/>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522605" cy="295275"/>
                              </a:xfrm>
                              <a:prstGeom prst="rect">
                                <a:avLst/>
                              </a:prstGeom>
                              <a:noFill/>
                              <a:ln w="9525">
                                <a:noFill/>
                              </a:ln>
                            </wps:spPr>
                            <wps:txbx>
                              <w:txbxContent>
                                <w:p w14:paraId="503B07EB">
                                  <w:pPr>
                                    <w:rPr>
                                      <w:rFonts w:hint="eastAsia" w:eastAsia="宋体"/>
                                      <w:lang w:val="en-US" w:eastAsia="zh-CN"/>
                                    </w:rPr>
                                  </w:pPr>
                                  <w:r>
                                    <w:rPr>
                                      <w:rFonts w:hint="eastAsia" w:eastAsia="宋体"/>
                                      <w:lang w:val="en-US" w:eastAsia="zh-CN"/>
                                    </w:rPr>
                                    <w:t>0.32</w:t>
                                  </w:r>
                                </w:p>
                              </w:txbxContent>
                            </wps:txbx>
                            <wps:bodyPr lIns="91439" tIns="45719" rIns="91439" bIns="45719" upright="1"/>
                          </wps:wsp>
                        </a:graphicData>
                      </a:graphic>
                    </wp:anchor>
                  </w:drawing>
                </mc:Choice>
                <mc:Fallback>
                  <w:pict>
                    <v:shape id="_x0000_s1026" o:spid="_x0000_s1026" o:spt="202" type="#_x0000_t202" style="position:absolute;left:0pt;margin-left:234.1pt;margin-top:14.55pt;height:23.25pt;width:41.15pt;z-index:251686912;mso-width-relative:page;mso-height-relative:page;" filled="f" stroked="f" coordsize="21600,21600" o:gfxdata="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mrEG82AAAAAkBAAAPAAAAAAAAAAEAIAAAACIAAABk&#10;cnMvZG93bnJldi54bWxQSwECFAAUAAAACACHTuJAQfvBhc0BAACMAwAADgAAAAAAAAABACAAAAAn&#10;AQAAZHJzL2Uyb0RvYy54bWxQSwUGAAAAAAYABgBZAQAAZgUAAAAA&#10;">
                      <v:fill on="f" focussize="0,0"/>
                      <v:stroke on="f"/>
                      <v:imagedata o:title=""/>
                      <o:lock v:ext="edit" aspectratio="f"/>
                      <v:textbox inset="7.19992125984252pt,3.59992125984252pt,7.19992125984252pt,3.59992125984252pt">
                        <w:txbxContent>
                          <w:p w14:paraId="503B07EB">
                            <w:pPr>
                              <w:rPr>
                                <w:rFonts w:hint="eastAsia" w:eastAsia="宋体"/>
                                <w:lang w:val="en-US" w:eastAsia="zh-CN"/>
                              </w:rPr>
                            </w:pPr>
                            <w:r>
                              <w:rPr>
                                <w:rFonts w:hint="eastAsia" w:eastAsia="宋体"/>
                                <w:lang w:val="en-US" w:eastAsia="zh-CN"/>
                              </w:rPr>
                              <w:t>0.32</w:t>
                            </w:r>
                          </w:p>
                        </w:txbxContent>
                      </v:textbox>
                    </v:shape>
                  </w:pict>
                </mc:Fallback>
              </mc:AlternateContent>
            </w:r>
          </w:p>
          <w:p w14:paraId="1AB2A78E">
            <w:pPr>
              <w:pStyle w:val="54"/>
              <w:adjustRightInd w:val="0"/>
              <w:snapToGrid w:val="0"/>
              <w:ind w:left="0" w:leftChars="0" w:firstLine="0" w:firstLineChars="0"/>
              <w:rPr>
                <w:rFonts w:hint="eastAsia" w:ascii="Times New Roman" w:hAnsi="Times New Roman"/>
                <w:bCs/>
                <w:color w:val="auto"/>
                <w:szCs w:val="24"/>
                <w:lang w:val="en-US"/>
              </w:rPr>
            </w:pPr>
            <w:r>
              <w:rPr>
                <w:rFonts w:ascii="Times New Roman" w:hAnsi="Times New Roman"/>
                <w:color w:val="auto"/>
                <w:sz w:val="24"/>
              </w:rPr>
              <mc:AlternateContent>
                <mc:Choice Requires="wps">
                  <w:drawing>
                    <wp:anchor distT="0" distB="0" distL="114300" distR="114300" simplePos="0" relativeHeight="251722752" behindDoc="0" locked="0" layoutInCell="1" allowOverlap="1">
                      <wp:simplePos x="0" y="0"/>
                      <wp:positionH relativeFrom="column">
                        <wp:posOffset>1153795</wp:posOffset>
                      </wp:positionH>
                      <wp:positionV relativeFrom="paragraph">
                        <wp:posOffset>24130</wp:posOffset>
                      </wp:positionV>
                      <wp:extent cx="483870" cy="29527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483870" cy="295275"/>
                              </a:xfrm>
                              <a:prstGeom prst="rect">
                                <a:avLst/>
                              </a:prstGeom>
                              <a:noFill/>
                              <a:ln w="9525">
                                <a:noFill/>
                              </a:ln>
                            </wps:spPr>
                            <wps:txbx>
                              <w:txbxContent>
                                <w:p w14:paraId="387A0C75">
                                  <w:pPr>
                                    <w:rPr>
                                      <w:rFonts w:hint="eastAsia" w:eastAsia="宋体"/>
                                      <w:lang w:val="en-US" w:eastAsia="zh-CN"/>
                                    </w:rPr>
                                  </w:pPr>
                                  <w:r>
                                    <w:rPr>
                                      <w:rFonts w:hint="eastAsia"/>
                                      <w:lang w:val="en-US" w:eastAsia="zh-CN"/>
                                    </w:rPr>
                                    <w:t>0.4</w:t>
                                  </w:r>
                                </w:p>
                              </w:txbxContent>
                            </wps:txbx>
                            <wps:bodyPr lIns="91439" tIns="45719" rIns="91439" bIns="45719" upright="1"/>
                          </wps:wsp>
                        </a:graphicData>
                      </a:graphic>
                    </wp:anchor>
                  </w:drawing>
                </mc:Choice>
                <mc:Fallback>
                  <w:pict>
                    <v:shape id="_x0000_s1026" o:spid="_x0000_s1026" o:spt="202" type="#_x0000_t202" style="position:absolute;left:0pt;margin-left:90.85pt;margin-top:1.9pt;height:23.25pt;width:38.1pt;z-index:251722752;mso-width-relative:page;mso-height-relative:page;" filled="f" stroked="f" coordsize="21600,21600" o:gfxdata="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4ftSDWAAAACAEAAA8AAAAAAAAAAQAgAAAAIgAAAGRycy9k&#10;b3ducmV2LnhtbFBLAQIUABQAAAAIAIdO4kDL2UxLywEAAIwDAAAOAAAAAAAAAAEAIAAAACUBAABk&#10;cnMvZTJvRG9jLnhtbFBLBQYAAAAABgAGAFkBAABiBQAAAAA=&#10;">
                      <v:fill on="f" focussize="0,0"/>
                      <v:stroke on="f"/>
                      <v:imagedata o:title=""/>
                      <o:lock v:ext="edit" aspectratio="f"/>
                      <v:textbox inset="7.19992125984252pt,3.59992125984252pt,7.19992125984252pt,3.59992125984252pt">
                        <w:txbxContent>
                          <w:p w14:paraId="387A0C75">
                            <w:pPr>
                              <w:rPr>
                                <w:rFonts w:hint="eastAsia" w:eastAsia="宋体"/>
                                <w:lang w:val="en-US" w:eastAsia="zh-CN"/>
                              </w:rPr>
                            </w:pPr>
                            <w:r>
                              <w:rPr>
                                <w:rFonts w:hint="eastAsia"/>
                                <w:lang w:val="en-US" w:eastAsia="zh-CN"/>
                              </w:rPr>
                              <w:t>0.4</w:t>
                            </w:r>
                          </w:p>
                        </w:txbxContent>
                      </v:textbox>
                    </v:shap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213995</wp:posOffset>
                      </wp:positionH>
                      <wp:positionV relativeFrom="paragraph">
                        <wp:posOffset>145415</wp:posOffset>
                      </wp:positionV>
                      <wp:extent cx="1128395" cy="271145"/>
                      <wp:effectExtent l="0" t="0" r="0" b="0"/>
                      <wp:wrapNone/>
                      <wp:docPr id="71" name="矩形 71"/>
                      <wp:cNvGraphicFramePr/>
                      <a:graphic xmlns:a="http://schemas.openxmlformats.org/drawingml/2006/main">
                        <a:graphicData uri="http://schemas.microsoft.com/office/word/2010/wordprocessingShape">
                          <wps:wsp>
                            <wps:cNvSpPr/>
                            <wps:spPr>
                              <a:xfrm>
                                <a:off x="0" y="0"/>
                                <a:ext cx="1128395" cy="271145"/>
                              </a:xfrm>
                              <a:prstGeom prst="rect">
                                <a:avLst/>
                              </a:prstGeom>
                              <a:noFill/>
                              <a:ln w="9525">
                                <a:noFill/>
                              </a:ln>
                            </wps:spPr>
                            <wps:txbx>
                              <w:txbxContent>
                                <w:p w14:paraId="45C9810A">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雨天（</w:t>
                                  </w:r>
                                  <w:r>
                                    <w:rPr>
                                      <w:rFonts w:hint="eastAsia" w:ascii="宋体" w:hAnsi="宋体" w:cs="宋体"/>
                                      <w:sz w:val="21"/>
                                      <w:u w:val="none" w:color="auto"/>
                                      <w:lang w:val="en-US" w:eastAsia="zh-CN"/>
                                    </w:rPr>
                                    <w:t>1.5</w:t>
                                  </w:r>
                                  <w:r>
                                    <w:rPr>
                                      <w:rFonts w:hint="eastAsia"/>
                                      <w:sz w:val="21"/>
                                      <w:u w:val="none" w:color="auto"/>
                                      <w:lang w:val="en-US" w:eastAsia="zh-CN"/>
                                    </w:rPr>
                                    <w:t>）</w:t>
                                  </w:r>
                                </w:p>
                              </w:txbxContent>
                            </wps:txbx>
                            <wps:bodyPr upright="1"/>
                          </wps:wsp>
                        </a:graphicData>
                      </a:graphic>
                    </wp:anchor>
                  </w:drawing>
                </mc:Choice>
                <mc:Fallback>
                  <w:pict>
                    <v:rect id="_x0000_s1026" o:spid="_x0000_s1026" o:spt="1" style="position:absolute;left:0pt;margin-left:16.85pt;margin-top:11.45pt;height:21.35pt;width:88.85pt;z-index:251715584;mso-width-relative:page;mso-height-relative:page;" filled="f" stroked="f" coordsize="21600,21600" o:gfxdata="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9Whova&#10;AAAACAEAAA8AAAAAAAAAAQAgAAAAIgAAAGRycy9kb3ducmV2LnhtbFBLAQIUABQAAAAIAIdO4kBQ&#10;NK1srAEAAEwDAAAOAAAAAAAAAAEAIAAAACkBAABkcnMvZTJvRG9jLnhtbFBLBQYAAAAABgAGAFkB&#10;AABHBQAAAAA=&#10;">
                      <v:fill on="f" focussize="0,0"/>
                      <v:stroke on="f"/>
                      <v:imagedata o:title=""/>
                      <o:lock v:ext="edit" aspectratio="f"/>
                      <v:textbox>
                        <w:txbxContent>
                          <w:p w14:paraId="45C9810A">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雨天（</w:t>
                            </w:r>
                            <w:r>
                              <w:rPr>
                                <w:rFonts w:hint="eastAsia" w:ascii="宋体" w:hAnsi="宋体" w:cs="宋体"/>
                                <w:sz w:val="21"/>
                                <w:u w:val="none" w:color="auto"/>
                                <w:lang w:val="en-US" w:eastAsia="zh-CN"/>
                              </w:rPr>
                              <w:t>1.5</w:t>
                            </w:r>
                            <w:r>
                              <w:rPr>
                                <w:rFonts w:hint="eastAsia"/>
                                <w:sz w:val="21"/>
                                <w:u w:val="none" w:color="auto"/>
                                <w:lang w:val="en-US" w:eastAsia="zh-CN"/>
                              </w:rPr>
                              <w:t>）</w:t>
                            </w:r>
                          </w:p>
                        </w:txbxContent>
                      </v:textbox>
                    </v:rect>
                  </w:pict>
                </mc:Fallback>
              </mc:AlternateContent>
            </w:r>
            <w:r>
              <w:rPr>
                <w:rFonts w:ascii="Times New Roman" w:hAnsi="Times New Roman"/>
                <w:color w:val="auto"/>
                <w:sz w:val="24"/>
              </w:rPr>
              <mc:AlternateContent>
                <mc:Choice Requires="wps">
                  <w:drawing>
                    <wp:anchor distT="0" distB="0" distL="114300" distR="114300" simplePos="0" relativeHeight="251677696" behindDoc="0" locked="0" layoutInCell="1" allowOverlap="1">
                      <wp:simplePos x="0" y="0"/>
                      <wp:positionH relativeFrom="column">
                        <wp:posOffset>313690</wp:posOffset>
                      </wp:positionH>
                      <wp:positionV relativeFrom="paragraph">
                        <wp:posOffset>114935</wp:posOffset>
                      </wp:positionV>
                      <wp:extent cx="704215" cy="6985"/>
                      <wp:effectExtent l="0" t="0" r="0" b="0"/>
                      <wp:wrapNone/>
                      <wp:docPr id="72" name="直接连接符 72"/>
                      <wp:cNvGraphicFramePr/>
                      <a:graphic xmlns:a="http://schemas.openxmlformats.org/drawingml/2006/main">
                        <a:graphicData uri="http://schemas.microsoft.com/office/word/2010/wordprocessingShape">
                          <wps:wsp>
                            <wps:cNvCnPr/>
                            <wps:spPr>
                              <a:xfrm flipV="1">
                                <a:off x="0" y="0"/>
                                <a:ext cx="704215" cy="698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7pt;margin-top:9.05pt;height:0.55pt;width:55.45pt;z-index:251677696;mso-width-relative:page;mso-height-relative:page;" filled="f" stroked="t" coordsize="21600,21600" o:gfxdata="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srAI2AAAAAgBAAAPAAAAAAAAAAEAIAAAACIAAABkcnMvZG93&#10;bnJldi54bWxQSwECFAAUAAAACACHTuJAKw5sngACAADzAwAADgAAAAAAAAABACAAAAAnAQAAZHJz&#10;L2Uyb0RvYy54bWxQSwUGAAAAAAYABgBZAQAAmQUAAAAA&#10;">
                      <v:fill on="f" focussize="0,0"/>
                      <v:stroke weight="1pt" color="#000000" joinstyle="round"/>
                      <v:imagedata o:title=""/>
                      <o:lock v:ext="edit" aspectratio="f"/>
                    </v:line>
                  </w:pict>
                </mc:Fallback>
              </mc:AlternateContent>
            </w:r>
            <w:r>
              <w:rPr>
                <w:rFonts w:ascii="Times New Roman" w:hAnsi="Times New Roman"/>
                <w:color w:val="auto"/>
                <w:sz w:val="24"/>
              </w:rPr>
              <mc:AlternateContent>
                <mc:Choice Requires="wps">
                  <w:drawing>
                    <wp:anchor distT="0" distB="0" distL="114300" distR="114300" simplePos="0" relativeHeight="251710464" behindDoc="0" locked="0" layoutInCell="1" allowOverlap="1">
                      <wp:simplePos x="0" y="0"/>
                      <wp:positionH relativeFrom="column">
                        <wp:posOffset>2810510</wp:posOffset>
                      </wp:positionH>
                      <wp:positionV relativeFrom="paragraph">
                        <wp:posOffset>206375</wp:posOffset>
                      </wp:positionV>
                      <wp:extent cx="655955" cy="295275"/>
                      <wp:effectExtent l="4445" t="4445" r="6350" b="5080"/>
                      <wp:wrapNone/>
                      <wp:docPr id="73" name="文本框 73"/>
                      <wp:cNvGraphicFramePr/>
                      <a:graphic xmlns:a="http://schemas.openxmlformats.org/drawingml/2006/main">
                        <a:graphicData uri="http://schemas.microsoft.com/office/word/2010/wordprocessingShape">
                          <wps:wsp>
                            <wps:cNvSpPr txBox="1"/>
                            <wps:spPr>
                              <a:xfrm>
                                <a:off x="0" y="0"/>
                                <a:ext cx="65595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CCF2CC">
                                  <w:pPr>
                                    <w:rPr>
                                      <w:rFonts w:hint="eastAsia" w:eastAsia="宋体"/>
                                      <w:lang w:eastAsia="zh-CN"/>
                                    </w:rPr>
                                  </w:pPr>
                                  <w:r>
                                    <w:rPr>
                                      <w:rFonts w:hint="eastAsia"/>
                                      <w:lang w:eastAsia="zh-CN"/>
                                    </w:rPr>
                                    <w:t>隔油池</w:t>
                                  </w:r>
                                </w:p>
                              </w:txbxContent>
                            </wps:txbx>
                            <wps:bodyPr upright="1"/>
                          </wps:wsp>
                        </a:graphicData>
                      </a:graphic>
                    </wp:anchor>
                  </w:drawing>
                </mc:Choice>
                <mc:Fallback>
                  <w:pict>
                    <v:shape id="_x0000_s1026" o:spid="_x0000_s1026" o:spt="202" type="#_x0000_t202" style="position:absolute;left:0pt;margin-left:221.3pt;margin-top:16.25pt;height:23.25pt;width:51.65pt;z-index:251710464;mso-width-relative:page;mso-height-relative:page;" fillcolor="#FFFFFF" filled="t" stroked="t" coordsize="21600,21600" o:gfxdata="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eKeK2gAAAAkBAAAPAAAAAAAAAAEAIAAA&#10;ACIAAABkcnMvZG93bnJldi54bWxQSwECFAAUAAAACACHTuJAsw4BgQoCAAA3BAAADgAAAAAAAAAB&#10;ACAAAAApAQAAZHJzL2Uyb0RvYy54bWxQSwUGAAAAAAYABgBZAQAApQUAAAAA&#10;">
                      <v:fill on="t" focussize="0,0"/>
                      <v:stroke color="#000000" joinstyle="miter"/>
                      <v:imagedata o:title=""/>
                      <o:lock v:ext="edit" aspectratio="f"/>
                      <v:textbox>
                        <w:txbxContent>
                          <w:p w14:paraId="69CCF2CC">
                            <w:pPr>
                              <w:rPr>
                                <w:rFonts w:hint="eastAsia" w:eastAsia="宋体"/>
                                <w:lang w:eastAsia="zh-CN"/>
                              </w:rPr>
                            </w:pPr>
                            <w:r>
                              <w:rPr>
                                <w:rFonts w:hint="eastAsia"/>
                                <w:lang w:eastAsia="zh-CN"/>
                              </w:rPr>
                              <w:t>隔油池</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711488" behindDoc="0" locked="0" layoutInCell="1" allowOverlap="1">
                      <wp:simplePos x="0" y="0"/>
                      <wp:positionH relativeFrom="column">
                        <wp:posOffset>2372995</wp:posOffset>
                      </wp:positionH>
                      <wp:positionV relativeFrom="paragraph">
                        <wp:posOffset>45720</wp:posOffset>
                      </wp:positionV>
                      <wp:extent cx="522605" cy="26733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522605" cy="267335"/>
                              </a:xfrm>
                              <a:prstGeom prst="rect">
                                <a:avLst/>
                              </a:prstGeom>
                              <a:noFill/>
                              <a:ln w="9525">
                                <a:noFill/>
                              </a:ln>
                            </wps:spPr>
                            <wps:txbx>
                              <w:txbxContent>
                                <w:p w14:paraId="78C44107">
                                  <w:pPr>
                                    <w:rPr>
                                      <w:rFonts w:hint="eastAsia" w:eastAsia="宋体"/>
                                      <w:lang w:val="en-US" w:eastAsia="zh-CN"/>
                                    </w:rPr>
                                  </w:pPr>
                                  <w:r>
                                    <w:rPr>
                                      <w:rFonts w:hint="eastAsia" w:eastAsia="宋体"/>
                                      <w:lang w:val="en-US" w:eastAsia="zh-CN"/>
                                    </w:rPr>
                                    <w:t>0.32</w:t>
                                  </w:r>
                                </w:p>
                              </w:txbxContent>
                            </wps:txbx>
                            <wps:bodyPr lIns="91439" tIns="45719" rIns="91439" bIns="45719" upright="1"/>
                          </wps:wsp>
                        </a:graphicData>
                      </a:graphic>
                    </wp:anchor>
                  </w:drawing>
                </mc:Choice>
                <mc:Fallback>
                  <w:pict>
                    <v:shape id="_x0000_s1026" o:spid="_x0000_s1026" o:spt="202" type="#_x0000_t202" style="position:absolute;left:0pt;margin-left:186.85pt;margin-top:3.6pt;height:21.05pt;width:41.15pt;z-index:251711488;mso-width-relative:page;mso-height-relative:page;" filled="f" stroked="f" coordsize="21600,21600" o:gfxdata="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&#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rgGzn2AAAAAgBAAAPAAAAAAAAAAEAIAAAACIAAABk&#10;cnMvZG93bnJldi54bWxQSwECFAAUAAAACACHTuJAoueKas0BAACMAwAADgAAAAAAAAABACAAAAAn&#10;AQAAZHJzL2Uyb0RvYy54bWxQSwUGAAAAAAYABgBZAQAAZgUAAAAA&#10;">
                      <v:fill on="f" focussize="0,0"/>
                      <v:stroke on="f"/>
                      <v:imagedata o:title=""/>
                      <o:lock v:ext="edit" aspectratio="f"/>
                      <v:textbox inset="7.19992125984252pt,3.59992125984252pt,7.19992125984252pt,3.59992125984252pt">
                        <w:txbxContent>
                          <w:p w14:paraId="78C44107">
                            <w:pPr>
                              <w:rPr>
                                <w:rFonts w:hint="eastAsia" w:eastAsia="宋体"/>
                                <w:lang w:val="en-US" w:eastAsia="zh-CN"/>
                              </w:rPr>
                            </w:pPr>
                            <w:r>
                              <w:rPr>
                                <w:rFonts w:hint="eastAsia" w:eastAsia="宋体"/>
                                <w:lang w:val="en-US" w:eastAsia="zh-CN"/>
                              </w:rPr>
                              <w:t>0.32</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713536" behindDoc="0" locked="0" layoutInCell="1" allowOverlap="1">
                      <wp:simplePos x="0" y="0"/>
                      <wp:positionH relativeFrom="column">
                        <wp:posOffset>1922780</wp:posOffset>
                      </wp:positionH>
                      <wp:positionV relativeFrom="paragraph">
                        <wp:posOffset>11430</wp:posOffset>
                      </wp:positionV>
                      <wp:extent cx="257175" cy="133350"/>
                      <wp:effectExtent l="0" t="22860" r="9525" b="15240"/>
                      <wp:wrapNone/>
                      <wp:docPr id="75" name="曲线连接符 75"/>
                      <wp:cNvGraphicFramePr/>
                      <a:graphic xmlns:a="http://schemas.openxmlformats.org/drawingml/2006/main">
                        <a:graphicData uri="http://schemas.microsoft.com/office/word/2010/wordprocessingShape">
                          <wps:wsp>
                            <wps:cNvCnPr>
                              <a:stCxn id="34" idx="0"/>
                            </wps:cNvCnPr>
                            <wps:spPr>
                              <a:xfrm flipV="1">
                                <a:off x="0" y="0"/>
                                <a:ext cx="257175" cy="133350"/>
                              </a:xfrm>
                              <a:prstGeom prst="curvedConnector3">
                                <a:avLst>
                                  <a:gd name="adj1" fmla="val 50125"/>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flip:y;margin-left:151.4pt;margin-top:0.9pt;height:10.5pt;width:20.25pt;z-index:251713536;mso-width-relative:page;mso-height-relative:page;" filled="f" stroked="t" coordsize="21600,21600" o:gfxdata="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qctb9YAAAAIAQAADwAAAAAAAAABACAAAAAiAAAAZHJzL2Rvd25yZXYueG1s&#10;UEsBAhQAFAAAAAgAh07iQPYr+j0zAgAATAQAAA4AAAAAAAAAAQAgAAAAJQEAAGRycy9lMm9Eb2Mu&#10;eG1sUEsFBgAAAAAGAAYAWQEAAMoFAAAAAA==&#10;" adj="10827">
                      <v:fill on="f" focussize="0,0"/>
                      <v:stroke color="#000000" joinstyle="round" endarrow="block"/>
                      <v:imagedata o:title=""/>
                      <o:lock v:ext="edit" aspectratio="f"/>
                    </v:shape>
                  </w:pict>
                </mc:Fallback>
              </mc:AlternateContent>
            </w:r>
            <w:r>
              <w:rPr>
                <w:rFonts w:ascii="Times New Roman" w:hAnsi="Times New Roman"/>
                <w:color w:val="auto"/>
                <w:sz w:val="24"/>
              </w:rPr>
              <mc:AlternateContent>
                <mc:Choice Requires="wps">
                  <w:drawing>
                    <wp:anchor distT="0" distB="0" distL="114300" distR="114300" simplePos="0" relativeHeight="251708416" behindDoc="0" locked="0" layoutInCell="1" allowOverlap="1">
                      <wp:simplePos x="0" y="0"/>
                      <wp:positionH relativeFrom="column">
                        <wp:posOffset>1734185</wp:posOffset>
                      </wp:positionH>
                      <wp:positionV relativeFrom="paragraph">
                        <wp:posOffset>187325</wp:posOffset>
                      </wp:positionV>
                      <wp:extent cx="598805" cy="295275"/>
                      <wp:effectExtent l="4445" t="4445" r="6350" b="5080"/>
                      <wp:wrapNone/>
                      <wp:docPr id="76" name="文本框 76"/>
                      <wp:cNvGraphicFramePr/>
                      <a:graphic xmlns:a="http://schemas.openxmlformats.org/drawingml/2006/main">
                        <a:graphicData uri="http://schemas.microsoft.com/office/word/2010/wordprocessingShape">
                          <wps:wsp>
                            <wps:cNvSpPr txBox="1"/>
                            <wps:spPr>
                              <a:xfrm>
                                <a:off x="0" y="0"/>
                                <a:ext cx="59880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AB11E6">
                                  <w:pPr>
                                    <w:rPr>
                                      <w:rFonts w:hint="eastAsia" w:eastAsia="宋体"/>
                                      <w:lang w:eastAsia="zh-CN"/>
                                    </w:rPr>
                                  </w:pPr>
                                  <w:r>
                                    <w:rPr>
                                      <w:rFonts w:hint="eastAsia"/>
                                      <w:lang w:eastAsia="zh-CN"/>
                                    </w:rPr>
                                    <w:t>厨房</w:t>
                                  </w:r>
                                </w:p>
                              </w:txbxContent>
                            </wps:txbx>
                            <wps:bodyPr upright="1"/>
                          </wps:wsp>
                        </a:graphicData>
                      </a:graphic>
                    </wp:anchor>
                  </w:drawing>
                </mc:Choice>
                <mc:Fallback>
                  <w:pict>
                    <v:shape id="_x0000_s1026" o:spid="_x0000_s1026" o:spt="202" type="#_x0000_t202" style="position:absolute;left:0pt;margin-left:136.55pt;margin-top:14.75pt;height:23.25pt;width:47.15pt;z-index:251708416;mso-width-relative:page;mso-height-relative:page;" fillcolor="#FFFFFF" filled="t" stroked="t" coordsize="21600,21600" o:gfxdata="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020l2QAAAAkBAAAPAAAAAAAAAAEAIAAA&#10;ACIAAABkcnMvZG93bnJldi54bWxQSwECFAAUAAAACACHTuJAxjgLtAsCAAA3BAAADgAAAAAAAAAB&#10;ACAAAAAoAQAAZHJzL2Uyb0RvYy54bWxQSwUGAAAAAAYABgBZAQAApQUAAAAA&#10;">
                      <v:fill on="t" focussize="0,0"/>
                      <v:stroke color="#000000" joinstyle="miter"/>
                      <v:imagedata o:title=""/>
                      <o:lock v:ext="edit" aspectratio="f"/>
                      <v:textbox>
                        <w:txbxContent>
                          <w:p w14:paraId="1BAB11E6">
                            <w:pPr>
                              <w:rPr>
                                <w:rFonts w:hint="eastAsia" w:eastAsia="宋体"/>
                                <w:lang w:eastAsia="zh-CN"/>
                              </w:rPr>
                            </w:pPr>
                            <w:r>
                              <w:rPr>
                                <w:rFonts w:hint="eastAsia"/>
                                <w:lang w:eastAsia="zh-CN"/>
                              </w:rPr>
                              <w:t>厨房</w:t>
                            </w:r>
                          </w:p>
                        </w:txbxContent>
                      </v:textbox>
                    </v:shape>
                  </w:pict>
                </mc:Fallback>
              </mc:AlternateContent>
            </w:r>
            <w:r>
              <w:rPr>
                <w:rFonts w:hint="eastAsia" w:ascii="Times New Roman" w:hAnsi="Times New Roman"/>
                <w:bCs/>
                <w:color w:val="auto"/>
                <w:szCs w:val="24"/>
                <w:lang w:val="en-US" w:eastAsia="zh-CN"/>
              </w:rPr>
              <w:t xml:space="preserve">                </w:t>
            </w:r>
          </w:p>
          <w:p w14:paraId="4D076A8E">
            <w:pPr>
              <w:pStyle w:val="54"/>
              <w:adjustRightInd w:val="0"/>
              <w:snapToGrid w:val="0"/>
              <w:rPr>
                <w:rFonts w:hint="eastAsia" w:ascii="Times New Roman" w:hAnsi="Times New Roman"/>
                <w:bCs/>
                <w:color w:val="auto"/>
                <w:szCs w:val="24"/>
              </w:rPr>
            </w:pPr>
            <w:r>
              <w:rPr>
                <w:rFonts w:ascii="Times New Roman" w:hAnsi="Times New Roman"/>
                <w:color w:val="auto"/>
                <w:sz w:val="24"/>
              </w:rPr>
              <mc:AlternateContent>
                <mc:Choice Requires="wps">
                  <w:drawing>
                    <wp:anchor distT="0" distB="0" distL="114300" distR="114300" simplePos="0" relativeHeight="251682816" behindDoc="0" locked="0" layoutInCell="1" allowOverlap="1">
                      <wp:simplePos x="0" y="0"/>
                      <wp:positionH relativeFrom="column">
                        <wp:posOffset>2315845</wp:posOffset>
                      </wp:positionH>
                      <wp:positionV relativeFrom="paragraph">
                        <wp:posOffset>134620</wp:posOffset>
                      </wp:positionV>
                      <wp:extent cx="483870" cy="29527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483870" cy="295275"/>
                              </a:xfrm>
                              <a:prstGeom prst="rect">
                                <a:avLst/>
                              </a:prstGeom>
                              <a:noFill/>
                              <a:ln w="9525">
                                <a:noFill/>
                              </a:ln>
                            </wps:spPr>
                            <wps:txbx>
                              <w:txbxContent>
                                <w:p w14:paraId="43CFDE7B">
                                  <w:pPr>
                                    <w:rPr>
                                      <w:rFonts w:hint="eastAsia" w:eastAsia="宋体"/>
                                      <w:lang w:val="en-US" w:eastAsia="zh-CN"/>
                                    </w:rPr>
                                  </w:pPr>
                                  <w:r>
                                    <w:rPr>
                                      <w:rFonts w:hint="eastAsia"/>
                                      <w:lang w:val="en-US" w:eastAsia="zh-CN"/>
                                    </w:rPr>
                                    <w:t>0.66</w:t>
                                  </w:r>
                                </w:p>
                              </w:txbxContent>
                            </wps:txbx>
                            <wps:bodyPr lIns="91439" tIns="45719" rIns="91439" bIns="45719" upright="1"/>
                          </wps:wsp>
                        </a:graphicData>
                      </a:graphic>
                    </wp:anchor>
                  </w:drawing>
                </mc:Choice>
                <mc:Fallback>
                  <w:pict>
                    <v:shape id="_x0000_s1026" o:spid="_x0000_s1026" o:spt="202" type="#_x0000_t202" style="position:absolute;left:0pt;margin-left:182.35pt;margin-top:10.6pt;height:23.25pt;width:38.1pt;z-index:251682816;mso-width-relative:page;mso-height-relative:page;" filled="f" stroked="f" coordsize="21600,21600" o:gfxdata="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&#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Lne7C2AAAAAkBAAAPAAAAAAAAAAEAIAAAACIAAABk&#10;cnMvZG93bnJldi54bWxQSwECFAAUAAAACACHTuJAyIwUhc0BAACMAwAADgAAAAAAAAABACAAAAAn&#10;AQAAZHJzL2Uyb0RvYy54bWxQSwUGAAAAAAYABgBZAQAAZgUAAAAA&#10;">
                      <v:fill on="f" focussize="0,0"/>
                      <v:stroke on="f"/>
                      <v:imagedata o:title=""/>
                      <o:lock v:ext="edit" aspectratio="f"/>
                      <v:textbox inset="7.19992125984252pt,3.59992125984252pt,7.19992125984252pt,3.59992125984252pt">
                        <w:txbxContent>
                          <w:p w14:paraId="43CFDE7B">
                            <w:pPr>
                              <w:rPr>
                                <w:rFonts w:hint="eastAsia" w:eastAsia="宋体"/>
                                <w:lang w:val="en-US" w:eastAsia="zh-CN"/>
                              </w:rPr>
                            </w:pPr>
                            <w:r>
                              <w:rPr>
                                <w:rFonts w:hint="eastAsia"/>
                                <w:lang w:val="en-US" w:eastAsia="zh-CN"/>
                              </w:rPr>
                              <w:t>0.66</w:t>
                            </w:r>
                          </w:p>
                        </w:txbxContent>
                      </v:textbox>
                    </v:shape>
                  </w:pict>
                </mc:Fallback>
              </mc:AlternateContent>
            </w:r>
            <w:r>
              <w:rPr>
                <w:rFonts w:hint="default" w:ascii="Times New Roman" w:hAnsi="Times New Roman" w:eastAsia="宋体" w:cs="Times New Roman"/>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1061720</wp:posOffset>
                      </wp:positionH>
                      <wp:positionV relativeFrom="paragraph">
                        <wp:posOffset>246380</wp:posOffset>
                      </wp:positionV>
                      <wp:extent cx="1128395" cy="271145"/>
                      <wp:effectExtent l="0" t="0" r="0" b="0"/>
                      <wp:wrapNone/>
                      <wp:docPr id="78" name="矩形 78"/>
                      <wp:cNvGraphicFramePr/>
                      <a:graphic xmlns:a="http://schemas.openxmlformats.org/drawingml/2006/main">
                        <a:graphicData uri="http://schemas.microsoft.com/office/word/2010/wordprocessingShape">
                          <wps:wsp>
                            <wps:cNvSpPr/>
                            <wps:spPr>
                              <a:xfrm>
                                <a:off x="0" y="0"/>
                                <a:ext cx="1128395" cy="271145"/>
                              </a:xfrm>
                              <a:prstGeom prst="rect">
                                <a:avLst/>
                              </a:prstGeom>
                              <a:noFill/>
                              <a:ln w="9525">
                                <a:noFill/>
                              </a:ln>
                            </wps:spPr>
                            <wps:txbx>
                              <w:txbxContent>
                                <w:p w14:paraId="16EF32E3">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非雨天（</w:t>
                                  </w:r>
                                  <w:r>
                                    <w:rPr>
                                      <w:rFonts w:hint="eastAsia" w:ascii="宋体" w:hAnsi="宋体" w:cs="宋体"/>
                                      <w:sz w:val="21"/>
                                      <w:u w:val="none" w:color="auto"/>
                                      <w:lang w:val="en-US" w:eastAsia="zh-CN"/>
                                    </w:rPr>
                                    <w:t>0.66</w:t>
                                  </w:r>
                                  <w:r>
                                    <w:rPr>
                                      <w:rFonts w:hint="eastAsia"/>
                                      <w:sz w:val="21"/>
                                      <w:u w:val="none" w:color="auto"/>
                                      <w:lang w:val="en-US" w:eastAsia="zh-CN"/>
                                    </w:rPr>
                                    <w:t>）</w:t>
                                  </w:r>
                                </w:p>
                              </w:txbxContent>
                            </wps:txbx>
                            <wps:bodyPr upright="1"/>
                          </wps:wsp>
                        </a:graphicData>
                      </a:graphic>
                    </wp:anchor>
                  </w:drawing>
                </mc:Choice>
                <mc:Fallback>
                  <w:pict>
                    <v:rect id="_x0000_s1026" o:spid="_x0000_s1026" o:spt="1" style="position:absolute;left:0pt;margin-left:83.6pt;margin-top:19.4pt;height:21.35pt;width:88.85pt;z-index:251719680;mso-width-relative:page;mso-height-relative:page;" filled="f" stroked="f" coordsize="21600,21600" o:gfxdata="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xXP4t&#10;2gAAAAkBAAAPAAAAAAAAAAEAIAAAACIAAABkcnMvZG93bnJldi54bWxQSwECFAAUAAAACACHTuJA&#10;Kx8Kyq0BAABMAwAADgAAAAAAAAABACAAAAApAQAAZHJzL2Uyb0RvYy54bWxQSwUGAAAAAAYABgBZ&#10;AQAASAUAAAAA&#10;">
                      <v:fill on="f" focussize="0,0"/>
                      <v:stroke on="f"/>
                      <v:imagedata o:title=""/>
                      <o:lock v:ext="edit" aspectratio="f"/>
                      <v:textbox>
                        <w:txbxContent>
                          <w:p w14:paraId="16EF32E3">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非雨天（</w:t>
                            </w:r>
                            <w:r>
                              <w:rPr>
                                <w:rFonts w:hint="eastAsia" w:ascii="宋体" w:hAnsi="宋体" w:cs="宋体"/>
                                <w:sz w:val="21"/>
                                <w:u w:val="none" w:color="auto"/>
                                <w:lang w:val="en-US" w:eastAsia="zh-CN"/>
                              </w:rPr>
                              <w:t>0.66</w:t>
                            </w:r>
                            <w:r>
                              <w:rPr>
                                <w:rFonts w:hint="eastAsia"/>
                                <w:sz w:val="21"/>
                                <w:u w:val="none" w:color="auto"/>
                                <w:lang w:val="en-US" w:eastAsia="zh-CN"/>
                              </w:rPr>
                              <w:t>）</w:t>
                            </w:r>
                          </w:p>
                        </w:txbxContent>
                      </v:textbox>
                    </v:rect>
                  </w:pict>
                </mc:Fallback>
              </mc:AlternateContent>
            </w:r>
            <w:r>
              <w:rPr>
                <w:rFonts w:ascii="Times New Roman" w:hAnsi="Times New Roman"/>
                <w:color w:val="auto"/>
                <w:sz w:val="24"/>
              </w:rPr>
              <mc:AlternateContent>
                <mc:Choice Requires="wps">
                  <w:drawing>
                    <wp:anchor distT="0" distB="0" distL="114300" distR="114300" simplePos="0" relativeHeight="251709440" behindDoc="0" locked="0" layoutInCell="1" allowOverlap="1">
                      <wp:simplePos x="0" y="0"/>
                      <wp:positionH relativeFrom="column">
                        <wp:posOffset>2360295</wp:posOffset>
                      </wp:positionH>
                      <wp:positionV relativeFrom="paragraph">
                        <wp:posOffset>77470</wp:posOffset>
                      </wp:positionV>
                      <wp:extent cx="429260" cy="5080"/>
                      <wp:effectExtent l="0" t="33655" r="8890" b="37465"/>
                      <wp:wrapNone/>
                      <wp:docPr id="79" name="直接连接符 79"/>
                      <wp:cNvGraphicFramePr/>
                      <a:graphic xmlns:a="http://schemas.openxmlformats.org/drawingml/2006/main">
                        <a:graphicData uri="http://schemas.microsoft.com/office/word/2010/wordprocessingShape">
                          <wps:wsp>
                            <wps:cNvCnPr/>
                            <wps:spPr>
                              <a:xfrm>
                                <a:off x="0" y="0"/>
                                <a:ext cx="429260" cy="508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85pt;margin-top:6.1pt;height:0.4pt;width:33.8pt;z-index:251709440;mso-width-relative:page;mso-height-relative:page;" filled="f" stroked="t" coordsize="21600,21600" o:gfxdata="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YBgl1wAAAAkBAAAPAAAAAAAAAAEAIAAAACIAAABkcnMvZG93&#10;bnJldi54bWxQSwECFAAUAAAACACHTuJAJ3Gx5QECAADtAwAADgAAAAAAAAABACAAAAAmAQAAZHJz&#10;L2Uyb0RvYy54bWxQSwUGAAAAAAYABgBZAQAAmQUAAAAA&#10;">
                      <v:fill on="f" focussize="0,0"/>
                      <v:stroke weight="1pt" color="#000000" joinstyle="round" endarrow="block"/>
                      <v:imagedata o:title=""/>
                      <o:lock v:ext="edit" aspectratio="f"/>
                    </v:line>
                  </w:pict>
                </mc:Fallback>
              </mc:AlternateContent>
            </w:r>
            <w:r>
              <w:rPr>
                <w:color w:val="auto"/>
                <w:sz w:val="24"/>
              </w:rPr>
              <mc:AlternateContent>
                <mc:Choice Requires="wps">
                  <w:drawing>
                    <wp:anchor distT="0" distB="0" distL="114300" distR="114300" simplePos="0" relativeHeight="251707392" behindDoc="0" locked="0" layoutInCell="1" allowOverlap="1">
                      <wp:simplePos x="0" y="0"/>
                      <wp:positionH relativeFrom="column">
                        <wp:posOffset>1109980</wp:posOffset>
                      </wp:positionH>
                      <wp:positionV relativeFrom="paragraph">
                        <wp:posOffset>19685</wp:posOffset>
                      </wp:positionV>
                      <wp:extent cx="619125" cy="635"/>
                      <wp:effectExtent l="0" t="52070" r="9525" b="61595"/>
                      <wp:wrapNone/>
                      <wp:docPr id="80" name="直接连接符 80"/>
                      <wp:cNvGraphicFramePr/>
                      <a:graphic xmlns:a="http://schemas.openxmlformats.org/drawingml/2006/main">
                        <a:graphicData uri="http://schemas.microsoft.com/office/word/2010/wordprocessingShape">
                          <wps:wsp>
                            <wps:cNvCnPr/>
                            <wps:spPr>
                              <a:xfrm>
                                <a:off x="0" y="0"/>
                                <a:ext cx="619125" cy="63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87.4pt;margin-top:1.55pt;height:0.05pt;width:48.75pt;z-index:251707392;mso-width-relative:page;mso-height-relative:page;" filled="f" stroked="t" coordsize="21600,21600" o:gfxdata="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wTuPd1wAAAAcBAAAPAAAAAAAAAAEAIAAAACIAAABkcnMvZG93bnJldi54&#10;bWxQSwECFAAUAAAACACHTuJAm1bBcvsBAADpAwAADgAAAAAAAAABACAAAAAmAQAAZHJzL2Uyb0Rv&#10;Yy54bWxQSwUGAAAAAAYABgBZAQAAkwUAAAAA&#10;">
                      <v:fill on="f" focussize="0,0"/>
                      <v:stroke weight="1.25pt" color="#000000" joinstyle="round" endarrow="open"/>
                      <v:imagedata o:title=""/>
                      <o:lock v:ext="edit" aspectratio="f"/>
                    </v:line>
                  </w:pict>
                </mc:Fallback>
              </mc:AlternateContent>
            </w:r>
          </w:p>
          <w:p w14:paraId="7BAEF543">
            <w:pPr>
              <w:pStyle w:val="54"/>
              <w:adjustRightInd w:val="0"/>
              <w:snapToGrid w:val="0"/>
              <w:rPr>
                <w:rFonts w:hint="eastAsia" w:ascii="Times New Roman" w:hAnsi="Times New Roman"/>
                <w:bCs/>
                <w:color w:val="auto"/>
                <w:szCs w:val="24"/>
              </w:rPr>
            </w:pPr>
            <w:r>
              <w:rPr>
                <w:rFonts w:ascii="Times New Roman" w:hAnsi="Times New Roman"/>
                <w:color w:val="auto"/>
                <w:sz w:val="24"/>
              </w:rPr>
              <mc:AlternateContent>
                <mc:Choice Requires="wps">
                  <w:drawing>
                    <wp:anchor distT="0" distB="0" distL="114300" distR="114300" simplePos="0" relativeHeight="251720704" behindDoc="0" locked="0" layoutInCell="1" allowOverlap="1">
                      <wp:simplePos x="0" y="0"/>
                      <wp:positionH relativeFrom="column">
                        <wp:posOffset>2162810</wp:posOffset>
                      </wp:positionH>
                      <wp:positionV relativeFrom="paragraph">
                        <wp:posOffset>231140</wp:posOffset>
                      </wp:positionV>
                      <wp:extent cx="732155" cy="295275"/>
                      <wp:effectExtent l="4445" t="4445" r="6350" b="5080"/>
                      <wp:wrapNone/>
                      <wp:docPr id="81" name="文本框 81"/>
                      <wp:cNvGraphicFramePr/>
                      <a:graphic xmlns:a="http://schemas.openxmlformats.org/drawingml/2006/main">
                        <a:graphicData uri="http://schemas.microsoft.com/office/word/2010/wordprocessingShape">
                          <wps:wsp>
                            <wps:cNvSpPr txBox="1"/>
                            <wps:spPr>
                              <a:xfrm>
                                <a:off x="0" y="0"/>
                                <a:ext cx="73215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33512A">
                                  <w:pPr>
                                    <w:rPr>
                                      <w:rFonts w:hint="eastAsia" w:eastAsia="宋体"/>
                                      <w:lang w:eastAsia="zh-CN"/>
                                    </w:rPr>
                                  </w:pPr>
                                  <w:r>
                                    <w:rPr>
                                      <w:rFonts w:hint="eastAsia"/>
                                      <w:lang w:eastAsia="zh-CN"/>
                                    </w:rPr>
                                    <w:t>绿化用水</w:t>
                                  </w:r>
                                </w:p>
                              </w:txbxContent>
                            </wps:txbx>
                            <wps:bodyPr upright="1"/>
                          </wps:wsp>
                        </a:graphicData>
                      </a:graphic>
                    </wp:anchor>
                  </w:drawing>
                </mc:Choice>
                <mc:Fallback>
                  <w:pict>
                    <v:shape id="_x0000_s1026" o:spid="_x0000_s1026" o:spt="202" type="#_x0000_t202" style="position:absolute;left:0pt;margin-left:170.3pt;margin-top:18.2pt;height:23.25pt;width:57.65pt;z-index:251720704;mso-width-relative:page;mso-height-relative:page;" fillcolor="#FFFFFF" filled="t" stroked="t" coordsize="21600,21600" o:gfxdata="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imE19gAAAAJAQAADwAAAAAAAAABACAAAAAi&#10;AAAAZHJzL2Rvd25yZXYueG1sUEsBAhQAFAAAAAgAh07iQOt6sMwKAgAANwQAAA4AAAAAAAAAAQAg&#10;AAAAJwEAAGRycy9lMm9Eb2MueG1sUEsFBgAAAAAGAAYAWQEAAKMFAAAAAA==&#10;">
                      <v:fill on="t" focussize="0,0"/>
                      <v:stroke color="#000000" joinstyle="miter"/>
                      <v:imagedata o:title=""/>
                      <o:lock v:ext="edit" aspectratio="f"/>
                      <v:textbox>
                        <w:txbxContent>
                          <w:p w14:paraId="7F33512A">
                            <w:pPr>
                              <w:rPr>
                                <w:rFonts w:hint="eastAsia" w:eastAsia="宋体"/>
                                <w:lang w:eastAsia="zh-CN"/>
                              </w:rPr>
                            </w:pPr>
                            <w:r>
                              <w:rPr>
                                <w:rFonts w:hint="eastAsia"/>
                                <w:lang w:eastAsia="zh-CN"/>
                              </w:rPr>
                              <w:t>绿化用水</w:t>
                            </w:r>
                          </w:p>
                        </w:txbxContent>
                      </v:textbox>
                    </v:shape>
                  </w:pict>
                </mc:Fallback>
              </mc:AlternateContent>
            </w:r>
            <w:r>
              <w:rPr>
                <w:rFonts w:ascii="Times New Roman" w:hAnsi="Times New Roman"/>
                <w:color w:val="auto"/>
                <w:sz w:val="24"/>
              </w:rPr>
              <mc:AlternateContent>
                <mc:Choice Requires="wps">
                  <w:drawing>
                    <wp:anchor distT="0" distB="0" distL="114300" distR="114300" simplePos="0" relativeHeight="251721728" behindDoc="0" locked="0" layoutInCell="1" allowOverlap="1">
                      <wp:simplePos x="0" y="0"/>
                      <wp:positionH relativeFrom="column">
                        <wp:posOffset>2399030</wp:posOffset>
                      </wp:positionH>
                      <wp:positionV relativeFrom="paragraph">
                        <wp:posOffset>93345</wp:posOffset>
                      </wp:positionV>
                      <wp:extent cx="257175" cy="133350"/>
                      <wp:effectExtent l="0" t="22860" r="9525" b="15240"/>
                      <wp:wrapNone/>
                      <wp:docPr id="82" name="曲线连接符 82"/>
                      <wp:cNvGraphicFramePr/>
                      <a:graphic xmlns:a="http://schemas.openxmlformats.org/drawingml/2006/main">
                        <a:graphicData uri="http://schemas.microsoft.com/office/word/2010/wordprocessingShape">
                          <wps:wsp>
                            <wps:cNvCnPr>
                              <a:stCxn id="34" idx="0"/>
                            </wps:cNvCnPr>
                            <wps:spPr>
                              <a:xfrm flipV="1">
                                <a:off x="0" y="0"/>
                                <a:ext cx="257175" cy="133350"/>
                              </a:xfrm>
                              <a:prstGeom prst="curvedConnector3">
                                <a:avLst>
                                  <a:gd name="adj1" fmla="val 50125"/>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flip:y;margin-left:188.9pt;margin-top:7.35pt;height:10.5pt;width:20.25pt;z-index:251721728;mso-width-relative:page;mso-height-relative:page;" filled="f" stroked="t" coordsize="21600,21600" o:gfxdata="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Gup39gAAAAJAQAADwAAAAAAAAABACAAAAAiAAAAZHJzL2Rvd25yZXYu&#10;eG1sUEsBAhQAFAAAAAgAh07iQLxp47c0AgAATAQAAA4AAAAAAAAAAQAgAAAAJwEAAGRycy9lMm9E&#10;b2MueG1sUEsFBgAAAAAGAAYAWQEAAM0FAAAAAA==&#10;" adj="10827">
                      <v:fill on="f" focussize="0,0"/>
                      <v:stroke color="#000000" joinstyle="round" endarrow="block"/>
                      <v:imagedata o:title=""/>
                      <o:lock v:ext="edit" aspectratio="f"/>
                    </v:shape>
                  </w:pict>
                </mc:Fallback>
              </mc:AlternateContent>
            </w:r>
          </w:p>
          <w:p w14:paraId="3A36E90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ascii="Times New Roman" w:hAnsi="Times New Roman"/>
                <w:b/>
                <w:color w:val="auto"/>
                <w:sz w:val="24"/>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1109345</wp:posOffset>
                      </wp:positionH>
                      <wp:positionV relativeFrom="paragraph">
                        <wp:posOffset>44450</wp:posOffset>
                      </wp:positionV>
                      <wp:extent cx="1128395" cy="271145"/>
                      <wp:effectExtent l="0" t="0" r="0" b="0"/>
                      <wp:wrapNone/>
                      <wp:docPr id="83" name="矩形 83"/>
                      <wp:cNvGraphicFramePr/>
                      <a:graphic xmlns:a="http://schemas.openxmlformats.org/drawingml/2006/main">
                        <a:graphicData uri="http://schemas.microsoft.com/office/word/2010/wordprocessingShape">
                          <wps:wsp>
                            <wps:cNvSpPr/>
                            <wps:spPr>
                              <a:xfrm>
                                <a:off x="0" y="0"/>
                                <a:ext cx="1128395" cy="271145"/>
                              </a:xfrm>
                              <a:prstGeom prst="rect">
                                <a:avLst/>
                              </a:prstGeom>
                              <a:noFill/>
                              <a:ln w="9525">
                                <a:noFill/>
                              </a:ln>
                            </wps:spPr>
                            <wps:txbx>
                              <w:txbxContent>
                                <w:p w14:paraId="1F058FF0">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雨天（</w:t>
                                  </w:r>
                                  <w:r>
                                    <w:rPr>
                                      <w:rFonts w:hint="eastAsia" w:ascii="宋体" w:hAnsi="宋体" w:cs="宋体"/>
                                      <w:sz w:val="21"/>
                                      <w:u w:val="none" w:color="auto"/>
                                      <w:lang w:val="en-US" w:eastAsia="zh-CN"/>
                                    </w:rPr>
                                    <w:t>0</w:t>
                                  </w:r>
                                  <w:r>
                                    <w:rPr>
                                      <w:rFonts w:hint="eastAsia"/>
                                      <w:sz w:val="21"/>
                                      <w:u w:val="none" w:color="auto"/>
                                      <w:lang w:val="en-US" w:eastAsia="zh-CN"/>
                                    </w:rPr>
                                    <w:t>）</w:t>
                                  </w:r>
                                </w:p>
                              </w:txbxContent>
                            </wps:txbx>
                            <wps:bodyPr upright="1"/>
                          </wps:wsp>
                        </a:graphicData>
                      </a:graphic>
                    </wp:anchor>
                  </w:drawing>
                </mc:Choice>
                <mc:Fallback>
                  <w:pict>
                    <v:rect id="_x0000_s1026" o:spid="_x0000_s1026" o:spt="1" style="position:absolute;left:0pt;margin-left:87.35pt;margin-top:3.5pt;height:21.35pt;width:88.85pt;z-index:251718656;mso-width-relative:page;mso-height-relative:page;" filled="f" stroked="f" coordsize="21600,21600" o:gfxdata="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l9gznZ&#10;AAAACAEAAA8AAAAAAAAAAQAgAAAAIgAAAGRycy9kb3ducmV2LnhtbFBLAQIUABQAAAAIAIdO4kDJ&#10;WF2nrQEAAEwDAAAOAAAAAAAAAAEAIAAAACgBAABkcnMvZTJvRG9jLnhtbFBLBQYAAAAABgAGAFkB&#10;AABHBQAAAAA=&#10;">
                      <v:fill on="f" focussize="0,0"/>
                      <v:stroke on="f"/>
                      <v:imagedata o:title=""/>
                      <o:lock v:ext="edit" aspectratio="f"/>
                      <v:textbox>
                        <w:txbxContent>
                          <w:p w14:paraId="1F058FF0">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雨天（</w:t>
                            </w:r>
                            <w:r>
                              <w:rPr>
                                <w:rFonts w:hint="eastAsia" w:ascii="宋体" w:hAnsi="宋体" w:cs="宋体"/>
                                <w:sz w:val="21"/>
                                <w:u w:val="none" w:color="auto"/>
                                <w:lang w:val="en-US" w:eastAsia="zh-CN"/>
                              </w:rPr>
                              <w:t>0</w:t>
                            </w:r>
                            <w:r>
                              <w:rPr>
                                <w:rFonts w:hint="eastAsia"/>
                                <w:sz w:val="21"/>
                                <w:u w:val="none" w:color="auto"/>
                                <w:lang w:val="en-US" w:eastAsia="zh-CN"/>
                              </w:rPr>
                              <w:t>）</w:t>
                            </w:r>
                          </w:p>
                        </w:txbxContent>
                      </v:textbox>
                    </v:rect>
                  </w:pict>
                </mc:Fallback>
              </mc:AlternateContent>
            </w:r>
            <w:r>
              <w:rPr>
                <w:rFonts w:ascii="Times New Roman" w:hAnsi="Times New Roman"/>
                <w:color w:val="auto"/>
                <w:sz w:val="24"/>
              </w:rPr>
              <mc:AlternateContent>
                <mc:Choice Requires="wps">
                  <w:drawing>
                    <wp:anchor distT="0" distB="0" distL="114300" distR="114300" simplePos="0" relativeHeight="251717632" behindDoc="0" locked="0" layoutInCell="1" allowOverlap="1">
                      <wp:simplePos x="0" y="0"/>
                      <wp:positionH relativeFrom="column">
                        <wp:posOffset>1075055</wp:posOffset>
                      </wp:positionH>
                      <wp:positionV relativeFrom="paragraph">
                        <wp:posOffset>76835</wp:posOffset>
                      </wp:positionV>
                      <wp:extent cx="1066800" cy="13335"/>
                      <wp:effectExtent l="0" t="25400" r="0" b="37465"/>
                      <wp:wrapNone/>
                      <wp:docPr id="84" name="直接连接符 84"/>
                      <wp:cNvGraphicFramePr/>
                      <a:graphic xmlns:a="http://schemas.openxmlformats.org/drawingml/2006/main">
                        <a:graphicData uri="http://schemas.microsoft.com/office/word/2010/wordprocessingShape">
                          <wps:wsp>
                            <wps:cNvCnPr/>
                            <wps:spPr>
                              <a:xfrm>
                                <a:off x="0" y="0"/>
                                <a:ext cx="1066800" cy="1333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4.65pt;margin-top:6.05pt;height:1.05pt;width:84pt;z-index:251717632;mso-width-relative:page;mso-height-relative:page;" filled="f" stroked="t" coordsize="21600,21600" o:gfxdata="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JRHDWAAAACQEAAA8AAAAAAAAAAQAgAAAAIgAAAGRycy9kb3ducmV2&#10;LnhtbFBLAQIUABQAAAAIAIdO4kDucTpZ/gEAAO8DAAAOAAAAAAAAAAEAIAAAACUBAABkcnMvZTJv&#10;RG9jLnhtbFBLBQYAAAAABgAGAFkBAACVBQAAAAA=&#10;">
                      <v:fill on="f" focussize="0,0"/>
                      <v:stroke weight="1pt" color="#000000" joinstyle="round" endarrow="block"/>
                      <v:imagedata o:title=""/>
                      <o:lock v:ext="edit" aspectratio="f"/>
                    </v:line>
                  </w:pict>
                </mc:Fallback>
              </mc:AlternateContent>
            </w:r>
          </w:p>
          <w:p w14:paraId="39E4E94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ascii="Times New Roman" w:hAnsi="Times New Roman"/>
                <w:b/>
                <w:color w:val="auto"/>
                <w:sz w:val="24"/>
              </w:rPr>
            </w:pPr>
          </w:p>
          <w:p w14:paraId="75DC2490">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2650" w:firstLineChars="1100"/>
              <w:jc w:val="both"/>
              <w:textAlignment w:val="auto"/>
              <w:outlineLvl w:val="9"/>
              <w:rPr>
                <w:rFonts w:hint="eastAsia" w:ascii="宋体" w:hAnsi="宋体" w:eastAsia="宋体" w:cs="宋体"/>
                <w:b/>
                <w:bCs w:val="0"/>
                <w:color w:val="auto"/>
                <w:spacing w:val="40"/>
                <w:sz w:val="24"/>
                <w:highlight w:val="none"/>
                <w:u w:val="none" w:color="auto"/>
                <w:lang w:eastAsia="zh-CN"/>
              </w:rPr>
            </w:pPr>
            <w:r>
              <w:rPr>
                <w:rFonts w:hint="eastAsia" w:ascii="宋体" w:hAnsi="宋体" w:eastAsia="宋体" w:cs="宋体"/>
                <w:b/>
                <w:color w:val="auto"/>
                <w:sz w:val="24"/>
              </w:rPr>
              <w:t>图5-</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 xml:space="preserve">  项目水量平衡图   (m</w:t>
            </w:r>
            <w:r>
              <w:rPr>
                <w:rFonts w:hint="eastAsia" w:ascii="宋体" w:hAnsi="宋体" w:eastAsia="宋体" w:cs="宋体"/>
                <w:b/>
                <w:color w:val="auto"/>
                <w:sz w:val="24"/>
                <w:vertAlign w:val="superscript"/>
              </w:rPr>
              <w:t>3</w:t>
            </w:r>
            <w:r>
              <w:rPr>
                <w:rFonts w:hint="eastAsia" w:ascii="宋体" w:hAnsi="宋体" w:eastAsia="宋体" w:cs="宋体"/>
                <w:b/>
                <w:color w:val="auto"/>
                <w:sz w:val="24"/>
              </w:rPr>
              <w:t>/</w:t>
            </w:r>
            <w:r>
              <w:rPr>
                <w:b/>
                <w:bCs/>
                <w:color w:val="auto"/>
              </w:rPr>
              <mc:AlternateContent>
                <mc:Choice Requires="wps">
                  <w:drawing>
                    <wp:anchor distT="0" distB="0" distL="114300" distR="114300" simplePos="0" relativeHeight="251723776" behindDoc="0" locked="0" layoutInCell="1" allowOverlap="1">
                      <wp:simplePos x="0" y="0"/>
                      <wp:positionH relativeFrom="column">
                        <wp:posOffset>-214630</wp:posOffset>
                      </wp:positionH>
                      <wp:positionV relativeFrom="paragraph">
                        <wp:posOffset>-5655945</wp:posOffset>
                      </wp:positionV>
                      <wp:extent cx="571500" cy="297180"/>
                      <wp:effectExtent l="0" t="0" r="0" b="0"/>
                      <wp:wrapNone/>
                      <wp:docPr id="85" name="矩形 85"/>
                      <wp:cNvGraphicFramePr/>
                      <a:graphic xmlns:a="http://schemas.openxmlformats.org/drawingml/2006/main">
                        <a:graphicData uri="http://schemas.microsoft.com/office/word/2010/wordprocessingShape">
                          <wps:wsp>
                            <wps:cNvSpPr/>
                            <wps:spPr>
                              <a:xfrm>
                                <a:off x="0" y="0"/>
                                <a:ext cx="571500" cy="297180"/>
                              </a:xfrm>
                              <a:prstGeom prst="rect">
                                <a:avLst/>
                              </a:prstGeom>
                              <a:noFill/>
                              <a:ln w="9525">
                                <a:noFill/>
                              </a:ln>
                            </wps:spPr>
                            <wps:txbx>
                              <w:txbxContent>
                                <w:p w14:paraId="2D9B89A1">
                                  <w:pPr>
                                    <w:jc w:val="center"/>
                                    <w:rPr>
                                      <w:rFonts w:hint="eastAsia" w:ascii="宋体" w:hAnsi="宋体" w:eastAsia="宋体" w:cs="宋体"/>
                                      <w:szCs w:val="21"/>
                                    </w:rPr>
                                  </w:pPr>
                                  <w:r>
                                    <w:rPr>
                                      <w:rFonts w:hint="eastAsia" w:ascii="宋体" w:hAnsi="宋体" w:eastAsia="宋体" w:cs="宋体"/>
                                      <w:szCs w:val="21"/>
                                    </w:rPr>
                                    <w:t>0.4</w:t>
                                  </w:r>
                                </w:p>
                              </w:txbxContent>
                            </wps:txbx>
                            <wps:bodyPr upright="1"/>
                          </wps:wsp>
                        </a:graphicData>
                      </a:graphic>
                    </wp:anchor>
                  </w:drawing>
                </mc:Choice>
                <mc:Fallback>
                  <w:pict>
                    <v:rect id="_x0000_s1026" o:spid="_x0000_s1026" o:spt="1" style="position:absolute;left:0pt;margin-left:-16.9pt;margin-top:-445.35pt;height:23.4pt;width:45pt;z-index:251723776;mso-width-relative:page;mso-height-relative:page;" filled="f" stroked="f" coordsize="21600,21600" o:gfxdata="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Cj&#10;nPjdAAAADAEAAA8AAAAAAAAAAQAgAAAAIgAAAGRycy9kb3ducmV2LnhtbFBLAQIUABQAAAAIAIdO&#10;4kDU0jurrAEAAEsDAAAOAAAAAAAAAAEAIAAAACwBAABkcnMvZTJvRG9jLnhtbFBLBQYAAAAABgAG&#10;AFkBAABKBQAAAAA=&#10;">
                      <v:fill on="f" focussize="0,0"/>
                      <v:stroke on="f"/>
                      <v:imagedata o:title=""/>
                      <o:lock v:ext="edit" aspectratio="f"/>
                      <v:textbox>
                        <w:txbxContent>
                          <w:p w14:paraId="2D9B89A1">
                            <w:pPr>
                              <w:jc w:val="center"/>
                              <w:rPr>
                                <w:rFonts w:hint="eastAsia" w:ascii="宋体" w:hAnsi="宋体" w:eastAsia="宋体" w:cs="宋体"/>
                                <w:szCs w:val="21"/>
                              </w:rPr>
                            </w:pPr>
                            <w:r>
                              <w:rPr>
                                <w:rFonts w:hint="eastAsia" w:ascii="宋体" w:hAnsi="宋体" w:eastAsia="宋体" w:cs="宋体"/>
                                <w:szCs w:val="21"/>
                              </w:rPr>
                              <w:t>0.4</w:t>
                            </w:r>
                          </w:p>
                        </w:txbxContent>
                      </v:textbox>
                    </v:rect>
                  </w:pict>
                </mc:Fallback>
              </mc:AlternateContent>
            </w:r>
            <w:r>
              <w:rPr>
                <w:rFonts w:hint="eastAsia"/>
                <w:b/>
                <w:bCs/>
                <w:color w:val="auto"/>
                <w:lang w:val="en-US" w:eastAsia="zh-CN"/>
              </w:rPr>
              <w:t>d</w:t>
            </w:r>
            <w:r>
              <w:rPr>
                <w:rFonts w:hint="eastAsia" w:ascii="宋体" w:hAnsi="宋体" w:eastAsia="宋体" w:cs="宋体"/>
                <w:b/>
                <w:color w:val="auto"/>
                <w:sz w:val="24"/>
                <w:lang w:val="en-US" w:eastAsia="zh-CN"/>
              </w:rPr>
              <w:t>）</w:t>
            </w:r>
          </w:p>
          <w:p w14:paraId="49DD919E">
            <w:pPr>
              <w:spacing w:line="360" w:lineRule="auto"/>
              <w:jc w:val="both"/>
              <w:outlineLvl w:val="9"/>
              <w:rPr>
                <w:rFonts w:hint="eastAsia" w:ascii="宋体" w:hAnsi="宋体" w:eastAsia="宋体" w:cs="宋体"/>
                <w:b/>
                <w:bCs w:val="0"/>
                <w:color w:val="auto"/>
                <w:spacing w:val="40"/>
                <w:sz w:val="24"/>
                <w:highlight w:val="none"/>
                <w:u w:val="none" w:color="auto"/>
                <w:lang w:eastAsia="zh-CN"/>
              </w:rPr>
            </w:pPr>
          </w:p>
          <w:p w14:paraId="44CEEB84">
            <w:pPr>
              <w:spacing w:line="360" w:lineRule="auto"/>
              <w:jc w:val="center"/>
              <w:outlineLvl w:val="9"/>
              <w:rPr>
                <w:rFonts w:hint="eastAsia" w:ascii="宋体" w:hAnsi="宋体" w:eastAsia="宋体" w:cs="宋体"/>
                <w:b/>
                <w:bCs w:val="0"/>
                <w:color w:val="auto"/>
                <w:spacing w:val="40"/>
                <w:sz w:val="24"/>
                <w:highlight w:val="none"/>
                <w:u w:val="none" w:color="auto"/>
                <w:lang w:eastAsia="zh-CN"/>
              </w:rPr>
            </w:pPr>
          </w:p>
          <w:p w14:paraId="5CC9182E">
            <w:pPr>
              <w:spacing w:line="360" w:lineRule="auto"/>
              <w:jc w:val="center"/>
              <w:outlineLvl w:val="9"/>
              <w:rPr>
                <w:rFonts w:hint="eastAsia" w:ascii="宋体" w:hAnsi="宋体" w:eastAsia="宋体" w:cs="宋体"/>
                <w:b/>
                <w:bCs w:val="0"/>
                <w:color w:val="auto"/>
                <w:spacing w:val="40"/>
                <w:sz w:val="24"/>
                <w:highlight w:val="none"/>
                <w:u w:val="none" w:color="auto"/>
                <w:lang w:eastAsia="zh-CN"/>
              </w:rPr>
            </w:pPr>
          </w:p>
          <w:p w14:paraId="4D8C071A">
            <w:pPr>
              <w:spacing w:line="360" w:lineRule="auto"/>
              <w:jc w:val="center"/>
              <w:outlineLvl w:val="9"/>
              <w:rPr>
                <w:rFonts w:hint="eastAsia" w:ascii="宋体" w:hAnsi="宋体" w:eastAsia="宋体" w:cs="宋体"/>
                <w:b/>
                <w:bCs w:val="0"/>
                <w:color w:val="auto"/>
                <w:spacing w:val="40"/>
                <w:sz w:val="24"/>
                <w:highlight w:val="none"/>
                <w:u w:val="none" w:color="auto"/>
                <w:lang w:eastAsia="zh-CN"/>
              </w:rPr>
            </w:pPr>
          </w:p>
          <w:p w14:paraId="4EDDD41C">
            <w:pPr>
              <w:spacing w:line="360" w:lineRule="auto"/>
              <w:jc w:val="center"/>
              <w:outlineLvl w:val="9"/>
              <w:rPr>
                <w:rFonts w:hint="eastAsia" w:ascii="宋体" w:hAnsi="宋体" w:eastAsia="宋体" w:cs="宋体"/>
                <w:b/>
                <w:bCs w:val="0"/>
                <w:color w:val="auto"/>
                <w:spacing w:val="40"/>
                <w:sz w:val="24"/>
                <w:highlight w:val="none"/>
                <w:u w:val="none" w:color="auto"/>
                <w:lang w:eastAsia="zh-CN"/>
              </w:rPr>
            </w:pPr>
          </w:p>
          <w:p w14:paraId="638B47F1">
            <w:pPr>
              <w:spacing w:line="360" w:lineRule="auto"/>
              <w:jc w:val="center"/>
              <w:outlineLvl w:val="9"/>
              <w:rPr>
                <w:rFonts w:hint="eastAsia" w:ascii="宋体" w:hAnsi="宋体" w:eastAsia="宋体" w:cs="宋体"/>
                <w:b/>
                <w:bCs w:val="0"/>
                <w:color w:val="auto"/>
                <w:spacing w:val="40"/>
                <w:sz w:val="24"/>
                <w:highlight w:val="none"/>
                <w:u w:val="none" w:color="auto"/>
                <w:lang w:eastAsia="zh-CN"/>
              </w:rPr>
            </w:pPr>
          </w:p>
          <w:p w14:paraId="75040BD5">
            <w:pPr>
              <w:spacing w:line="360" w:lineRule="auto"/>
              <w:jc w:val="center"/>
              <w:outlineLvl w:val="9"/>
              <w:rPr>
                <w:rFonts w:hint="eastAsia" w:ascii="宋体" w:hAnsi="宋体" w:eastAsia="宋体" w:cs="宋体"/>
                <w:b/>
                <w:bCs w:val="0"/>
                <w:color w:val="auto"/>
                <w:spacing w:val="40"/>
                <w:sz w:val="24"/>
                <w:highlight w:val="none"/>
                <w:u w:val="none" w:color="auto"/>
                <w:lang w:eastAsia="zh-CN"/>
              </w:rPr>
            </w:pPr>
          </w:p>
          <w:p w14:paraId="5A354F31">
            <w:pPr>
              <w:spacing w:line="360" w:lineRule="auto"/>
              <w:jc w:val="center"/>
              <w:outlineLvl w:val="9"/>
              <w:rPr>
                <w:rFonts w:hint="eastAsia" w:ascii="宋体" w:hAnsi="宋体" w:eastAsia="宋体" w:cs="宋体"/>
                <w:b/>
                <w:bCs w:val="0"/>
                <w:color w:val="auto"/>
                <w:spacing w:val="40"/>
                <w:sz w:val="24"/>
                <w:highlight w:val="none"/>
                <w:u w:val="none" w:color="auto"/>
                <w:lang w:eastAsia="zh-CN"/>
              </w:rPr>
            </w:pPr>
          </w:p>
          <w:p w14:paraId="0D63E434">
            <w:pPr>
              <w:spacing w:line="360" w:lineRule="auto"/>
              <w:jc w:val="center"/>
              <w:outlineLvl w:val="9"/>
              <w:rPr>
                <w:rFonts w:hint="eastAsia" w:ascii="宋体" w:hAnsi="宋体" w:eastAsia="宋体" w:cs="宋体"/>
                <w:b/>
                <w:bCs w:val="0"/>
                <w:color w:val="auto"/>
                <w:spacing w:val="40"/>
                <w:sz w:val="24"/>
                <w:highlight w:val="none"/>
                <w:u w:val="none" w:color="auto"/>
                <w:lang w:eastAsia="zh-CN"/>
              </w:rPr>
            </w:pPr>
          </w:p>
          <w:p w14:paraId="2BBC6BDD">
            <w:pPr>
              <w:spacing w:line="360" w:lineRule="auto"/>
              <w:jc w:val="both"/>
              <w:outlineLvl w:val="9"/>
              <w:rPr>
                <w:rFonts w:hint="eastAsia" w:ascii="宋体" w:hAnsi="宋体" w:eastAsia="宋体" w:cs="宋体"/>
                <w:b/>
                <w:bCs w:val="0"/>
                <w:color w:val="auto"/>
                <w:spacing w:val="40"/>
                <w:sz w:val="24"/>
                <w:highlight w:val="none"/>
                <w:u w:val="none" w:color="auto"/>
                <w:lang w:eastAsia="zh-CN"/>
              </w:rPr>
            </w:pPr>
          </w:p>
          <w:p w14:paraId="72AB34F3">
            <w:pPr>
              <w:spacing w:line="360" w:lineRule="auto"/>
              <w:jc w:val="center"/>
              <w:outlineLvl w:val="9"/>
              <w:rPr>
                <w:rFonts w:hint="eastAsia" w:ascii="宋体" w:hAnsi="宋体" w:eastAsia="宋体" w:cs="宋体"/>
                <w:b/>
                <w:bCs w:val="0"/>
                <w:color w:val="auto"/>
                <w:sz w:val="24"/>
                <w:highlight w:val="none"/>
                <w:u w:val="none" w:color="auto"/>
              </w:rPr>
            </w:pPr>
            <w:r>
              <w:rPr>
                <w:rFonts w:hint="eastAsia" w:ascii="宋体" w:hAnsi="宋体" w:eastAsia="宋体" w:cs="宋体"/>
                <w:b/>
                <w:bCs w:val="0"/>
                <w:color w:val="auto"/>
                <w:spacing w:val="40"/>
                <w:sz w:val="24"/>
                <w:highlight w:val="none"/>
                <w:u w:val="none" w:color="auto"/>
                <w:lang w:eastAsia="zh-CN"/>
              </w:rPr>
              <w:t>表</w:t>
            </w:r>
            <w:r>
              <w:rPr>
                <w:rFonts w:hint="eastAsia" w:ascii="宋体" w:hAnsi="宋体" w:eastAsia="宋体" w:cs="宋体"/>
                <w:b/>
                <w:bCs w:val="0"/>
                <w:color w:val="auto"/>
                <w:spacing w:val="40"/>
                <w:sz w:val="24"/>
                <w:highlight w:val="none"/>
                <w:u w:val="none" w:color="auto"/>
                <w:lang w:val="en-US" w:eastAsia="zh-CN"/>
              </w:rPr>
              <w:t>5-5</w:t>
            </w:r>
            <w:r>
              <w:rPr>
                <w:rFonts w:hint="eastAsia" w:ascii="宋体" w:hAnsi="宋体" w:eastAsia="宋体" w:cs="宋体"/>
                <w:b/>
                <w:bCs w:val="0"/>
                <w:color w:val="auto"/>
                <w:spacing w:val="40"/>
                <w:sz w:val="24"/>
                <w:highlight w:val="none"/>
                <w:u w:val="none" w:color="auto"/>
              </w:rPr>
              <w:t xml:space="preserve"> </w:t>
            </w:r>
            <w:r>
              <w:rPr>
                <w:rFonts w:hint="eastAsia" w:ascii="宋体" w:hAnsi="宋体" w:eastAsia="宋体" w:cs="宋体"/>
                <w:b/>
                <w:bCs w:val="0"/>
                <w:color w:val="auto"/>
                <w:spacing w:val="40"/>
                <w:sz w:val="24"/>
                <w:highlight w:val="none"/>
                <w:u w:val="none" w:color="auto"/>
                <w:lang w:val="en-US" w:eastAsia="zh-CN"/>
              </w:rPr>
              <w:t>项目污水产排放情况一览表</w:t>
            </w:r>
          </w:p>
          <w:tbl>
            <w:tblPr>
              <w:tblStyle w:val="24"/>
              <w:tblpPr w:leftFromText="180" w:rightFromText="180" w:vertAnchor="text" w:horzAnchor="page" w:tblpX="86" w:tblpY="301"/>
              <w:tblOverlap w:val="never"/>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4"/>
              <w:gridCol w:w="1859"/>
              <w:gridCol w:w="1336"/>
              <w:gridCol w:w="1537"/>
              <w:gridCol w:w="1537"/>
              <w:gridCol w:w="1468"/>
            </w:tblGrid>
            <w:tr w14:paraId="27FDE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restart"/>
                  <w:vAlign w:val="center"/>
                </w:tcPr>
                <w:p w14:paraId="7E6A9200">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污染源名称</w:t>
                  </w:r>
                </w:p>
              </w:tc>
              <w:tc>
                <w:tcPr>
                  <w:tcW w:w="1859" w:type="dxa"/>
                  <w:vMerge w:val="restart"/>
                  <w:vAlign w:val="center"/>
                </w:tcPr>
                <w:p w14:paraId="69E1F66A">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污染物</w:t>
                  </w:r>
                </w:p>
              </w:tc>
              <w:tc>
                <w:tcPr>
                  <w:tcW w:w="1336" w:type="dxa"/>
                  <w:vMerge w:val="restart"/>
                  <w:vAlign w:val="center"/>
                </w:tcPr>
                <w:p w14:paraId="5EA88B47">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废水量m</w:t>
                  </w:r>
                  <w:r>
                    <w:rPr>
                      <w:rFonts w:hint="eastAsia" w:ascii="宋体" w:hAnsi="宋体" w:eastAsia="宋体" w:cs="宋体"/>
                      <w:color w:val="auto"/>
                      <w:kern w:val="0"/>
                      <w:sz w:val="21"/>
                      <w:szCs w:val="21"/>
                      <w:u w:val="none"/>
                      <w:vertAlign w:val="superscript"/>
                      <w:lang w:bidi="ar"/>
                    </w:rPr>
                    <w:t>3</w:t>
                  </w:r>
                  <w:r>
                    <w:rPr>
                      <w:rFonts w:hint="eastAsia" w:ascii="宋体" w:hAnsi="宋体" w:eastAsia="宋体" w:cs="宋体"/>
                      <w:color w:val="auto"/>
                      <w:kern w:val="0"/>
                      <w:sz w:val="21"/>
                      <w:szCs w:val="21"/>
                      <w:u w:val="none"/>
                      <w:lang w:bidi="ar"/>
                    </w:rPr>
                    <w:t>/a</w:t>
                  </w:r>
                </w:p>
              </w:tc>
              <w:tc>
                <w:tcPr>
                  <w:tcW w:w="3074" w:type="dxa"/>
                  <w:gridSpan w:val="2"/>
                  <w:vAlign w:val="center"/>
                </w:tcPr>
                <w:p w14:paraId="19F1EA64">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产生情况</w:t>
                  </w:r>
                </w:p>
              </w:tc>
              <w:tc>
                <w:tcPr>
                  <w:tcW w:w="1468" w:type="dxa"/>
                  <w:vMerge w:val="restart"/>
                  <w:vAlign w:val="center"/>
                </w:tcPr>
                <w:p w14:paraId="585F9CA4">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拟采取的处理措施</w:t>
                  </w:r>
                </w:p>
              </w:tc>
            </w:tr>
            <w:tr w14:paraId="1E531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1E469D2A">
                  <w:pPr>
                    <w:spacing w:line="240" w:lineRule="auto"/>
                    <w:ind w:leftChars="100"/>
                    <w:jc w:val="center"/>
                    <w:rPr>
                      <w:rFonts w:hint="eastAsia" w:ascii="宋体" w:hAnsi="宋体" w:eastAsia="宋体" w:cs="宋体"/>
                      <w:color w:val="auto"/>
                      <w:sz w:val="21"/>
                      <w:szCs w:val="21"/>
                      <w:u w:val="none"/>
                    </w:rPr>
                  </w:pPr>
                </w:p>
              </w:tc>
              <w:tc>
                <w:tcPr>
                  <w:tcW w:w="1859" w:type="dxa"/>
                  <w:vMerge w:val="continue"/>
                  <w:vAlign w:val="center"/>
                </w:tcPr>
                <w:p w14:paraId="22FF2B97">
                  <w:pPr>
                    <w:spacing w:line="240" w:lineRule="auto"/>
                    <w:ind w:leftChars="100"/>
                    <w:jc w:val="center"/>
                    <w:rPr>
                      <w:rFonts w:hint="eastAsia" w:ascii="宋体" w:hAnsi="宋体" w:eastAsia="宋体" w:cs="宋体"/>
                      <w:color w:val="auto"/>
                      <w:sz w:val="21"/>
                      <w:szCs w:val="21"/>
                      <w:u w:val="none"/>
                    </w:rPr>
                  </w:pPr>
                </w:p>
              </w:tc>
              <w:tc>
                <w:tcPr>
                  <w:tcW w:w="1336" w:type="dxa"/>
                  <w:vMerge w:val="continue"/>
                  <w:vAlign w:val="center"/>
                </w:tcPr>
                <w:p w14:paraId="6BFC77D2">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7C2DDF11">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浓度mg/L</w:t>
                  </w:r>
                </w:p>
              </w:tc>
              <w:tc>
                <w:tcPr>
                  <w:tcW w:w="1537" w:type="dxa"/>
                  <w:vAlign w:val="center"/>
                </w:tcPr>
                <w:p w14:paraId="63153710">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污染物量t/a</w:t>
                  </w:r>
                </w:p>
              </w:tc>
              <w:tc>
                <w:tcPr>
                  <w:tcW w:w="1468" w:type="dxa"/>
                  <w:vMerge w:val="continue"/>
                  <w:vAlign w:val="center"/>
                </w:tcPr>
                <w:p w14:paraId="16813C37">
                  <w:pPr>
                    <w:spacing w:line="240" w:lineRule="auto"/>
                    <w:ind w:leftChars="100"/>
                    <w:rPr>
                      <w:rFonts w:hint="eastAsia" w:ascii="宋体" w:hAnsi="宋体" w:eastAsia="宋体" w:cs="宋体"/>
                      <w:color w:val="auto"/>
                      <w:sz w:val="21"/>
                      <w:szCs w:val="21"/>
                      <w:u w:val="none"/>
                    </w:rPr>
                  </w:pPr>
                </w:p>
              </w:tc>
            </w:tr>
            <w:tr w14:paraId="7275D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restart"/>
                  <w:vAlign w:val="center"/>
                </w:tcPr>
                <w:p w14:paraId="6EE02812">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办公、生活污水</w:t>
                  </w:r>
                </w:p>
              </w:tc>
              <w:tc>
                <w:tcPr>
                  <w:tcW w:w="1859" w:type="dxa"/>
                  <w:vAlign w:val="center"/>
                </w:tcPr>
                <w:p w14:paraId="730DBFFC">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CODcr</w:t>
                  </w:r>
                </w:p>
              </w:tc>
              <w:tc>
                <w:tcPr>
                  <w:tcW w:w="1336" w:type="dxa"/>
                  <w:vMerge w:val="restart"/>
                  <w:vAlign w:val="center"/>
                </w:tcPr>
                <w:p w14:paraId="377971AD">
                  <w:pPr>
                    <w:spacing w:line="240" w:lineRule="auto"/>
                    <w:ind w:leftChars="100"/>
                    <w:jc w:val="center"/>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211.2</w:t>
                  </w:r>
                </w:p>
              </w:tc>
              <w:tc>
                <w:tcPr>
                  <w:tcW w:w="1537" w:type="dxa"/>
                  <w:vAlign w:val="center"/>
                </w:tcPr>
                <w:p w14:paraId="23AFA1A5">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400</w:t>
                  </w:r>
                </w:p>
              </w:tc>
              <w:tc>
                <w:tcPr>
                  <w:tcW w:w="1537" w:type="dxa"/>
                  <w:vAlign w:val="center"/>
                </w:tcPr>
                <w:p w14:paraId="3995E629">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0845</w:t>
                  </w:r>
                </w:p>
              </w:tc>
              <w:tc>
                <w:tcPr>
                  <w:tcW w:w="1468" w:type="dxa"/>
                  <w:vMerge w:val="restart"/>
                  <w:vAlign w:val="center"/>
                </w:tcPr>
                <w:p w14:paraId="7A7FE5F1">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经</w:t>
                  </w:r>
                  <w:r>
                    <w:rPr>
                      <w:rFonts w:hint="eastAsia" w:ascii="宋体" w:hAnsi="宋体" w:eastAsia="宋体" w:cs="宋体"/>
                      <w:color w:val="auto"/>
                      <w:kern w:val="0"/>
                      <w:sz w:val="21"/>
                      <w:szCs w:val="21"/>
                      <w:u w:val="none"/>
                      <w:lang w:bidi="ar"/>
                    </w:rPr>
                    <w:t>化粪池处理</w:t>
                  </w:r>
                </w:p>
              </w:tc>
            </w:tr>
            <w:tr w14:paraId="48B6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4C754001">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58564672">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BOD</w:t>
                  </w:r>
                  <w:r>
                    <w:rPr>
                      <w:rFonts w:hint="eastAsia" w:ascii="宋体" w:hAnsi="宋体" w:eastAsia="宋体" w:cs="宋体"/>
                      <w:color w:val="auto"/>
                      <w:kern w:val="0"/>
                      <w:sz w:val="21"/>
                      <w:szCs w:val="21"/>
                      <w:u w:val="none"/>
                      <w:vertAlign w:val="subscript"/>
                      <w:lang w:bidi="ar"/>
                    </w:rPr>
                    <w:t>5</w:t>
                  </w:r>
                </w:p>
              </w:tc>
              <w:tc>
                <w:tcPr>
                  <w:tcW w:w="1336" w:type="dxa"/>
                  <w:vMerge w:val="continue"/>
                  <w:vAlign w:val="center"/>
                </w:tcPr>
                <w:p w14:paraId="620B0593">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6A9BF197">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250</w:t>
                  </w:r>
                </w:p>
              </w:tc>
              <w:tc>
                <w:tcPr>
                  <w:tcW w:w="1537" w:type="dxa"/>
                  <w:vAlign w:val="center"/>
                </w:tcPr>
                <w:p w14:paraId="49D67A92">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528</w:t>
                  </w:r>
                </w:p>
              </w:tc>
              <w:tc>
                <w:tcPr>
                  <w:tcW w:w="1468" w:type="dxa"/>
                  <w:vMerge w:val="continue"/>
                  <w:vAlign w:val="center"/>
                </w:tcPr>
                <w:p w14:paraId="76E3EC95">
                  <w:pPr>
                    <w:spacing w:line="240" w:lineRule="auto"/>
                    <w:ind w:leftChars="100"/>
                    <w:rPr>
                      <w:rFonts w:hint="eastAsia" w:ascii="宋体" w:hAnsi="宋体" w:eastAsia="宋体" w:cs="宋体"/>
                      <w:color w:val="auto"/>
                      <w:sz w:val="21"/>
                      <w:szCs w:val="21"/>
                      <w:u w:val="none"/>
                    </w:rPr>
                  </w:pPr>
                </w:p>
              </w:tc>
            </w:tr>
            <w:tr w14:paraId="7B79E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07EA7AE6">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43009A80">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SS</w:t>
                  </w:r>
                </w:p>
              </w:tc>
              <w:tc>
                <w:tcPr>
                  <w:tcW w:w="1336" w:type="dxa"/>
                  <w:vMerge w:val="continue"/>
                  <w:vAlign w:val="center"/>
                </w:tcPr>
                <w:p w14:paraId="64BF72F1">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4285ABF3">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170</w:t>
                  </w:r>
                </w:p>
              </w:tc>
              <w:tc>
                <w:tcPr>
                  <w:tcW w:w="1537" w:type="dxa"/>
                  <w:vAlign w:val="center"/>
                </w:tcPr>
                <w:p w14:paraId="6BACCE2B">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359</w:t>
                  </w:r>
                </w:p>
              </w:tc>
              <w:tc>
                <w:tcPr>
                  <w:tcW w:w="1468" w:type="dxa"/>
                  <w:vMerge w:val="continue"/>
                  <w:vAlign w:val="center"/>
                </w:tcPr>
                <w:p w14:paraId="042E9AAC">
                  <w:pPr>
                    <w:spacing w:line="240" w:lineRule="auto"/>
                    <w:ind w:leftChars="100"/>
                    <w:rPr>
                      <w:rFonts w:hint="eastAsia" w:ascii="宋体" w:hAnsi="宋体" w:eastAsia="宋体" w:cs="宋体"/>
                      <w:color w:val="auto"/>
                      <w:sz w:val="21"/>
                      <w:szCs w:val="21"/>
                      <w:u w:val="none"/>
                    </w:rPr>
                  </w:pPr>
                </w:p>
              </w:tc>
            </w:tr>
            <w:tr w14:paraId="315C0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37B8797F">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5801D0C5">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NH</w:t>
                  </w:r>
                  <w:r>
                    <w:rPr>
                      <w:rFonts w:hint="eastAsia" w:ascii="宋体" w:hAnsi="宋体" w:eastAsia="宋体" w:cs="宋体"/>
                      <w:color w:val="auto"/>
                      <w:kern w:val="0"/>
                      <w:sz w:val="21"/>
                      <w:szCs w:val="21"/>
                      <w:u w:val="none"/>
                      <w:vertAlign w:val="subscript"/>
                      <w:lang w:bidi="ar"/>
                    </w:rPr>
                    <w:t>3</w:t>
                  </w:r>
                  <w:r>
                    <w:rPr>
                      <w:rFonts w:hint="eastAsia" w:ascii="宋体" w:hAnsi="宋体" w:eastAsia="宋体" w:cs="宋体"/>
                      <w:color w:val="auto"/>
                      <w:kern w:val="0"/>
                      <w:sz w:val="21"/>
                      <w:szCs w:val="21"/>
                      <w:u w:val="none"/>
                      <w:lang w:bidi="ar"/>
                    </w:rPr>
                    <w:t>-N</w:t>
                  </w:r>
                </w:p>
              </w:tc>
              <w:tc>
                <w:tcPr>
                  <w:tcW w:w="1336" w:type="dxa"/>
                  <w:vMerge w:val="continue"/>
                  <w:vAlign w:val="center"/>
                </w:tcPr>
                <w:p w14:paraId="195D5A8A">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2C6A0CDB">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29</w:t>
                  </w:r>
                </w:p>
              </w:tc>
              <w:tc>
                <w:tcPr>
                  <w:tcW w:w="1537" w:type="dxa"/>
                  <w:vAlign w:val="center"/>
                </w:tcPr>
                <w:p w14:paraId="06D33C2D">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359</w:t>
                  </w:r>
                </w:p>
              </w:tc>
              <w:tc>
                <w:tcPr>
                  <w:tcW w:w="1468" w:type="dxa"/>
                  <w:vMerge w:val="continue"/>
                  <w:vAlign w:val="center"/>
                </w:tcPr>
                <w:p w14:paraId="40BDD4C4">
                  <w:pPr>
                    <w:spacing w:line="240" w:lineRule="auto"/>
                    <w:ind w:leftChars="100"/>
                    <w:rPr>
                      <w:rFonts w:hint="eastAsia" w:ascii="宋体" w:hAnsi="宋体" w:eastAsia="宋体" w:cs="宋体"/>
                      <w:color w:val="auto"/>
                      <w:sz w:val="21"/>
                      <w:szCs w:val="21"/>
                      <w:u w:val="none"/>
                    </w:rPr>
                  </w:pPr>
                </w:p>
              </w:tc>
            </w:tr>
            <w:tr w14:paraId="65B5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1B652CC7">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45B2B8EC">
                  <w:pPr>
                    <w:widowControl/>
                    <w:spacing w:line="240" w:lineRule="auto"/>
                    <w:ind w:leftChars="100"/>
                    <w:jc w:val="center"/>
                    <w:rPr>
                      <w:rFonts w:hint="eastAsia" w:ascii="宋体" w:hAnsi="宋体" w:eastAsia="宋体" w:cs="宋体"/>
                      <w:color w:val="auto"/>
                      <w:kern w:val="0"/>
                      <w:sz w:val="21"/>
                      <w:szCs w:val="21"/>
                      <w:u w:val="none"/>
                      <w:lang w:bidi="ar"/>
                    </w:rPr>
                  </w:pPr>
                  <w:r>
                    <w:rPr>
                      <w:rFonts w:hint="eastAsia" w:ascii="宋体" w:hAnsi="宋体" w:eastAsia="宋体" w:cs="宋体"/>
                      <w:color w:val="auto"/>
                      <w:kern w:val="0"/>
                      <w:sz w:val="21"/>
                      <w:szCs w:val="21"/>
                      <w:u w:val="none"/>
                      <w:lang w:bidi="ar"/>
                    </w:rPr>
                    <w:t>动植物油</w:t>
                  </w:r>
                </w:p>
              </w:tc>
              <w:tc>
                <w:tcPr>
                  <w:tcW w:w="1336" w:type="dxa"/>
                  <w:vMerge w:val="continue"/>
                  <w:vAlign w:val="center"/>
                </w:tcPr>
                <w:p w14:paraId="1E8F2F99">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71B0D561">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1537" w:type="dxa"/>
                  <w:vAlign w:val="center"/>
                </w:tcPr>
                <w:p w14:paraId="77522F56">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rPr>
                    <w:t>0.00</w:t>
                  </w:r>
                  <w:r>
                    <w:rPr>
                      <w:rFonts w:hint="eastAsia" w:ascii="宋体" w:hAnsi="宋体" w:eastAsia="宋体" w:cs="宋体"/>
                      <w:color w:val="auto"/>
                      <w:kern w:val="0"/>
                      <w:sz w:val="21"/>
                      <w:szCs w:val="21"/>
                      <w:lang w:val="en-US" w:eastAsia="zh-CN"/>
                    </w:rPr>
                    <w:t>42</w:t>
                  </w:r>
                </w:p>
              </w:tc>
              <w:tc>
                <w:tcPr>
                  <w:tcW w:w="1468" w:type="dxa"/>
                  <w:vMerge w:val="continue"/>
                  <w:vAlign w:val="center"/>
                </w:tcPr>
                <w:p w14:paraId="06FBCFA9">
                  <w:pPr>
                    <w:spacing w:line="240" w:lineRule="auto"/>
                    <w:ind w:leftChars="100"/>
                    <w:rPr>
                      <w:rFonts w:hint="eastAsia" w:ascii="宋体" w:hAnsi="宋体" w:eastAsia="宋体" w:cs="宋体"/>
                      <w:color w:val="auto"/>
                      <w:sz w:val="21"/>
                      <w:szCs w:val="21"/>
                      <w:u w:val="none"/>
                    </w:rPr>
                  </w:pPr>
                </w:p>
              </w:tc>
            </w:tr>
            <w:tr w14:paraId="3CB57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restart"/>
                  <w:vAlign w:val="center"/>
                </w:tcPr>
                <w:p w14:paraId="5B7EFB2F">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厨房废水</w:t>
                  </w:r>
                </w:p>
              </w:tc>
              <w:tc>
                <w:tcPr>
                  <w:tcW w:w="1859" w:type="dxa"/>
                  <w:vAlign w:val="center"/>
                </w:tcPr>
                <w:p w14:paraId="4F2B39C7">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CODcr</w:t>
                  </w:r>
                </w:p>
              </w:tc>
              <w:tc>
                <w:tcPr>
                  <w:tcW w:w="1336" w:type="dxa"/>
                  <w:vMerge w:val="restart"/>
                  <w:vAlign w:val="center"/>
                </w:tcPr>
                <w:p w14:paraId="535DA268">
                  <w:pPr>
                    <w:spacing w:line="240" w:lineRule="auto"/>
                    <w:ind w:leftChars="100"/>
                    <w:jc w:val="center"/>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76.8</w:t>
                  </w:r>
                </w:p>
              </w:tc>
              <w:tc>
                <w:tcPr>
                  <w:tcW w:w="1537" w:type="dxa"/>
                  <w:vAlign w:val="center"/>
                </w:tcPr>
                <w:p w14:paraId="4DA902BF">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600</w:t>
                  </w:r>
                </w:p>
              </w:tc>
              <w:tc>
                <w:tcPr>
                  <w:tcW w:w="1537" w:type="dxa"/>
                  <w:vAlign w:val="center"/>
                </w:tcPr>
                <w:p w14:paraId="79546AEB">
                  <w:pPr>
                    <w:widowControl/>
                    <w:spacing w:line="240" w:lineRule="auto"/>
                    <w:ind w:leftChars="100"/>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461</w:t>
                  </w:r>
                </w:p>
              </w:tc>
              <w:tc>
                <w:tcPr>
                  <w:tcW w:w="1468" w:type="dxa"/>
                  <w:vMerge w:val="restart"/>
                  <w:vAlign w:val="center"/>
                </w:tcPr>
                <w:p w14:paraId="7ACDD81B">
                  <w:pPr>
                    <w:spacing w:line="240" w:lineRule="auto"/>
                    <w:ind w:leftChars="100"/>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经</w:t>
                  </w:r>
                  <w:r>
                    <w:rPr>
                      <w:rFonts w:hint="eastAsia" w:ascii="宋体" w:hAnsi="宋体" w:eastAsia="宋体" w:cs="宋体"/>
                      <w:color w:val="auto"/>
                      <w:kern w:val="0"/>
                      <w:sz w:val="21"/>
                      <w:szCs w:val="21"/>
                      <w:u w:val="none"/>
                      <w:lang w:bidi="ar"/>
                    </w:rPr>
                    <w:t>隔油池+化粪池处理</w:t>
                  </w:r>
                </w:p>
              </w:tc>
            </w:tr>
            <w:tr w14:paraId="3E2E2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3EDAB477">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05C6063F">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BOD</w:t>
                  </w:r>
                  <w:r>
                    <w:rPr>
                      <w:rFonts w:hint="eastAsia" w:ascii="宋体" w:hAnsi="宋体" w:eastAsia="宋体" w:cs="宋体"/>
                      <w:color w:val="auto"/>
                      <w:kern w:val="0"/>
                      <w:sz w:val="21"/>
                      <w:szCs w:val="21"/>
                      <w:u w:val="none"/>
                      <w:vertAlign w:val="subscript"/>
                      <w:lang w:bidi="ar"/>
                    </w:rPr>
                    <w:t>5</w:t>
                  </w:r>
                </w:p>
              </w:tc>
              <w:tc>
                <w:tcPr>
                  <w:tcW w:w="1336" w:type="dxa"/>
                  <w:vMerge w:val="continue"/>
                  <w:vAlign w:val="center"/>
                </w:tcPr>
                <w:p w14:paraId="2111F634">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1235B823">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400</w:t>
                  </w:r>
                </w:p>
              </w:tc>
              <w:tc>
                <w:tcPr>
                  <w:tcW w:w="1537" w:type="dxa"/>
                  <w:vAlign w:val="center"/>
                </w:tcPr>
                <w:p w14:paraId="1BFA1B9F">
                  <w:pPr>
                    <w:widowControl/>
                    <w:spacing w:line="240" w:lineRule="auto"/>
                    <w:ind w:leftChars="100"/>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rPr>
                    <w:t>0.03</w:t>
                  </w:r>
                  <w:r>
                    <w:rPr>
                      <w:rFonts w:hint="eastAsia" w:ascii="宋体" w:hAnsi="宋体" w:eastAsia="宋体" w:cs="宋体"/>
                      <w:color w:val="auto"/>
                      <w:kern w:val="0"/>
                      <w:sz w:val="21"/>
                      <w:szCs w:val="21"/>
                      <w:lang w:val="en-US" w:eastAsia="zh-CN"/>
                    </w:rPr>
                    <w:t>07</w:t>
                  </w:r>
                </w:p>
              </w:tc>
              <w:tc>
                <w:tcPr>
                  <w:tcW w:w="1468" w:type="dxa"/>
                  <w:vMerge w:val="continue"/>
                  <w:vAlign w:val="center"/>
                </w:tcPr>
                <w:p w14:paraId="098BB63B">
                  <w:pPr>
                    <w:spacing w:line="240" w:lineRule="auto"/>
                    <w:ind w:leftChars="100"/>
                    <w:rPr>
                      <w:rFonts w:hint="eastAsia" w:ascii="宋体" w:hAnsi="宋体" w:eastAsia="宋体" w:cs="宋体"/>
                      <w:color w:val="auto"/>
                      <w:sz w:val="21"/>
                      <w:szCs w:val="21"/>
                      <w:u w:val="none"/>
                    </w:rPr>
                  </w:pPr>
                </w:p>
              </w:tc>
            </w:tr>
            <w:tr w14:paraId="046E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3E9A58E5">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1781D50D">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SS</w:t>
                  </w:r>
                </w:p>
              </w:tc>
              <w:tc>
                <w:tcPr>
                  <w:tcW w:w="1336" w:type="dxa"/>
                  <w:vMerge w:val="continue"/>
                  <w:vAlign w:val="center"/>
                </w:tcPr>
                <w:p w14:paraId="08EDEBF2">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48D87308">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300</w:t>
                  </w:r>
                </w:p>
              </w:tc>
              <w:tc>
                <w:tcPr>
                  <w:tcW w:w="1537" w:type="dxa"/>
                  <w:vAlign w:val="center"/>
                </w:tcPr>
                <w:p w14:paraId="2A32D283">
                  <w:pPr>
                    <w:widowControl/>
                    <w:spacing w:line="240" w:lineRule="auto"/>
                    <w:ind w:leftChars="100"/>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0.0288</w:t>
                  </w:r>
                </w:p>
              </w:tc>
              <w:tc>
                <w:tcPr>
                  <w:tcW w:w="1468" w:type="dxa"/>
                  <w:vMerge w:val="continue"/>
                  <w:vAlign w:val="center"/>
                </w:tcPr>
                <w:p w14:paraId="00E049F2">
                  <w:pPr>
                    <w:spacing w:line="240" w:lineRule="auto"/>
                    <w:ind w:leftChars="100"/>
                    <w:rPr>
                      <w:rFonts w:hint="eastAsia" w:ascii="宋体" w:hAnsi="宋体" w:eastAsia="宋体" w:cs="宋体"/>
                      <w:color w:val="auto"/>
                      <w:sz w:val="21"/>
                      <w:szCs w:val="21"/>
                      <w:u w:val="none"/>
                    </w:rPr>
                  </w:pPr>
                </w:p>
              </w:tc>
            </w:tr>
            <w:tr w14:paraId="1BCA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0B85B0DB">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2008CC93">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NH</w:t>
                  </w:r>
                  <w:r>
                    <w:rPr>
                      <w:rFonts w:hint="eastAsia" w:ascii="宋体" w:hAnsi="宋体" w:eastAsia="宋体" w:cs="宋体"/>
                      <w:color w:val="auto"/>
                      <w:kern w:val="0"/>
                      <w:sz w:val="21"/>
                      <w:szCs w:val="21"/>
                      <w:u w:val="none"/>
                      <w:vertAlign w:val="subscript"/>
                      <w:lang w:bidi="ar"/>
                    </w:rPr>
                    <w:t>3</w:t>
                  </w:r>
                  <w:r>
                    <w:rPr>
                      <w:rFonts w:hint="eastAsia" w:ascii="宋体" w:hAnsi="宋体" w:eastAsia="宋体" w:cs="宋体"/>
                      <w:color w:val="auto"/>
                      <w:kern w:val="0"/>
                      <w:sz w:val="21"/>
                      <w:szCs w:val="21"/>
                      <w:u w:val="none"/>
                      <w:lang w:bidi="ar"/>
                    </w:rPr>
                    <w:t>-N</w:t>
                  </w:r>
                </w:p>
              </w:tc>
              <w:tc>
                <w:tcPr>
                  <w:tcW w:w="1336" w:type="dxa"/>
                  <w:vMerge w:val="continue"/>
                  <w:vAlign w:val="center"/>
                </w:tcPr>
                <w:p w14:paraId="675E04CC">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1CD93E7B">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1537" w:type="dxa"/>
                  <w:vAlign w:val="center"/>
                </w:tcPr>
                <w:p w14:paraId="75FE909A">
                  <w:pPr>
                    <w:widowControl/>
                    <w:spacing w:line="240" w:lineRule="auto"/>
                    <w:ind w:leftChars="100"/>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rPr>
                    <w:t>0.002</w:t>
                  </w:r>
                  <w:r>
                    <w:rPr>
                      <w:rFonts w:hint="eastAsia" w:ascii="宋体" w:hAnsi="宋体" w:eastAsia="宋体" w:cs="宋体"/>
                      <w:color w:val="auto"/>
                      <w:kern w:val="0"/>
                      <w:sz w:val="21"/>
                      <w:szCs w:val="21"/>
                      <w:lang w:val="en-US" w:eastAsia="zh-CN"/>
                    </w:rPr>
                    <w:t>3</w:t>
                  </w:r>
                </w:p>
              </w:tc>
              <w:tc>
                <w:tcPr>
                  <w:tcW w:w="1468" w:type="dxa"/>
                  <w:vMerge w:val="continue"/>
                  <w:vAlign w:val="center"/>
                </w:tcPr>
                <w:p w14:paraId="0001BEE9">
                  <w:pPr>
                    <w:spacing w:line="240" w:lineRule="auto"/>
                    <w:ind w:leftChars="100"/>
                    <w:rPr>
                      <w:rFonts w:hint="eastAsia" w:ascii="宋体" w:hAnsi="宋体" w:eastAsia="宋体" w:cs="宋体"/>
                      <w:color w:val="auto"/>
                      <w:sz w:val="21"/>
                      <w:szCs w:val="21"/>
                      <w:u w:val="none"/>
                    </w:rPr>
                  </w:pPr>
                </w:p>
              </w:tc>
            </w:tr>
            <w:tr w14:paraId="3A9E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450BF165">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7C9AE006">
                  <w:pPr>
                    <w:widowControl/>
                    <w:spacing w:line="240" w:lineRule="auto"/>
                    <w:ind w:leftChars="100"/>
                    <w:jc w:val="center"/>
                    <w:rPr>
                      <w:rFonts w:hint="eastAsia" w:ascii="宋体" w:hAnsi="宋体" w:eastAsia="宋体" w:cs="宋体"/>
                      <w:color w:val="auto"/>
                      <w:kern w:val="0"/>
                      <w:sz w:val="21"/>
                      <w:szCs w:val="21"/>
                      <w:u w:val="none"/>
                      <w:lang w:bidi="ar"/>
                    </w:rPr>
                  </w:pPr>
                  <w:r>
                    <w:rPr>
                      <w:rFonts w:hint="eastAsia" w:ascii="宋体" w:hAnsi="宋体" w:eastAsia="宋体" w:cs="宋体"/>
                      <w:color w:val="auto"/>
                      <w:kern w:val="0"/>
                      <w:sz w:val="21"/>
                      <w:szCs w:val="21"/>
                      <w:u w:val="none"/>
                      <w:lang w:bidi="ar"/>
                    </w:rPr>
                    <w:t>动植物油</w:t>
                  </w:r>
                </w:p>
              </w:tc>
              <w:tc>
                <w:tcPr>
                  <w:tcW w:w="1336" w:type="dxa"/>
                  <w:vMerge w:val="continue"/>
                  <w:vAlign w:val="center"/>
                </w:tcPr>
                <w:p w14:paraId="1CF472EE">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30A519D4">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1537" w:type="dxa"/>
                  <w:vAlign w:val="center"/>
                </w:tcPr>
                <w:p w14:paraId="3B69B643">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bidi="ar"/>
                    </w:rPr>
                    <w:t>0.0019</w:t>
                  </w:r>
                </w:p>
              </w:tc>
              <w:tc>
                <w:tcPr>
                  <w:tcW w:w="1468" w:type="dxa"/>
                  <w:vMerge w:val="continue"/>
                  <w:vAlign w:val="center"/>
                </w:tcPr>
                <w:p w14:paraId="462B5AF6">
                  <w:pPr>
                    <w:spacing w:line="240" w:lineRule="auto"/>
                    <w:ind w:leftChars="100"/>
                    <w:rPr>
                      <w:rFonts w:hint="eastAsia" w:ascii="宋体" w:hAnsi="宋体" w:eastAsia="宋体" w:cs="宋体"/>
                      <w:color w:val="auto"/>
                      <w:sz w:val="21"/>
                      <w:szCs w:val="21"/>
                      <w:u w:val="none"/>
                    </w:rPr>
                  </w:pPr>
                </w:p>
              </w:tc>
            </w:tr>
            <w:tr w14:paraId="30181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restart"/>
                  <w:vAlign w:val="center"/>
                </w:tcPr>
                <w:p w14:paraId="0C25489A">
                  <w:pPr>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混合废水</w:t>
                  </w:r>
                </w:p>
              </w:tc>
              <w:tc>
                <w:tcPr>
                  <w:tcW w:w="1859" w:type="dxa"/>
                  <w:vAlign w:val="center"/>
                </w:tcPr>
                <w:p w14:paraId="025C4F69">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CODcr</w:t>
                  </w:r>
                </w:p>
              </w:tc>
              <w:tc>
                <w:tcPr>
                  <w:tcW w:w="1336" w:type="dxa"/>
                  <w:vMerge w:val="restart"/>
                  <w:vAlign w:val="center"/>
                </w:tcPr>
                <w:p w14:paraId="4D6DCE93">
                  <w:pPr>
                    <w:spacing w:line="240" w:lineRule="auto"/>
                    <w:ind w:leftChars="100"/>
                    <w:jc w:val="center"/>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288</w:t>
                  </w:r>
                </w:p>
              </w:tc>
              <w:tc>
                <w:tcPr>
                  <w:tcW w:w="1537" w:type="dxa"/>
                  <w:vAlign w:val="center"/>
                </w:tcPr>
                <w:p w14:paraId="74112F00">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bidi="ar"/>
                    </w:rPr>
                    <w:t>453</w:t>
                  </w:r>
                </w:p>
              </w:tc>
              <w:tc>
                <w:tcPr>
                  <w:tcW w:w="1537" w:type="dxa"/>
                  <w:vAlign w:val="center"/>
                </w:tcPr>
                <w:p w14:paraId="46661413">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bidi="ar"/>
                    </w:rPr>
                    <w:t>0.1</w:t>
                  </w:r>
                  <w:r>
                    <w:rPr>
                      <w:rFonts w:hint="eastAsia" w:ascii="宋体" w:hAnsi="宋体" w:cs="宋体"/>
                      <w:color w:val="auto"/>
                      <w:kern w:val="0"/>
                      <w:sz w:val="21"/>
                      <w:szCs w:val="21"/>
                      <w:u w:val="none"/>
                      <w:lang w:val="en-US" w:eastAsia="zh-CN" w:bidi="ar"/>
                    </w:rPr>
                    <w:t>30</w:t>
                  </w:r>
                </w:p>
              </w:tc>
              <w:tc>
                <w:tcPr>
                  <w:tcW w:w="1468" w:type="dxa"/>
                  <w:vMerge w:val="restart"/>
                  <w:vAlign w:val="center"/>
                </w:tcPr>
                <w:p w14:paraId="5EA0FFD1">
                  <w:pPr>
                    <w:spacing w:line="240" w:lineRule="auto"/>
                    <w:ind w:leftChars="1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处理后的生活污水、厨房废水混合</w:t>
                  </w:r>
                </w:p>
              </w:tc>
            </w:tr>
            <w:tr w14:paraId="618DD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60EFDF8B">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73EF1B50">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BOD</w:t>
                  </w:r>
                  <w:r>
                    <w:rPr>
                      <w:rFonts w:hint="eastAsia" w:ascii="宋体" w:hAnsi="宋体" w:eastAsia="宋体" w:cs="宋体"/>
                      <w:color w:val="auto"/>
                      <w:kern w:val="0"/>
                      <w:sz w:val="21"/>
                      <w:szCs w:val="21"/>
                      <w:u w:val="none"/>
                      <w:vertAlign w:val="subscript"/>
                      <w:lang w:bidi="ar"/>
                    </w:rPr>
                    <w:t>5</w:t>
                  </w:r>
                </w:p>
              </w:tc>
              <w:tc>
                <w:tcPr>
                  <w:tcW w:w="1336" w:type="dxa"/>
                  <w:vMerge w:val="continue"/>
                  <w:vAlign w:val="center"/>
                </w:tcPr>
                <w:p w14:paraId="04F80AE0">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50562020">
                  <w:pPr>
                    <w:widowControl/>
                    <w:spacing w:line="240" w:lineRule="auto"/>
                    <w:ind w:leftChars="100"/>
                    <w:jc w:val="center"/>
                    <w:textAlignment w:val="center"/>
                    <w:rPr>
                      <w:rFonts w:hint="eastAsia" w:ascii="宋体" w:hAnsi="宋体" w:eastAsia="宋体" w:cs="宋体"/>
                      <w:color w:val="auto"/>
                      <w:sz w:val="21"/>
                      <w:szCs w:val="21"/>
                      <w:u w:val="none"/>
                      <w:lang w:val="en-US"/>
                    </w:rPr>
                  </w:pPr>
                  <w:r>
                    <w:rPr>
                      <w:rFonts w:hint="eastAsia" w:ascii="宋体" w:hAnsi="宋体" w:cs="宋体"/>
                      <w:color w:val="auto"/>
                      <w:kern w:val="0"/>
                      <w:sz w:val="21"/>
                      <w:szCs w:val="21"/>
                      <w:u w:val="none"/>
                      <w:lang w:val="en-US" w:eastAsia="zh-CN" w:bidi="ar"/>
                    </w:rPr>
                    <w:t>290</w:t>
                  </w:r>
                </w:p>
              </w:tc>
              <w:tc>
                <w:tcPr>
                  <w:tcW w:w="1537" w:type="dxa"/>
                  <w:vAlign w:val="center"/>
                </w:tcPr>
                <w:p w14:paraId="3DBDC028">
                  <w:pPr>
                    <w:widowControl/>
                    <w:spacing w:line="240" w:lineRule="auto"/>
                    <w:ind w:leftChars="100"/>
                    <w:jc w:val="center"/>
                    <w:textAlignment w:val="center"/>
                    <w:rPr>
                      <w:rFonts w:hint="eastAsia" w:ascii="宋体" w:hAnsi="宋体" w:eastAsia="宋体" w:cs="宋体"/>
                      <w:color w:val="auto"/>
                      <w:sz w:val="21"/>
                      <w:szCs w:val="21"/>
                      <w:u w:val="none"/>
                      <w:lang w:val="en-US"/>
                    </w:rPr>
                  </w:pPr>
                  <w:r>
                    <w:rPr>
                      <w:rFonts w:hint="eastAsia" w:ascii="宋体" w:hAnsi="宋体" w:eastAsia="宋体" w:cs="宋体"/>
                      <w:color w:val="auto"/>
                      <w:kern w:val="0"/>
                      <w:sz w:val="21"/>
                      <w:szCs w:val="21"/>
                      <w:u w:val="none"/>
                      <w:lang w:bidi="ar"/>
                    </w:rPr>
                    <w:t>0.0</w:t>
                  </w:r>
                  <w:r>
                    <w:rPr>
                      <w:rFonts w:hint="eastAsia" w:ascii="宋体" w:hAnsi="宋体" w:cs="宋体"/>
                      <w:color w:val="auto"/>
                      <w:kern w:val="0"/>
                      <w:sz w:val="21"/>
                      <w:szCs w:val="21"/>
                      <w:u w:val="none"/>
                      <w:lang w:val="en-US" w:eastAsia="zh-CN" w:bidi="ar"/>
                    </w:rPr>
                    <w:t>835</w:t>
                  </w:r>
                </w:p>
              </w:tc>
              <w:tc>
                <w:tcPr>
                  <w:tcW w:w="1468" w:type="dxa"/>
                  <w:vMerge w:val="continue"/>
                  <w:vAlign w:val="center"/>
                </w:tcPr>
                <w:p w14:paraId="2958202A">
                  <w:pPr>
                    <w:spacing w:line="240" w:lineRule="auto"/>
                    <w:ind w:leftChars="100"/>
                    <w:rPr>
                      <w:rFonts w:hint="eastAsia" w:ascii="宋体" w:hAnsi="宋体" w:eastAsia="宋体" w:cs="宋体"/>
                      <w:color w:val="auto"/>
                      <w:sz w:val="21"/>
                      <w:szCs w:val="21"/>
                      <w:u w:val="none"/>
                    </w:rPr>
                  </w:pPr>
                </w:p>
              </w:tc>
            </w:tr>
            <w:tr w14:paraId="3A72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1D37B5F0">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5CD1C4C1">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SS</w:t>
                  </w:r>
                </w:p>
              </w:tc>
              <w:tc>
                <w:tcPr>
                  <w:tcW w:w="1336" w:type="dxa"/>
                  <w:vMerge w:val="continue"/>
                  <w:vAlign w:val="center"/>
                </w:tcPr>
                <w:p w14:paraId="2F9F8C1A">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22C46B9B">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205</w:t>
                  </w:r>
                </w:p>
              </w:tc>
              <w:tc>
                <w:tcPr>
                  <w:tcW w:w="1537" w:type="dxa"/>
                  <w:vAlign w:val="center"/>
                </w:tcPr>
                <w:p w14:paraId="68FA39AD">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bidi="ar"/>
                    </w:rPr>
                    <w:t>0.0</w:t>
                  </w:r>
                  <w:r>
                    <w:rPr>
                      <w:rFonts w:hint="eastAsia" w:ascii="宋体" w:hAnsi="宋体" w:cs="宋体"/>
                      <w:color w:val="auto"/>
                      <w:kern w:val="0"/>
                      <w:sz w:val="21"/>
                      <w:szCs w:val="21"/>
                      <w:u w:val="none"/>
                      <w:lang w:val="en-US" w:eastAsia="zh-CN" w:bidi="ar"/>
                    </w:rPr>
                    <w:t>590</w:t>
                  </w:r>
                </w:p>
              </w:tc>
              <w:tc>
                <w:tcPr>
                  <w:tcW w:w="1468" w:type="dxa"/>
                  <w:vMerge w:val="continue"/>
                  <w:vAlign w:val="center"/>
                </w:tcPr>
                <w:p w14:paraId="78D2A8AD">
                  <w:pPr>
                    <w:spacing w:line="240" w:lineRule="auto"/>
                    <w:ind w:leftChars="100"/>
                    <w:rPr>
                      <w:rFonts w:hint="eastAsia" w:ascii="宋体" w:hAnsi="宋体" w:eastAsia="宋体" w:cs="宋体"/>
                      <w:color w:val="auto"/>
                      <w:sz w:val="21"/>
                      <w:szCs w:val="21"/>
                      <w:u w:val="none"/>
                    </w:rPr>
                  </w:pPr>
                </w:p>
              </w:tc>
            </w:tr>
            <w:tr w14:paraId="1BA3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12653E50">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237F2089">
                  <w:pPr>
                    <w:widowControl/>
                    <w:spacing w:line="240" w:lineRule="auto"/>
                    <w:ind w:leftChars="1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bidi="ar"/>
                    </w:rPr>
                    <w:t>NH</w:t>
                  </w:r>
                  <w:r>
                    <w:rPr>
                      <w:rFonts w:hint="eastAsia" w:ascii="宋体" w:hAnsi="宋体" w:eastAsia="宋体" w:cs="宋体"/>
                      <w:color w:val="auto"/>
                      <w:kern w:val="0"/>
                      <w:sz w:val="21"/>
                      <w:szCs w:val="21"/>
                      <w:u w:val="none"/>
                      <w:vertAlign w:val="subscript"/>
                      <w:lang w:bidi="ar"/>
                    </w:rPr>
                    <w:t>3</w:t>
                  </w:r>
                  <w:r>
                    <w:rPr>
                      <w:rFonts w:hint="eastAsia" w:ascii="宋体" w:hAnsi="宋体" w:eastAsia="宋体" w:cs="宋体"/>
                      <w:color w:val="auto"/>
                      <w:kern w:val="0"/>
                      <w:sz w:val="21"/>
                      <w:szCs w:val="21"/>
                      <w:u w:val="none"/>
                      <w:lang w:bidi="ar"/>
                    </w:rPr>
                    <w:t>-N</w:t>
                  </w:r>
                </w:p>
              </w:tc>
              <w:tc>
                <w:tcPr>
                  <w:tcW w:w="1336" w:type="dxa"/>
                  <w:vMerge w:val="continue"/>
                  <w:vAlign w:val="center"/>
                </w:tcPr>
                <w:p w14:paraId="221B48B6">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27F1425A">
                  <w:pPr>
                    <w:widowControl/>
                    <w:spacing w:line="240" w:lineRule="auto"/>
                    <w:ind w:leftChars="100"/>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 xml:space="preserve">29 </w:t>
                  </w:r>
                </w:p>
              </w:tc>
              <w:tc>
                <w:tcPr>
                  <w:tcW w:w="1537" w:type="dxa"/>
                  <w:vAlign w:val="center"/>
                </w:tcPr>
                <w:p w14:paraId="2BB42E74">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bidi="ar"/>
                    </w:rPr>
                    <w:t>0.00</w:t>
                  </w:r>
                  <w:r>
                    <w:rPr>
                      <w:rFonts w:hint="eastAsia" w:ascii="宋体" w:hAnsi="宋体" w:cs="宋体"/>
                      <w:color w:val="auto"/>
                      <w:kern w:val="0"/>
                      <w:sz w:val="21"/>
                      <w:szCs w:val="21"/>
                      <w:u w:val="none"/>
                      <w:lang w:val="en-US" w:eastAsia="zh-CN" w:bidi="ar"/>
                    </w:rPr>
                    <w:t>84</w:t>
                  </w:r>
                </w:p>
              </w:tc>
              <w:tc>
                <w:tcPr>
                  <w:tcW w:w="1468" w:type="dxa"/>
                  <w:vMerge w:val="continue"/>
                  <w:vAlign w:val="center"/>
                </w:tcPr>
                <w:p w14:paraId="3E4C9F4D">
                  <w:pPr>
                    <w:spacing w:line="240" w:lineRule="auto"/>
                    <w:ind w:leftChars="100"/>
                    <w:rPr>
                      <w:rFonts w:hint="eastAsia" w:ascii="宋体" w:hAnsi="宋体" w:eastAsia="宋体" w:cs="宋体"/>
                      <w:color w:val="auto"/>
                      <w:sz w:val="21"/>
                      <w:szCs w:val="21"/>
                      <w:u w:val="none"/>
                    </w:rPr>
                  </w:pPr>
                </w:p>
              </w:tc>
            </w:tr>
            <w:tr w14:paraId="09D8D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6E0A1D61">
                  <w:pPr>
                    <w:spacing w:line="240" w:lineRule="auto"/>
                    <w:ind w:leftChars="100"/>
                    <w:jc w:val="center"/>
                    <w:rPr>
                      <w:rFonts w:hint="eastAsia" w:ascii="宋体" w:hAnsi="宋体" w:eastAsia="宋体" w:cs="宋体"/>
                      <w:color w:val="auto"/>
                      <w:sz w:val="21"/>
                      <w:szCs w:val="21"/>
                      <w:u w:val="none"/>
                    </w:rPr>
                  </w:pPr>
                </w:p>
              </w:tc>
              <w:tc>
                <w:tcPr>
                  <w:tcW w:w="1859" w:type="dxa"/>
                  <w:vAlign w:val="center"/>
                </w:tcPr>
                <w:p w14:paraId="322AD9DA">
                  <w:pPr>
                    <w:widowControl/>
                    <w:spacing w:line="240" w:lineRule="auto"/>
                    <w:ind w:leftChars="100"/>
                    <w:jc w:val="center"/>
                    <w:rPr>
                      <w:rFonts w:hint="eastAsia" w:ascii="宋体" w:hAnsi="宋体" w:eastAsia="宋体" w:cs="宋体"/>
                      <w:color w:val="auto"/>
                      <w:kern w:val="0"/>
                      <w:sz w:val="21"/>
                      <w:szCs w:val="21"/>
                      <w:u w:val="none"/>
                      <w:lang w:bidi="ar"/>
                    </w:rPr>
                  </w:pPr>
                  <w:r>
                    <w:rPr>
                      <w:rFonts w:hint="eastAsia" w:ascii="宋体" w:hAnsi="宋体" w:eastAsia="宋体" w:cs="宋体"/>
                      <w:color w:val="auto"/>
                      <w:kern w:val="0"/>
                      <w:sz w:val="21"/>
                      <w:szCs w:val="21"/>
                      <w:u w:val="none"/>
                      <w:lang w:bidi="ar"/>
                    </w:rPr>
                    <w:t>动植物油</w:t>
                  </w:r>
                </w:p>
              </w:tc>
              <w:tc>
                <w:tcPr>
                  <w:tcW w:w="1336" w:type="dxa"/>
                  <w:vMerge w:val="continue"/>
                  <w:vAlign w:val="center"/>
                </w:tcPr>
                <w:p w14:paraId="2861BC6C">
                  <w:pPr>
                    <w:spacing w:line="240" w:lineRule="auto"/>
                    <w:ind w:leftChars="100"/>
                    <w:jc w:val="center"/>
                    <w:rPr>
                      <w:rFonts w:hint="eastAsia" w:ascii="宋体" w:hAnsi="宋体" w:eastAsia="宋体" w:cs="宋体"/>
                      <w:color w:val="auto"/>
                      <w:sz w:val="21"/>
                      <w:szCs w:val="21"/>
                      <w:u w:val="none"/>
                    </w:rPr>
                  </w:pPr>
                </w:p>
              </w:tc>
              <w:tc>
                <w:tcPr>
                  <w:tcW w:w="1537" w:type="dxa"/>
                  <w:vAlign w:val="center"/>
                </w:tcPr>
                <w:p w14:paraId="17DFA646">
                  <w:pPr>
                    <w:widowControl/>
                    <w:spacing w:line="240" w:lineRule="auto"/>
                    <w:ind w:leftChars="100"/>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2</w:t>
                  </w:r>
                  <w:r>
                    <w:rPr>
                      <w:rFonts w:hint="eastAsia" w:ascii="宋体" w:hAnsi="宋体" w:eastAsia="宋体" w:cs="宋体"/>
                      <w:color w:val="auto"/>
                      <w:kern w:val="0"/>
                      <w:sz w:val="21"/>
                      <w:szCs w:val="21"/>
                      <w:u w:val="none"/>
                      <w:lang w:val="en-US" w:eastAsia="zh-CN" w:bidi="ar"/>
                    </w:rPr>
                    <w:t>1</w:t>
                  </w:r>
                  <w:r>
                    <w:rPr>
                      <w:rFonts w:hint="eastAsia" w:ascii="宋体" w:hAnsi="宋体" w:eastAsia="宋体" w:cs="宋体"/>
                      <w:color w:val="auto"/>
                      <w:kern w:val="0"/>
                      <w:sz w:val="21"/>
                      <w:szCs w:val="21"/>
                      <w:u w:val="none"/>
                      <w:lang w:bidi="ar"/>
                    </w:rPr>
                    <w:t xml:space="preserve"> </w:t>
                  </w:r>
                </w:p>
              </w:tc>
              <w:tc>
                <w:tcPr>
                  <w:tcW w:w="1537" w:type="dxa"/>
                  <w:vAlign w:val="center"/>
                </w:tcPr>
                <w:p w14:paraId="5859263C">
                  <w:pPr>
                    <w:widowControl/>
                    <w:spacing w:line="240" w:lineRule="auto"/>
                    <w:ind w:leftChars="10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bidi="ar"/>
                    </w:rPr>
                    <w:t>0.0060</w:t>
                  </w:r>
                </w:p>
              </w:tc>
              <w:tc>
                <w:tcPr>
                  <w:tcW w:w="1468" w:type="dxa"/>
                  <w:vMerge w:val="continue"/>
                  <w:vAlign w:val="center"/>
                </w:tcPr>
                <w:p w14:paraId="30FE126C">
                  <w:pPr>
                    <w:spacing w:line="240" w:lineRule="auto"/>
                    <w:ind w:leftChars="100"/>
                    <w:rPr>
                      <w:rFonts w:hint="eastAsia" w:ascii="宋体" w:hAnsi="宋体" w:eastAsia="宋体" w:cs="宋体"/>
                      <w:color w:val="auto"/>
                      <w:sz w:val="21"/>
                      <w:szCs w:val="21"/>
                      <w:u w:val="none"/>
                    </w:rPr>
                  </w:pPr>
                </w:p>
              </w:tc>
            </w:tr>
          </w:tbl>
          <w:p w14:paraId="724E36CC">
            <w:pPr>
              <w:pStyle w:val="54"/>
              <w:numPr>
                <w:ilvl w:val="0"/>
                <w:numId w:val="0"/>
              </w:numPr>
              <w:adjustRightInd w:val="0"/>
              <w:snapToGrid w:val="0"/>
              <w:rPr>
                <w:rFonts w:hint="eastAsia" w:ascii="Times New Roman" w:hAnsi="Times New Roman" w:cs="宋体"/>
                <w:b/>
                <w:bCs/>
                <w:color w:val="auto"/>
                <w:szCs w:val="24"/>
              </w:rPr>
            </w:pPr>
            <w:r>
              <w:rPr>
                <w:rFonts w:hint="eastAsia" w:ascii="Times New Roman" w:hAnsi="Times New Roman" w:cs="宋体"/>
                <w:b/>
                <w:bCs/>
                <w:color w:val="auto"/>
                <w:sz w:val="21"/>
                <w:szCs w:val="21"/>
                <w:lang w:val="en-US" w:eastAsia="zh-CN"/>
              </w:rPr>
              <w:t>3、</w:t>
            </w:r>
            <w:r>
              <w:rPr>
                <w:rFonts w:hint="eastAsia" w:ascii="Times New Roman" w:hAnsi="Times New Roman" w:cs="宋体"/>
                <w:b/>
                <w:bCs/>
                <w:color w:val="auto"/>
                <w:sz w:val="21"/>
                <w:szCs w:val="21"/>
              </w:rPr>
              <w:t>噪声</w:t>
            </w:r>
          </w:p>
          <w:p w14:paraId="1FAFFFB3">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本项目主要噪声</w:t>
            </w:r>
            <w:r>
              <w:rPr>
                <w:rFonts w:hint="eastAsia" w:ascii="宋体" w:hAnsi="宋体" w:eastAsia="宋体" w:cs="宋体"/>
                <w:color w:val="auto"/>
                <w:sz w:val="24"/>
                <w:szCs w:val="24"/>
                <w:lang w:eastAsia="zh-CN"/>
              </w:rPr>
              <w:t>来自于生产设备发出的噪声</w:t>
            </w:r>
            <w:r>
              <w:rPr>
                <w:rFonts w:hint="eastAsia" w:ascii="宋体" w:hAnsi="宋体" w:eastAsia="宋体" w:cs="宋体"/>
                <w:color w:val="auto"/>
                <w:sz w:val="24"/>
                <w:szCs w:val="24"/>
              </w:rPr>
              <w:t>，其噪声声级约为</w:t>
            </w:r>
            <w:r>
              <w:rPr>
                <w:rFonts w:hint="eastAsia" w:ascii="宋体" w:hAnsi="宋体" w:eastAsia="宋体" w:cs="宋体"/>
                <w:color w:val="auto"/>
                <w:sz w:val="24"/>
                <w:szCs w:val="24"/>
                <w:lang w:val="en-US" w:eastAsia="zh-CN"/>
              </w:rPr>
              <w:t>70-8</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dB(A)。具体噪声污染源见表5-</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p>
          <w:p w14:paraId="6367715B">
            <w:pPr>
              <w:spacing w:line="360" w:lineRule="auto"/>
              <w:jc w:val="center"/>
              <w:rPr>
                <w:rFonts w:hint="eastAsia" w:ascii="Times New Roman" w:hAnsi="Times New Roman"/>
                <w:b/>
                <w:bCs/>
                <w:color w:val="auto"/>
                <w:sz w:val="24"/>
                <w:szCs w:val="24"/>
              </w:rPr>
            </w:pPr>
            <w:r>
              <w:rPr>
                <w:rFonts w:hint="eastAsia" w:ascii="宋体" w:hAnsi="宋体" w:eastAsia="宋体" w:cs="宋体"/>
                <w:b/>
                <w:bCs/>
                <w:color w:val="auto"/>
                <w:sz w:val="24"/>
                <w:szCs w:val="24"/>
              </w:rPr>
              <w:t>表5-</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rPr>
              <w:t>主要噪声设备以及噪声排放情况一览表</w:t>
            </w:r>
          </w:p>
          <w:tbl>
            <w:tblPr>
              <w:tblStyle w:val="2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2380"/>
              <w:gridCol w:w="2381"/>
              <w:gridCol w:w="1920"/>
            </w:tblGrid>
            <w:tr w14:paraId="5520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0" w:type="dxa"/>
                  <w:vAlign w:val="center"/>
                </w:tcPr>
                <w:p w14:paraId="26806FFF">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380" w:type="dxa"/>
                  <w:vAlign w:val="center"/>
                </w:tcPr>
                <w:p w14:paraId="31EC8967">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噪声源</w:t>
                  </w:r>
                </w:p>
              </w:tc>
              <w:tc>
                <w:tcPr>
                  <w:tcW w:w="2381" w:type="dxa"/>
                  <w:vAlign w:val="center"/>
                </w:tcPr>
                <w:p w14:paraId="6EF52DA9">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噪声值dB(A)</w:t>
                  </w:r>
                </w:p>
              </w:tc>
              <w:tc>
                <w:tcPr>
                  <w:tcW w:w="1920" w:type="dxa"/>
                  <w:vAlign w:val="center"/>
                </w:tcPr>
                <w:p w14:paraId="7C68DA3B">
                  <w:pPr>
                    <w:spacing w:line="240" w:lineRule="auto"/>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数量</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台</w:t>
                  </w:r>
                  <w:r>
                    <w:rPr>
                      <w:rFonts w:hint="eastAsia" w:ascii="宋体" w:hAnsi="宋体" w:eastAsia="宋体" w:cs="宋体"/>
                      <w:b/>
                      <w:bCs/>
                      <w:color w:val="auto"/>
                      <w:sz w:val="21"/>
                      <w:szCs w:val="21"/>
                      <w:lang w:eastAsia="zh-CN"/>
                    </w:rPr>
                    <w:t>）</w:t>
                  </w:r>
                </w:p>
              </w:tc>
            </w:tr>
            <w:tr w14:paraId="5981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80" w:type="dxa"/>
                  <w:vAlign w:val="center"/>
                </w:tcPr>
                <w:p w14:paraId="2418D466">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80" w:type="dxa"/>
                  <w:vAlign w:val="center"/>
                </w:tcPr>
                <w:p w14:paraId="54001E11">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拣梗机</w:t>
                  </w:r>
                </w:p>
              </w:tc>
              <w:tc>
                <w:tcPr>
                  <w:tcW w:w="2381" w:type="dxa"/>
                  <w:vAlign w:val="center"/>
                </w:tcPr>
                <w:p w14:paraId="4C9E6B39">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75</w:t>
                  </w:r>
                </w:p>
              </w:tc>
              <w:tc>
                <w:tcPr>
                  <w:tcW w:w="1920" w:type="dxa"/>
                  <w:vAlign w:val="center"/>
                </w:tcPr>
                <w:p w14:paraId="19A0ED77">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r>
            <w:tr w14:paraId="7C5C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0" w:type="dxa"/>
                  <w:vAlign w:val="center"/>
                </w:tcPr>
                <w:p w14:paraId="4BE99556">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380" w:type="dxa"/>
                  <w:vAlign w:val="center"/>
                </w:tcPr>
                <w:p w14:paraId="37A1BA4C">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圆筛机</w:t>
                  </w:r>
                </w:p>
              </w:tc>
              <w:tc>
                <w:tcPr>
                  <w:tcW w:w="2381" w:type="dxa"/>
                  <w:vAlign w:val="center"/>
                </w:tcPr>
                <w:p w14:paraId="18EE04D3">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1920" w:type="dxa"/>
                  <w:vAlign w:val="center"/>
                </w:tcPr>
                <w:p w14:paraId="19D49633">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r>
            <w:tr w14:paraId="157B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380" w:type="dxa"/>
                  <w:vAlign w:val="center"/>
                </w:tcPr>
                <w:p w14:paraId="7241C12F">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380" w:type="dxa"/>
                  <w:vAlign w:val="center"/>
                </w:tcPr>
                <w:p w14:paraId="57BCE045">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烘干机</w:t>
                  </w:r>
                </w:p>
              </w:tc>
              <w:tc>
                <w:tcPr>
                  <w:tcW w:w="2381" w:type="dxa"/>
                  <w:vAlign w:val="center"/>
                </w:tcPr>
                <w:p w14:paraId="3B42A5EE">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1920" w:type="dxa"/>
                  <w:vAlign w:val="center"/>
                </w:tcPr>
                <w:p w14:paraId="00FF78C8">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14:paraId="406D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380" w:type="dxa"/>
                  <w:vAlign w:val="center"/>
                </w:tcPr>
                <w:p w14:paraId="3837470C">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380" w:type="dxa"/>
                  <w:vAlign w:val="center"/>
                </w:tcPr>
                <w:p w14:paraId="62D4E24F">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鼓风机</w:t>
                  </w:r>
                </w:p>
              </w:tc>
              <w:tc>
                <w:tcPr>
                  <w:tcW w:w="2381" w:type="dxa"/>
                  <w:vAlign w:val="center"/>
                </w:tcPr>
                <w:p w14:paraId="03B5307F">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1920" w:type="dxa"/>
                  <w:vAlign w:val="center"/>
                </w:tcPr>
                <w:p w14:paraId="24A4B321">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r w14:paraId="0915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380" w:type="dxa"/>
                  <w:vAlign w:val="center"/>
                </w:tcPr>
                <w:p w14:paraId="10E9531F">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380" w:type="dxa"/>
                  <w:vAlign w:val="center"/>
                </w:tcPr>
                <w:p w14:paraId="1CF3B4A0">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热风炉</w:t>
                  </w:r>
                </w:p>
              </w:tc>
              <w:tc>
                <w:tcPr>
                  <w:tcW w:w="2381" w:type="dxa"/>
                  <w:vAlign w:val="center"/>
                </w:tcPr>
                <w:p w14:paraId="2CF62E5B">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1920" w:type="dxa"/>
                  <w:vAlign w:val="center"/>
                </w:tcPr>
                <w:p w14:paraId="75A9A356">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bl>
          <w:p w14:paraId="4CD05E2E">
            <w:pPr>
              <w:spacing w:line="360" w:lineRule="auto"/>
              <w:rPr>
                <w:rFonts w:ascii="Times New Roman" w:hAnsi="Times New Roman" w:eastAsia="Times New Roman"/>
                <w:color w:val="auto"/>
                <w:sz w:val="24"/>
                <w:szCs w:val="24"/>
              </w:rPr>
            </w:pPr>
            <w:r>
              <w:rPr>
                <w:rFonts w:hint="eastAsia" w:ascii="Times New Roman" w:hAnsi="Times New Roman"/>
                <w:b/>
                <w:color w:val="auto"/>
                <w:sz w:val="24"/>
                <w:szCs w:val="24"/>
                <w:lang w:val="en-US" w:eastAsia="zh-CN"/>
              </w:rPr>
              <w:t>4、</w:t>
            </w:r>
            <w:r>
              <w:rPr>
                <w:rFonts w:ascii="Times New Roman" w:hAnsi="Times New Roman"/>
                <w:b/>
                <w:color w:val="auto"/>
                <w:sz w:val="24"/>
                <w:szCs w:val="24"/>
              </w:rPr>
              <w:t>固体废物</w:t>
            </w:r>
          </w:p>
          <w:p w14:paraId="0A970919">
            <w:pPr>
              <w:spacing w:line="360" w:lineRule="auto"/>
              <w:ind w:firstLine="480" w:firstLineChars="200"/>
              <w:jc w:val="left"/>
              <w:rPr>
                <w:rFonts w:ascii="Times New Roman" w:hAnsi="Times New Roman"/>
                <w:color w:val="auto"/>
                <w:sz w:val="24"/>
              </w:rPr>
            </w:pPr>
            <w:r>
              <w:rPr>
                <w:rFonts w:ascii="Times New Roman" w:hAnsi="Times New Roman"/>
                <w:color w:val="auto"/>
                <w:sz w:val="24"/>
              </w:rPr>
              <w:t>项目运营期产生的固体废弃物包括员工办公生活垃圾和</w:t>
            </w:r>
            <w:r>
              <w:rPr>
                <w:rFonts w:hint="eastAsia" w:ascii="Times New Roman" w:hAnsi="Times New Roman"/>
                <w:color w:val="auto"/>
                <w:sz w:val="24"/>
              </w:rPr>
              <w:t>生产过程产生的生产固废</w:t>
            </w:r>
            <w:r>
              <w:rPr>
                <w:rFonts w:hint="eastAsia" w:ascii="Times New Roman" w:hAnsi="Times New Roman"/>
                <w:color w:val="auto"/>
                <w:sz w:val="24"/>
                <w:lang w:eastAsia="zh-CN"/>
              </w:rPr>
              <w:t>以及化粪池污泥</w:t>
            </w:r>
            <w:r>
              <w:rPr>
                <w:rFonts w:hint="eastAsia" w:ascii="Times New Roman" w:hAnsi="Times New Roman"/>
                <w:color w:val="auto"/>
                <w:sz w:val="24"/>
              </w:rPr>
              <w:t>。</w:t>
            </w:r>
          </w:p>
          <w:p w14:paraId="53495586">
            <w:pPr>
              <w:spacing w:line="360" w:lineRule="auto"/>
              <w:ind w:firstLine="480" w:firstLineChars="200"/>
              <w:jc w:val="left"/>
              <w:rPr>
                <w:rFonts w:ascii="Times New Roman" w:hAnsi="Times New Roman"/>
                <w:color w:val="auto"/>
                <w:sz w:val="24"/>
              </w:rPr>
            </w:pPr>
            <w:r>
              <w:rPr>
                <w:rFonts w:ascii="Times New Roman" w:hAnsi="Times New Roman"/>
                <w:color w:val="auto"/>
                <w:sz w:val="24"/>
              </w:rPr>
              <w:t>（1）生活垃圾</w:t>
            </w:r>
          </w:p>
          <w:p w14:paraId="6C867919">
            <w:pPr>
              <w:spacing w:line="360" w:lineRule="auto"/>
              <w:ind w:firstLine="480" w:firstLineChars="200"/>
              <w:rPr>
                <w:rFonts w:ascii="Times New Roman" w:hAnsi="Times New Roman"/>
                <w:bCs/>
                <w:color w:val="auto"/>
                <w:sz w:val="24"/>
                <w:szCs w:val="24"/>
              </w:rPr>
            </w:pPr>
            <w:r>
              <w:rPr>
                <w:rFonts w:hint="eastAsia" w:ascii="宋体" w:hAnsi="宋体" w:eastAsia="宋体" w:cs="宋体"/>
                <w:bCs/>
                <w:color w:val="auto"/>
                <w:sz w:val="24"/>
                <w:szCs w:val="24"/>
              </w:rPr>
              <w:t>项目运营期生活垃圾产生量按每人每天平均产生</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kg计，项目职工为</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人，则生活垃圾的产生量约</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kg/d，</w:t>
            </w:r>
            <w:r>
              <w:rPr>
                <w:rFonts w:hint="eastAsia" w:ascii="宋体" w:hAnsi="宋体" w:eastAsia="宋体" w:cs="宋体"/>
                <w:bCs/>
                <w:color w:val="auto"/>
                <w:sz w:val="24"/>
                <w:szCs w:val="24"/>
                <w:lang w:val="en-US" w:eastAsia="zh-CN"/>
              </w:rPr>
              <w:t>2.4</w:t>
            </w:r>
            <w:r>
              <w:rPr>
                <w:rFonts w:hint="eastAsia" w:ascii="宋体" w:hAnsi="宋体" w:eastAsia="宋体" w:cs="宋体"/>
                <w:bCs/>
                <w:color w:val="auto"/>
                <w:sz w:val="24"/>
                <w:szCs w:val="24"/>
              </w:rPr>
              <w:t>t/a，</w:t>
            </w:r>
            <w:r>
              <w:rPr>
                <w:rFonts w:hint="eastAsia" w:ascii="宋体" w:hAnsi="宋体" w:eastAsia="宋体" w:cs="宋体"/>
                <w:bCs/>
                <w:color w:val="auto"/>
                <w:sz w:val="24"/>
              </w:rPr>
              <w:t>本项目生活垃圾集中收集后外运至垃圾堆放点由当地环卫部门清运。</w:t>
            </w:r>
          </w:p>
          <w:p w14:paraId="24FCEB01">
            <w:pPr>
              <w:spacing w:line="360" w:lineRule="auto"/>
              <w:jc w:val="left"/>
              <w:rPr>
                <w:rFonts w:ascii="Times New Roman" w:hAnsi="Times New Roman"/>
                <w:color w:val="auto"/>
                <w:sz w:val="24"/>
              </w:rPr>
            </w:pPr>
            <w:r>
              <w:rPr>
                <w:rFonts w:hint="eastAsia" w:ascii="Times New Roman" w:hAnsi="Times New Roman"/>
                <w:color w:val="auto"/>
                <w:sz w:val="24"/>
              </w:rPr>
              <w:t xml:space="preserve">    （2）生产固废</w:t>
            </w:r>
          </w:p>
          <w:p w14:paraId="6746D727">
            <w:pPr>
              <w:spacing w:line="360" w:lineRule="auto"/>
              <w:ind w:firstLine="480" w:firstLineChars="200"/>
              <w:rPr>
                <w:rFonts w:hint="eastAsia" w:ascii="Times New Roman" w:hAnsi="Times New Roman"/>
                <w:color w:val="auto"/>
                <w:sz w:val="24"/>
              </w:rPr>
            </w:pPr>
            <w:r>
              <w:rPr>
                <w:rFonts w:hint="eastAsia" w:ascii="Times New Roman" w:hAnsi="Times New Roman"/>
                <w:color w:val="auto"/>
                <w:sz w:val="24"/>
              </w:rPr>
              <w:t>项目在生产过程中产生的固废主要为</w:t>
            </w:r>
            <w:r>
              <w:rPr>
                <w:rFonts w:hint="eastAsia" w:ascii="Times New Roman" w:hAnsi="Times New Roman"/>
                <w:color w:val="auto"/>
                <w:sz w:val="24"/>
                <w:lang w:eastAsia="zh-CN"/>
              </w:rPr>
              <w:t>杂质、</w:t>
            </w:r>
            <w:r>
              <w:rPr>
                <w:rFonts w:hint="eastAsia" w:ascii="Times New Roman" w:hAnsi="Times New Roman"/>
                <w:color w:val="auto"/>
                <w:sz w:val="24"/>
              </w:rPr>
              <w:t>原辅料包装物</w:t>
            </w:r>
            <w:r>
              <w:rPr>
                <w:rFonts w:hint="eastAsia" w:ascii="Times New Roman" w:hAnsi="Times New Roman"/>
                <w:color w:val="auto"/>
                <w:sz w:val="24"/>
                <w:lang w:eastAsia="zh-CN"/>
              </w:rPr>
              <w:t>、热风炉灰渣</w:t>
            </w:r>
            <w:r>
              <w:rPr>
                <w:rFonts w:hint="eastAsia" w:ascii="Times New Roman" w:hAnsi="Times New Roman"/>
                <w:color w:val="auto"/>
                <w:sz w:val="24"/>
              </w:rPr>
              <w:t>等。</w:t>
            </w:r>
          </w:p>
          <w:p w14:paraId="728EB578">
            <w:pPr>
              <w:spacing w:line="360" w:lineRule="auto"/>
              <w:ind w:firstLine="480" w:firstLineChars="200"/>
              <w:rPr>
                <w:rFonts w:hint="eastAsia"/>
                <w:color w:val="auto"/>
              </w:rPr>
            </w:pPr>
            <w:r>
              <w:rPr>
                <w:rFonts w:hint="eastAsia" w:ascii="Times New Roman" w:hAnsi="Times New Roman" w:cs="宋体"/>
                <w:color w:val="auto"/>
                <w:sz w:val="24"/>
                <w:lang w:eastAsia="zh-CN"/>
              </w:rPr>
              <w:t>①杂质</w:t>
            </w:r>
          </w:p>
          <w:p w14:paraId="456D0DFF">
            <w:pPr>
              <w:spacing w:line="360" w:lineRule="auto"/>
              <w:ind w:firstLine="480" w:firstLineChars="200"/>
              <w:rPr>
                <w:rFonts w:hint="eastAsia" w:ascii="Times New Roman" w:hAnsi="Times New Roman"/>
                <w:color w:val="auto"/>
                <w:sz w:val="24"/>
              </w:rPr>
            </w:pPr>
            <w:r>
              <w:rPr>
                <w:rFonts w:hint="eastAsia" w:ascii="宋体" w:hAnsi="宋体" w:eastAsia="宋体" w:cs="宋体"/>
                <w:color w:val="auto"/>
                <w:sz w:val="24"/>
              </w:rPr>
              <w:t>根据建设方提供的资料，</w:t>
            </w:r>
            <w:r>
              <w:rPr>
                <w:rFonts w:hint="eastAsia" w:ascii="宋体" w:hAnsi="宋体" w:eastAsia="宋体" w:cs="宋体"/>
                <w:color w:val="auto"/>
                <w:sz w:val="24"/>
                <w:lang w:eastAsia="zh-CN"/>
              </w:rPr>
              <w:t>加工过程中的杂质</w:t>
            </w:r>
            <w:r>
              <w:rPr>
                <w:rFonts w:hint="eastAsia" w:ascii="宋体" w:hAnsi="宋体" w:eastAsia="宋体" w:cs="宋体"/>
                <w:color w:val="auto"/>
                <w:sz w:val="24"/>
              </w:rPr>
              <w:t>主要为废茶梗、枯黄叶、茶筋</w:t>
            </w:r>
            <w:r>
              <w:rPr>
                <w:rFonts w:hint="eastAsia" w:ascii="宋体" w:hAnsi="宋体" w:eastAsia="宋体" w:cs="宋体"/>
                <w:color w:val="auto"/>
                <w:sz w:val="24"/>
                <w:szCs w:val="24"/>
              </w:rPr>
              <w:t>等</w:t>
            </w:r>
            <w:r>
              <w:rPr>
                <w:rFonts w:hint="eastAsia" w:ascii="宋体" w:hAnsi="宋体" w:eastAsia="宋体" w:cs="宋体"/>
                <w:color w:val="auto"/>
                <w:sz w:val="24"/>
              </w:rPr>
              <w:t>；废</w:t>
            </w:r>
            <w:r>
              <w:rPr>
                <w:rFonts w:hint="eastAsia" w:ascii="宋体" w:hAnsi="宋体" w:eastAsia="宋体" w:cs="宋体"/>
                <w:color w:val="auto"/>
                <w:sz w:val="24"/>
                <w:szCs w:val="24"/>
              </w:rPr>
              <w:t>茶梗等固废产生量约为产品量的0.1%，项目产品的产量为</w:t>
            </w:r>
            <w:r>
              <w:rPr>
                <w:rFonts w:hint="eastAsia" w:ascii="宋体" w:hAnsi="宋体" w:eastAsia="宋体" w:cs="宋体"/>
                <w:color w:val="auto"/>
                <w:sz w:val="24"/>
                <w:szCs w:val="24"/>
                <w:lang w:val="en-US" w:eastAsia="zh-CN"/>
              </w:rPr>
              <w:t>395</w:t>
            </w:r>
            <w:r>
              <w:rPr>
                <w:rFonts w:hint="eastAsia" w:ascii="宋体" w:hAnsi="宋体" w:eastAsia="宋体" w:cs="宋体"/>
                <w:color w:val="auto"/>
                <w:sz w:val="24"/>
                <w:szCs w:val="24"/>
              </w:rPr>
              <w:t>t/a，则共计产生茶梗杂质0.</w:t>
            </w:r>
            <w:r>
              <w:rPr>
                <w:rFonts w:hint="eastAsia" w:ascii="宋体" w:hAnsi="宋体" w:eastAsia="宋体" w:cs="宋体"/>
                <w:color w:val="auto"/>
                <w:sz w:val="24"/>
                <w:szCs w:val="24"/>
                <w:lang w:val="en-US" w:eastAsia="zh-CN"/>
              </w:rPr>
              <w:t>395</w:t>
            </w:r>
            <w:r>
              <w:rPr>
                <w:rFonts w:hint="eastAsia" w:ascii="宋体" w:hAnsi="宋体" w:eastAsia="宋体" w:cs="宋体"/>
                <w:color w:val="auto"/>
                <w:sz w:val="24"/>
                <w:szCs w:val="24"/>
              </w:rPr>
              <w:t>t/a，茶梗杂质集中收集后交由周边农户堆肥，作为农肥使用</w:t>
            </w:r>
            <w:r>
              <w:rPr>
                <w:rFonts w:hint="eastAsia" w:ascii="Times New Roman" w:hAnsi="Times New Roman"/>
                <w:color w:val="auto"/>
                <w:sz w:val="24"/>
                <w:szCs w:val="24"/>
              </w:rPr>
              <w:t>。</w:t>
            </w:r>
          </w:p>
          <w:p w14:paraId="0843B235">
            <w:pPr>
              <w:tabs>
                <w:tab w:val="left" w:pos="5529"/>
              </w:tabs>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原辅料包装物</w:t>
            </w:r>
          </w:p>
          <w:p w14:paraId="1CF919AE">
            <w:pPr>
              <w:tabs>
                <w:tab w:val="left" w:pos="5529"/>
              </w:tabs>
              <w:snapToGrid w:val="0"/>
              <w:spacing w:line="360" w:lineRule="auto"/>
              <w:ind w:firstLine="480"/>
              <w:rPr>
                <w:rFonts w:hint="eastAsia" w:ascii="Times New Roman" w:hAnsi="Times New Roman" w:cs="宋体"/>
                <w:color w:val="auto"/>
                <w:sz w:val="24"/>
                <w:szCs w:val="24"/>
              </w:rPr>
            </w:pPr>
            <w:r>
              <w:rPr>
                <w:rFonts w:hint="eastAsia" w:ascii="宋体" w:hAnsi="宋体" w:eastAsia="宋体" w:cs="宋体"/>
                <w:bCs/>
                <w:color w:val="auto"/>
                <w:sz w:val="24"/>
                <w:szCs w:val="24"/>
              </w:rPr>
              <w:t>项目营运过程中将产生一定的原辅料包装物，包装物主要为塑料编织袋，</w:t>
            </w:r>
            <w:r>
              <w:rPr>
                <w:rFonts w:hint="eastAsia" w:ascii="宋体" w:hAnsi="宋体" w:eastAsia="宋体" w:cs="宋体"/>
                <w:bCs/>
                <w:color w:val="auto"/>
                <w:sz w:val="24"/>
                <w:szCs w:val="24"/>
                <w:lang w:eastAsia="zh-CN"/>
              </w:rPr>
              <w:t>产生量约为</w:t>
            </w:r>
            <w:r>
              <w:rPr>
                <w:rFonts w:hint="eastAsia" w:ascii="宋体" w:hAnsi="宋体" w:eastAsia="宋体" w:cs="宋体"/>
                <w:bCs/>
                <w:color w:val="auto"/>
                <w:sz w:val="24"/>
                <w:szCs w:val="24"/>
                <w:lang w:val="en-US" w:eastAsia="zh-CN"/>
              </w:rPr>
              <w:t>0.5t/a，</w:t>
            </w:r>
            <w:r>
              <w:rPr>
                <w:rFonts w:hint="eastAsia" w:ascii="宋体" w:hAnsi="宋体" w:eastAsia="宋体" w:cs="宋体"/>
                <w:bCs/>
                <w:color w:val="auto"/>
                <w:sz w:val="24"/>
                <w:szCs w:val="24"/>
              </w:rPr>
              <w:t>由专人收集回收利用，不外排</w:t>
            </w:r>
            <w:r>
              <w:rPr>
                <w:rFonts w:hint="eastAsia" w:ascii="Times New Roman" w:hAnsi="Times New Roman"/>
                <w:bCs/>
                <w:color w:val="auto"/>
                <w:sz w:val="24"/>
                <w:szCs w:val="24"/>
              </w:rPr>
              <w:t>。</w:t>
            </w:r>
          </w:p>
          <w:p w14:paraId="1B867257">
            <w:pPr>
              <w:tabs>
                <w:tab w:val="left" w:pos="5529"/>
              </w:tabs>
              <w:snapToGrid w:val="0"/>
              <w:spacing w:line="360" w:lineRule="auto"/>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③</w:t>
            </w:r>
            <w:r>
              <w:rPr>
                <w:rFonts w:hint="eastAsia" w:ascii="宋体" w:hAnsi="宋体" w:eastAsia="宋体" w:cs="宋体"/>
                <w:color w:val="auto"/>
                <w:sz w:val="24"/>
                <w:lang w:eastAsia="zh-CN"/>
              </w:rPr>
              <w:t>热风炉灰渣</w:t>
            </w:r>
          </w:p>
          <w:p w14:paraId="16D8EB62">
            <w:pPr>
              <w:tabs>
                <w:tab w:val="left" w:pos="5529"/>
              </w:tabs>
              <w:snapToGrid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热风炉燃烧生物质产生的灰渣量按燃烧生物质量的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计算，项目每年燃烧生物质</w:t>
            </w:r>
            <w:r>
              <w:rPr>
                <w:rFonts w:hint="eastAsia" w:ascii="宋体" w:hAnsi="宋体" w:cs="宋体"/>
                <w:color w:val="auto"/>
                <w:sz w:val="24"/>
                <w:szCs w:val="24"/>
                <w:lang w:val="en-US" w:eastAsia="zh-CN"/>
              </w:rPr>
              <w:t>36</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t，燃烧后产生的灰渣量为</w:t>
            </w: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lang w:val="zh-CN"/>
              </w:rPr>
              <w:t>/a，由于生物质的主要成分是纤维素类有机化合物，在燃烧时，生成水、二氧化碳以及少量的其它成分，是农田较好的改良剂，所以项目灰渣全部卖给附近农户作为农田施肥。</w:t>
            </w:r>
          </w:p>
          <w:p w14:paraId="25A08B54">
            <w:pPr>
              <w:spacing w:line="360" w:lineRule="auto"/>
              <w:ind w:firstLine="480" w:firstLineChars="200"/>
              <w:jc w:val="both"/>
              <w:rPr>
                <w:rFonts w:hint="eastAsia" w:ascii="Times New Roman" w:hAnsi="Times New Roman" w:eastAsia="宋体"/>
                <w:b w:val="0"/>
                <w:bCs/>
                <w:color w:val="auto"/>
                <w:sz w:val="24"/>
                <w:szCs w:val="24"/>
                <w:lang w:eastAsia="zh-CN"/>
              </w:rPr>
            </w:pP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3</w:t>
            </w:r>
            <w:r>
              <w:rPr>
                <w:rFonts w:hint="eastAsia" w:ascii="Times New Roman" w:hAnsi="Times New Roman"/>
                <w:b w:val="0"/>
                <w:bCs/>
                <w:color w:val="auto"/>
                <w:sz w:val="24"/>
                <w:szCs w:val="24"/>
                <w:lang w:eastAsia="zh-CN"/>
              </w:rPr>
              <w:t>）化粪池污泥</w:t>
            </w:r>
          </w:p>
          <w:p w14:paraId="796C926F">
            <w:pPr>
              <w:adjustRightInd w:val="0"/>
              <w:snapToGrid w:val="0"/>
              <w:spacing w:line="360" w:lineRule="auto"/>
              <w:ind w:firstLine="480"/>
              <w:rPr>
                <w:rFonts w:ascii="Times New Roman" w:hAnsi="Times New Roman"/>
                <w:b/>
                <w:color w:val="auto"/>
                <w:sz w:val="24"/>
                <w:szCs w:val="24"/>
              </w:rPr>
            </w:pPr>
            <w:r>
              <w:rPr>
                <w:rFonts w:hint="eastAsia" w:ascii="宋体" w:hAnsi="宋体" w:cs="宋体"/>
                <w:color w:val="auto"/>
                <w:sz w:val="24"/>
                <w:szCs w:val="24"/>
              </w:rPr>
              <w:t>化粪池污泥的大致产生量按照类比计算，化粪池污泥产生量按污水量的0.2%进行核算，污水产生量为</w:t>
            </w:r>
            <w:r>
              <w:rPr>
                <w:rFonts w:hint="eastAsia" w:ascii="宋体" w:hAnsi="宋体" w:cs="宋体"/>
                <w:color w:val="auto"/>
                <w:sz w:val="24"/>
                <w:szCs w:val="24"/>
                <w:lang w:val="en-US" w:eastAsia="zh-CN"/>
              </w:rPr>
              <w:t>1.2</w:t>
            </w:r>
            <w:r>
              <w:rPr>
                <w:rFonts w:hint="eastAsia" w:ascii="宋体" w:hAnsi="宋体" w:cs="宋体"/>
                <w:color w:val="auto"/>
                <w:sz w:val="24"/>
                <w:szCs w:val="24"/>
              </w:rPr>
              <w:t>m</w:t>
            </w:r>
            <w:r>
              <w:rPr>
                <w:rFonts w:hint="eastAsia" w:ascii="宋体" w:hAnsi="宋体" w:cs="宋体"/>
                <w:color w:val="auto"/>
                <w:sz w:val="24"/>
                <w:szCs w:val="24"/>
                <w:vertAlign w:val="superscript"/>
              </w:rPr>
              <w:t>3</w:t>
            </w:r>
            <w:r>
              <w:rPr>
                <w:rFonts w:hint="eastAsia" w:ascii="宋体" w:hAnsi="宋体" w:cs="宋体"/>
                <w:color w:val="auto"/>
                <w:sz w:val="24"/>
                <w:szCs w:val="24"/>
              </w:rPr>
              <w:t>/d，</w:t>
            </w:r>
            <w:r>
              <w:rPr>
                <w:rFonts w:hint="eastAsia" w:ascii="宋体" w:hAnsi="宋体" w:cs="宋体"/>
                <w:color w:val="auto"/>
                <w:sz w:val="24"/>
                <w:szCs w:val="24"/>
                <w:lang w:val="en-US" w:eastAsia="zh-CN"/>
              </w:rPr>
              <w:t>288</w:t>
            </w:r>
            <w:r>
              <w:rPr>
                <w:rFonts w:hint="eastAsia" w:ascii="宋体" w:hAnsi="宋体" w:cs="宋体"/>
                <w:color w:val="auto"/>
                <w:sz w:val="24"/>
                <w:szCs w:val="24"/>
              </w:rPr>
              <w:t>m</w:t>
            </w:r>
            <w:r>
              <w:rPr>
                <w:rFonts w:hint="eastAsia" w:ascii="宋体" w:hAnsi="宋体" w:cs="宋体"/>
                <w:color w:val="auto"/>
                <w:sz w:val="24"/>
                <w:szCs w:val="24"/>
                <w:vertAlign w:val="superscript"/>
              </w:rPr>
              <w:t>3</w:t>
            </w:r>
            <w:r>
              <w:rPr>
                <w:rFonts w:hint="eastAsia" w:ascii="宋体" w:hAnsi="宋体" w:cs="宋体"/>
                <w:color w:val="auto"/>
                <w:sz w:val="24"/>
                <w:szCs w:val="24"/>
              </w:rPr>
              <w:t>/a，则污泥产生量为2</w:t>
            </w:r>
            <w:r>
              <w:rPr>
                <w:rFonts w:hint="eastAsia" w:ascii="宋体" w:hAnsi="宋体" w:cs="宋体"/>
                <w:color w:val="auto"/>
                <w:sz w:val="24"/>
                <w:szCs w:val="24"/>
                <w:lang w:val="en-US" w:eastAsia="zh-CN"/>
              </w:rPr>
              <w:t>.4</w:t>
            </w:r>
            <w:r>
              <w:rPr>
                <w:rFonts w:hint="eastAsia" w:ascii="宋体" w:hAnsi="宋体" w:cs="宋体"/>
                <w:color w:val="auto"/>
                <w:sz w:val="24"/>
                <w:szCs w:val="24"/>
              </w:rPr>
              <w:t>kg/d，0.</w:t>
            </w:r>
            <w:r>
              <w:rPr>
                <w:rFonts w:hint="eastAsia" w:ascii="宋体" w:hAnsi="宋体" w:cs="宋体"/>
                <w:color w:val="auto"/>
                <w:sz w:val="24"/>
                <w:szCs w:val="24"/>
                <w:lang w:val="en-US" w:eastAsia="zh-CN"/>
              </w:rPr>
              <w:t>576</w:t>
            </w:r>
            <w:r>
              <w:rPr>
                <w:rFonts w:hint="eastAsia" w:ascii="宋体" w:hAnsi="宋体" w:cs="宋体"/>
                <w:color w:val="auto"/>
                <w:sz w:val="24"/>
                <w:szCs w:val="24"/>
              </w:rPr>
              <w:t>t/a。</w:t>
            </w:r>
          </w:p>
          <w:p w14:paraId="02466C30">
            <w:pPr>
              <w:spacing w:line="360"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表5-</w:t>
            </w:r>
            <w:r>
              <w:rPr>
                <w:rFonts w:hint="eastAsia" w:ascii="宋体" w:hAnsi="宋体" w:eastAsia="宋体" w:cs="宋体"/>
                <w:b/>
                <w:bCs w:val="0"/>
                <w:color w:val="auto"/>
                <w:sz w:val="24"/>
                <w:szCs w:val="24"/>
                <w:lang w:val="en-US" w:eastAsia="zh-CN"/>
              </w:rPr>
              <w:t>7</w:t>
            </w:r>
            <w:r>
              <w:rPr>
                <w:rFonts w:hint="eastAsia" w:ascii="宋体" w:hAnsi="宋体" w:eastAsia="宋体" w:cs="宋体"/>
                <w:b/>
                <w:bCs w:val="0"/>
                <w:color w:val="auto"/>
                <w:sz w:val="24"/>
                <w:szCs w:val="24"/>
              </w:rPr>
              <w:t xml:space="preserve">  固体废物排放源汇总表</w:t>
            </w:r>
          </w:p>
          <w:tbl>
            <w:tblPr>
              <w:tblStyle w:val="24"/>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4722"/>
              <w:gridCol w:w="3027"/>
            </w:tblGrid>
            <w:tr w14:paraId="6085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31" w:type="dxa"/>
                  <w:vAlign w:val="center"/>
                </w:tcPr>
                <w:p w14:paraId="673C5B0F">
                  <w:pPr>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4722" w:type="dxa"/>
                  <w:vAlign w:val="center"/>
                </w:tcPr>
                <w:p w14:paraId="7B87C5F8">
                  <w:pPr>
                    <w:jc w:val="center"/>
                    <w:rPr>
                      <w:rFonts w:hint="eastAsia" w:ascii="宋体" w:hAnsi="宋体" w:eastAsia="宋体" w:cs="宋体"/>
                      <w:b/>
                      <w:bCs/>
                      <w:color w:val="auto"/>
                      <w:szCs w:val="21"/>
                    </w:rPr>
                  </w:pPr>
                  <w:r>
                    <w:rPr>
                      <w:rFonts w:hint="eastAsia" w:ascii="宋体" w:hAnsi="宋体" w:eastAsia="宋体" w:cs="宋体"/>
                      <w:b/>
                      <w:bCs/>
                      <w:color w:val="auto"/>
                      <w:szCs w:val="21"/>
                    </w:rPr>
                    <w:t>固体废物名称</w:t>
                  </w:r>
                </w:p>
              </w:tc>
              <w:tc>
                <w:tcPr>
                  <w:tcW w:w="3027" w:type="dxa"/>
                  <w:vAlign w:val="center"/>
                </w:tcPr>
                <w:p w14:paraId="5A9B1C06">
                  <w:pPr>
                    <w:jc w:val="center"/>
                    <w:rPr>
                      <w:rFonts w:hint="eastAsia" w:ascii="宋体" w:hAnsi="宋体" w:eastAsia="宋体" w:cs="宋体"/>
                      <w:b/>
                      <w:bCs/>
                      <w:color w:val="auto"/>
                      <w:szCs w:val="21"/>
                    </w:rPr>
                  </w:pPr>
                  <w:r>
                    <w:rPr>
                      <w:rFonts w:hint="eastAsia" w:ascii="宋体" w:hAnsi="宋体" w:eastAsia="宋体" w:cs="宋体"/>
                      <w:b/>
                      <w:bCs/>
                      <w:color w:val="auto"/>
                      <w:szCs w:val="21"/>
                    </w:rPr>
                    <w:t>产生量（t/a）</w:t>
                  </w:r>
                </w:p>
              </w:tc>
            </w:tr>
            <w:tr w14:paraId="7242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31" w:type="dxa"/>
                  <w:vAlign w:val="center"/>
                </w:tcPr>
                <w:p w14:paraId="04267D92">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722" w:type="dxa"/>
                  <w:vAlign w:val="center"/>
                </w:tcPr>
                <w:p w14:paraId="6300F75E">
                  <w:pPr>
                    <w:jc w:val="center"/>
                    <w:rPr>
                      <w:rFonts w:hint="eastAsia" w:ascii="宋体" w:hAnsi="宋体" w:eastAsia="宋体" w:cs="宋体"/>
                      <w:color w:val="auto"/>
                      <w:szCs w:val="21"/>
                    </w:rPr>
                  </w:pPr>
                  <w:r>
                    <w:rPr>
                      <w:rFonts w:hint="eastAsia" w:ascii="宋体" w:hAnsi="宋体" w:eastAsia="宋体" w:cs="宋体"/>
                      <w:color w:val="auto"/>
                      <w:szCs w:val="21"/>
                    </w:rPr>
                    <w:t>生活垃圾</w:t>
                  </w:r>
                </w:p>
              </w:tc>
              <w:tc>
                <w:tcPr>
                  <w:tcW w:w="3027" w:type="dxa"/>
                  <w:vAlign w:val="center"/>
                </w:tcPr>
                <w:p w14:paraId="1C64BB1D">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2.4</w:t>
                  </w:r>
                </w:p>
              </w:tc>
            </w:tr>
            <w:tr w14:paraId="2A92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331" w:type="dxa"/>
                  <w:vAlign w:val="center"/>
                </w:tcPr>
                <w:p w14:paraId="19DC43E3">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4722" w:type="dxa"/>
                  <w:vAlign w:val="center"/>
                </w:tcPr>
                <w:p w14:paraId="60E075D3">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杂质</w:t>
                  </w:r>
                </w:p>
              </w:tc>
              <w:tc>
                <w:tcPr>
                  <w:tcW w:w="3027" w:type="dxa"/>
                  <w:vAlign w:val="center"/>
                </w:tcPr>
                <w:p w14:paraId="0B3798BB">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0.395</w:t>
                  </w:r>
                </w:p>
              </w:tc>
            </w:tr>
            <w:tr w14:paraId="04A0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1" w:type="dxa"/>
                  <w:vAlign w:val="center"/>
                </w:tcPr>
                <w:p w14:paraId="7CC89AB7">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4722" w:type="dxa"/>
                  <w:vAlign w:val="center"/>
                </w:tcPr>
                <w:p w14:paraId="2859CE05">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原辅材料包装物</w:t>
                  </w:r>
                </w:p>
              </w:tc>
              <w:tc>
                <w:tcPr>
                  <w:tcW w:w="3027" w:type="dxa"/>
                  <w:vAlign w:val="center"/>
                </w:tcPr>
                <w:p w14:paraId="6CB3615C">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0.5</w:t>
                  </w:r>
                </w:p>
              </w:tc>
            </w:tr>
            <w:tr w14:paraId="19B5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1" w:type="dxa"/>
                  <w:vAlign w:val="center"/>
                </w:tcPr>
                <w:p w14:paraId="2D5C10AA">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4722" w:type="dxa"/>
                  <w:vAlign w:val="center"/>
                </w:tcPr>
                <w:p w14:paraId="1B9F60BD">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热风炉灰渣</w:t>
                  </w:r>
                </w:p>
              </w:tc>
              <w:tc>
                <w:tcPr>
                  <w:tcW w:w="3027" w:type="dxa"/>
                  <w:vAlign w:val="center"/>
                </w:tcPr>
                <w:p w14:paraId="0C054972">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r>
            <w:tr w14:paraId="2C14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31" w:type="dxa"/>
                  <w:vAlign w:val="center"/>
                </w:tcPr>
                <w:p w14:paraId="28C44E74">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4722" w:type="dxa"/>
                  <w:vAlign w:val="center"/>
                </w:tcPr>
                <w:p w14:paraId="0438D270">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化粪池污泥</w:t>
                  </w:r>
                </w:p>
              </w:tc>
              <w:tc>
                <w:tcPr>
                  <w:tcW w:w="3027" w:type="dxa"/>
                  <w:vAlign w:val="center"/>
                </w:tcPr>
                <w:p w14:paraId="57A0CB87">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0.576</w:t>
                  </w:r>
                </w:p>
              </w:tc>
            </w:tr>
            <w:tr w14:paraId="0CA5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31" w:type="dxa"/>
                  <w:vAlign w:val="center"/>
                </w:tcPr>
                <w:p w14:paraId="7437BFA4">
                  <w:pPr>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4722" w:type="dxa"/>
                  <w:vAlign w:val="center"/>
                </w:tcPr>
                <w:p w14:paraId="5661ACD7">
                  <w:pPr>
                    <w:jc w:val="center"/>
                    <w:rPr>
                      <w:rFonts w:hint="eastAsia" w:ascii="宋体" w:hAnsi="宋体" w:eastAsia="宋体" w:cs="宋体"/>
                      <w:color w:val="auto"/>
                      <w:szCs w:val="21"/>
                    </w:rPr>
                  </w:pPr>
                  <w:r>
                    <w:rPr>
                      <w:rFonts w:hint="eastAsia" w:ascii="宋体" w:hAnsi="宋体" w:eastAsia="宋体" w:cs="宋体"/>
                      <w:color w:val="auto"/>
                      <w:szCs w:val="21"/>
                    </w:rPr>
                    <w:t>总计</w:t>
                  </w:r>
                </w:p>
              </w:tc>
              <w:tc>
                <w:tcPr>
                  <w:tcW w:w="3027" w:type="dxa"/>
                  <w:vAlign w:val="center"/>
                </w:tcPr>
                <w:p w14:paraId="574E1C32">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21.871</w:t>
                  </w:r>
                </w:p>
              </w:tc>
            </w:tr>
          </w:tbl>
          <w:p w14:paraId="5C627933">
            <w:pPr>
              <w:adjustRightInd w:val="0"/>
              <w:snapToGrid w:val="0"/>
              <w:spacing w:line="360" w:lineRule="auto"/>
              <w:ind w:firstLine="480" w:firstLineChars="200"/>
              <w:rPr>
                <w:rFonts w:hint="eastAsia" w:ascii="Times New Roman" w:hAnsi="Times New Roman"/>
                <w:color w:val="auto"/>
                <w:sz w:val="24"/>
                <w:szCs w:val="24"/>
              </w:rPr>
            </w:pPr>
          </w:p>
        </w:tc>
      </w:tr>
    </w:tbl>
    <w:p w14:paraId="618BF0A1">
      <w:pPr>
        <w:rPr>
          <w:rFonts w:hint="eastAsia"/>
        </w:rPr>
      </w:pPr>
    </w:p>
    <w:p w14:paraId="6F8CB1CC">
      <w:pPr>
        <w:rPr>
          <w:rFonts w:hint="eastAsia"/>
        </w:rPr>
      </w:pPr>
    </w:p>
    <w:p w14:paraId="7A6DAC65">
      <w:pPr>
        <w:rPr>
          <w:rFonts w:hint="eastAsia"/>
        </w:rPr>
      </w:pPr>
    </w:p>
    <w:p w14:paraId="76288097">
      <w:pPr>
        <w:rPr>
          <w:rFonts w:hint="eastAsia"/>
        </w:rPr>
      </w:pPr>
    </w:p>
    <w:p w14:paraId="0D2847F5">
      <w:pPr>
        <w:rPr>
          <w:rFonts w:hint="eastAsia"/>
        </w:rPr>
      </w:pPr>
    </w:p>
    <w:p w14:paraId="66917994">
      <w:pPr>
        <w:rPr>
          <w:rFonts w:hint="eastAsia"/>
        </w:rPr>
      </w:pPr>
    </w:p>
    <w:p w14:paraId="4349CDEB">
      <w:pPr>
        <w:rPr>
          <w:rFonts w:hint="eastAsia"/>
        </w:rPr>
      </w:pPr>
    </w:p>
    <w:p w14:paraId="0F7667A3">
      <w:pPr>
        <w:pStyle w:val="3"/>
        <w:tabs>
          <w:tab w:val="left" w:pos="432"/>
        </w:tabs>
        <w:jc w:val="both"/>
        <w:rPr>
          <w:rFonts w:hint="eastAsia"/>
          <w:lang w:val="en-US" w:eastAsia="zh-CN"/>
        </w:rPr>
      </w:pPr>
      <w:r>
        <w:rPr>
          <w:rFonts w:hint="eastAsia" w:ascii="Times New Roman" w:hAnsi="Times New Roman" w:eastAsia="宋体" w:cs="Times New Roman"/>
          <w:color w:val="auto"/>
          <w:sz w:val="30"/>
          <w:szCs w:val="30"/>
          <w:lang w:val="en-US" w:eastAsia="zh-CN"/>
        </w:rPr>
        <w:br w:type="page"/>
      </w:r>
      <w:bookmarkStart w:id="12" w:name="_Toc9934_WPSOffice_Level1"/>
      <w:r>
        <w:rPr>
          <w:rFonts w:hint="eastAsia" w:ascii="Times New Roman" w:hAnsi="Times New Roman" w:eastAsia="宋体" w:cs="Times New Roman"/>
          <w:b/>
          <w:bCs/>
          <w:color w:val="auto"/>
          <w:sz w:val="32"/>
          <w:szCs w:val="32"/>
        </w:rPr>
        <w:t>表六、项目主要污染物产生及预计排放情况</w:t>
      </w:r>
      <w:bookmarkEnd w:id="12"/>
    </w:p>
    <w:tbl>
      <w:tblPr>
        <w:tblStyle w:val="24"/>
        <w:tblW w:w="933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6"/>
        <w:gridCol w:w="766"/>
        <w:gridCol w:w="1064"/>
        <w:gridCol w:w="1583"/>
        <w:gridCol w:w="1200"/>
        <w:gridCol w:w="1381"/>
        <w:gridCol w:w="1289"/>
        <w:gridCol w:w="1344"/>
      </w:tblGrid>
      <w:tr w14:paraId="7B859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06" w:type="dxa"/>
            <w:vMerge w:val="restart"/>
            <w:tcBorders>
              <w:tl2br w:val="single" w:color="auto" w:sz="2" w:space="0"/>
            </w:tcBorders>
            <w:vAlign w:val="center"/>
          </w:tcPr>
          <w:p w14:paraId="5AFB61C6">
            <w:pPr>
              <w:spacing w:line="260" w:lineRule="exact"/>
              <w:jc w:val="right"/>
              <w:rPr>
                <w:rFonts w:ascii="Times New Roman" w:hAnsi="Times New Roman"/>
                <w:b/>
                <w:color w:val="auto"/>
                <w:sz w:val="21"/>
                <w:szCs w:val="21"/>
              </w:rPr>
            </w:pPr>
            <w:r>
              <w:rPr>
                <w:rFonts w:ascii="Times New Roman" w:hAnsi="Times New Roman"/>
                <w:b/>
                <w:color w:val="auto"/>
                <w:sz w:val="21"/>
                <w:szCs w:val="21"/>
              </w:rPr>
              <w:t xml:space="preserve">  内容</w:t>
            </w:r>
          </w:p>
          <w:p w14:paraId="5C3FDFA7">
            <w:pPr>
              <w:spacing w:line="260" w:lineRule="exact"/>
              <w:jc w:val="left"/>
              <w:rPr>
                <w:rFonts w:ascii="Times New Roman" w:hAnsi="Times New Roman"/>
                <w:b/>
                <w:color w:val="auto"/>
                <w:sz w:val="21"/>
                <w:szCs w:val="21"/>
              </w:rPr>
            </w:pPr>
            <w:r>
              <w:rPr>
                <w:rFonts w:ascii="Times New Roman" w:hAnsi="Times New Roman"/>
                <w:b/>
                <w:color w:val="auto"/>
                <w:sz w:val="21"/>
                <w:szCs w:val="21"/>
              </w:rPr>
              <w:t>类型</w:t>
            </w:r>
          </w:p>
        </w:tc>
        <w:tc>
          <w:tcPr>
            <w:tcW w:w="1830" w:type="dxa"/>
            <w:gridSpan w:val="2"/>
            <w:vMerge w:val="restart"/>
            <w:vAlign w:val="center"/>
          </w:tcPr>
          <w:p w14:paraId="3664B962">
            <w:pPr>
              <w:spacing w:line="260" w:lineRule="exact"/>
              <w:jc w:val="center"/>
              <w:rPr>
                <w:rFonts w:ascii="Times New Roman" w:hAnsi="Times New Roman"/>
                <w:b/>
                <w:color w:val="auto"/>
                <w:sz w:val="21"/>
                <w:szCs w:val="21"/>
              </w:rPr>
            </w:pPr>
            <w:r>
              <w:rPr>
                <w:rFonts w:ascii="Times New Roman" w:hAnsi="Times New Roman"/>
                <w:b/>
                <w:color w:val="auto"/>
                <w:sz w:val="21"/>
                <w:szCs w:val="21"/>
              </w:rPr>
              <w:t>排放源</w:t>
            </w:r>
          </w:p>
          <w:p w14:paraId="1881ED52">
            <w:pPr>
              <w:spacing w:line="260" w:lineRule="exact"/>
              <w:jc w:val="center"/>
              <w:rPr>
                <w:rFonts w:ascii="Times New Roman" w:hAnsi="Times New Roman"/>
                <w:b/>
                <w:color w:val="auto"/>
                <w:sz w:val="21"/>
                <w:szCs w:val="21"/>
              </w:rPr>
            </w:pPr>
            <w:r>
              <w:rPr>
                <w:rFonts w:ascii="Times New Roman" w:hAnsi="Times New Roman"/>
                <w:b/>
                <w:color w:val="auto"/>
                <w:sz w:val="21"/>
                <w:szCs w:val="21"/>
              </w:rPr>
              <w:t>(编号)</w:t>
            </w:r>
          </w:p>
        </w:tc>
        <w:tc>
          <w:tcPr>
            <w:tcW w:w="1583" w:type="dxa"/>
            <w:vMerge w:val="restart"/>
            <w:vAlign w:val="center"/>
          </w:tcPr>
          <w:p w14:paraId="384ABC5B">
            <w:pPr>
              <w:spacing w:line="260" w:lineRule="exact"/>
              <w:jc w:val="center"/>
              <w:rPr>
                <w:rFonts w:ascii="Times New Roman" w:hAnsi="Times New Roman"/>
                <w:b/>
                <w:color w:val="auto"/>
                <w:sz w:val="21"/>
                <w:szCs w:val="21"/>
              </w:rPr>
            </w:pPr>
            <w:r>
              <w:rPr>
                <w:rFonts w:ascii="Times New Roman" w:hAnsi="Times New Roman"/>
                <w:b/>
                <w:color w:val="auto"/>
                <w:sz w:val="21"/>
                <w:szCs w:val="21"/>
              </w:rPr>
              <w:t>污染物</w:t>
            </w:r>
          </w:p>
          <w:p w14:paraId="40234A4C">
            <w:pPr>
              <w:spacing w:line="260" w:lineRule="exact"/>
              <w:jc w:val="center"/>
              <w:rPr>
                <w:rFonts w:ascii="Times New Roman" w:hAnsi="Times New Roman"/>
                <w:b/>
                <w:color w:val="auto"/>
                <w:sz w:val="21"/>
                <w:szCs w:val="21"/>
              </w:rPr>
            </w:pPr>
            <w:r>
              <w:rPr>
                <w:rFonts w:ascii="Times New Roman" w:hAnsi="Times New Roman"/>
                <w:b/>
                <w:color w:val="auto"/>
                <w:sz w:val="21"/>
                <w:szCs w:val="21"/>
              </w:rPr>
              <w:t>名称</w:t>
            </w:r>
          </w:p>
        </w:tc>
        <w:tc>
          <w:tcPr>
            <w:tcW w:w="2581" w:type="dxa"/>
            <w:gridSpan w:val="2"/>
            <w:vAlign w:val="center"/>
          </w:tcPr>
          <w:p w14:paraId="65372D65">
            <w:pPr>
              <w:spacing w:line="260" w:lineRule="exact"/>
              <w:jc w:val="center"/>
              <w:rPr>
                <w:rFonts w:ascii="Times New Roman" w:hAnsi="Times New Roman"/>
                <w:b/>
                <w:color w:val="auto"/>
                <w:sz w:val="21"/>
                <w:szCs w:val="21"/>
              </w:rPr>
            </w:pPr>
            <w:r>
              <w:rPr>
                <w:rFonts w:ascii="Times New Roman" w:hAnsi="Times New Roman"/>
                <w:b/>
                <w:color w:val="auto"/>
                <w:sz w:val="21"/>
                <w:szCs w:val="21"/>
              </w:rPr>
              <w:t>处理前</w:t>
            </w:r>
          </w:p>
        </w:tc>
        <w:tc>
          <w:tcPr>
            <w:tcW w:w="2633" w:type="dxa"/>
            <w:gridSpan w:val="2"/>
            <w:vAlign w:val="center"/>
          </w:tcPr>
          <w:p w14:paraId="26A27FCD">
            <w:pPr>
              <w:spacing w:line="260" w:lineRule="exact"/>
              <w:jc w:val="center"/>
              <w:rPr>
                <w:rFonts w:ascii="Times New Roman" w:hAnsi="Times New Roman"/>
                <w:b/>
                <w:color w:val="auto"/>
                <w:sz w:val="21"/>
                <w:szCs w:val="21"/>
              </w:rPr>
            </w:pPr>
            <w:r>
              <w:rPr>
                <w:rFonts w:ascii="Times New Roman" w:hAnsi="Times New Roman"/>
                <w:b/>
                <w:color w:val="auto"/>
                <w:sz w:val="21"/>
                <w:szCs w:val="21"/>
              </w:rPr>
              <w:t>处理后</w:t>
            </w:r>
          </w:p>
        </w:tc>
      </w:tr>
      <w:tr w14:paraId="23308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706" w:type="dxa"/>
            <w:vMerge w:val="continue"/>
            <w:vAlign w:val="center"/>
          </w:tcPr>
          <w:p w14:paraId="6004C87C">
            <w:pPr>
              <w:spacing w:line="260" w:lineRule="exact"/>
              <w:jc w:val="center"/>
              <w:rPr>
                <w:rFonts w:ascii="Times New Roman" w:hAnsi="Times New Roman"/>
                <w:b/>
                <w:color w:val="auto"/>
                <w:sz w:val="21"/>
                <w:szCs w:val="21"/>
              </w:rPr>
            </w:pPr>
          </w:p>
        </w:tc>
        <w:tc>
          <w:tcPr>
            <w:tcW w:w="1830" w:type="dxa"/>
            <w:gridSpan w:val="2"/>
            <w:vMerge w:val="continue"/>
            <w:vAlign w:val="center"/>
          </w:tcPr>
          <w:p w14:paraId="2717F214">
            <w:pPr>
              <w:spacing w:line="260" w:lineRule="exact"/>
              <w:jc w:val="center"/>
              <w:rPr>
                <w:rFonts w:ascii="Times New Roman" w:hAnsi="Times New Roman"/>
                <w:b/>
                <w:color w:val="auto"/>
                <w:sz w:val="21"/>
                <w:szCs w:val="21"/>
              </w:rPr>
            </w:pPr>
          </w:p>
        </w:tc>
        <w:tc>
          <w:tcPr>
            <w:tcW w:w="1583" w:type="dxa"/>
            <w:vMerge w:val="continue"/>
            <w:vAlign w:val="center"/>
          </w:tcPr>
          <w:p w14:paraId="625EFDAA">
            <w:pPr>
              <w:spacing w:line="260" w:lineRule="exact"/>
              <w:jc w:val="center"/>
              <w:rPr>
                <w:rFonts w:ascii="Times New Roman" w:hAnsi="Times New Roman"/>
                <w:b/>
                <w:color w:val="auto"/>
                <w:sz w:val="21"/>
                <w:szCs w:val="21"/>
              </w:rPr>
            </w:pPr>
          </w:p>
        </w:tc>
        <w:tc>
          <w:tcPr>
            <w:tcW w:w="1200" w:type="dxa"/>
            <w:vAlign w:val="center"/>
          </w:tcPr>
          <w:p w14:paraId="7B8850F9">
            <w:pPr>
              <w:spacing w:line="260" w:lineRule="exact"/>
              <w:jc w:val="center"/>
              <w:rPr>
                <w:rFonts w:ascii="Times New Roman" w:hAnsi="Times New Roman"/>
                <w:b/>
                <w:color w:val="auto"/>
                <w:sz w:val="21"/>
                <w:szCs w:val="21"/>
              </w:rPr>
            </w:pPr>
            <w:r>
              <w:rPr>
                <w:rFonts w:ascii="Times New Roman" w:hAnsi="Times New Roman"/>
                <w:b/>
                <w:color w:val="auto"/>
                <w:sz w:val="21"/>
                <w:szCs w:val="21"/>
              </w:rPr>
              <w:t>产生浓度</w:t>
            </w:r>
          </w:p>
          <w:p w14:paraId="63A26668">
            <w:pPr>
              <w:spacing w:line="260" w:lineRule="exact"/>
              <w:jc w:val="center"/>
              <w:rPr>
                <w:rFonts w:ascii="Times New Roman" w:hAnsi="Times New Roman"/>
                <w:b/>
                <w:color w:val="auto"/>
                <w:sz w:val="21"/>
                <w:szCs w:val="21"/>
              </w:rPr>
            </w:pPr>
            <w:r>
              <w:rPr>
                <w:rFonts w:ascii="Times New Roman" w:hAnsi="Times New Roman"/>
                <w:b/>
                <w:color w:val="auto"/>
                <w:sz w:val="21"/>
                <w:szCs w:val="21"/>
              </w:rPr>
              <w:t>（mg/L）</w:t>
            </w:r>
          </w:p>
        </w:tc>
        <w:tc>
          <w:tcPr>
            <w:tcW w:w="1381" w:type="dxa"/>
            <w:vAlign w:val="center"/>
          </w:tcPr>
          <w:p w14:paraId="549D3C29">
            <w:pPr>
              <w:spacing w:line="260" w:lineRule="exact"/>
              <w:jc w:val="center"/>
              <w:rPr>
                <w:rFonts w:ascii="Times New Roman" w:hAnsi="Times New Roman"/>
                <w:b/>
                <w:color w:val="auto"/>
                <w:sz w:val="21"/>
                <w:szCs w:val="21"/>
              </w:rPr>
            </w:pPr>
            <w:r>
              <w:rPr>
                <w:rFonts w:ascii="Times New Roman" w:hAnsi="Times New Roman"/>
                <w:b/>
                <w:color w:val="auto"/>
                <w:sz w:val="21"/>
                <w:szCs w:val="21"/>
              </w:rPr>
              <w:t>产生量</w:t>
            </w:r>
          </w:p>
          <w:p w14:paraId="034B6624">
            <w:pPr>
              <w:spacing w:line="260" w:lineRule="exact"/>
              <w:jc w:val="center"/>
              <w:rPr>
                <w:rFonts w:ascii="Times New Roman" w:hAnsi="Times New Roman"/>
                <w:b/>
                <w:color w:val="auto"/>
                <w:sz w:val="21"/>
                <w:szCs w:val="21"/>
              </w:rPr>
            </w:pPr>
            <w:r>
              <w:rPr>
                <w:rFonts w:ascii="Times New Roman" w:hAnsi="Times New Roman"/>
                <w:b/>
                <w:color w:val="auto"/>
                <w:sz w:val="21"/>
                <w:szCs w:val="21"/>
              </w:rPr>
              <w:t>(t/a)</w:t>
            </w:r>
          </w:p>
        </w:tc>
        <w:tc>
          <w:tcPr>
            <w:tcW w:w="1289" w:type="dxa"/>
            <w:vAlign w:val="center"/>
          </w:tcPr>
          <w:p w14:paraId="462BF091">
            <w:pPr>
              <w:spacing w:line="260" w:lineRule="exact"/>
              <w:jc w:val="center"/>
              <w:rPr>
                <w:rFonts w:ascii="Times New Roman" w:hAnsi="Times New Roman"/>
                <w:b/>
                <w:color w:val="auto"/>
                <w:sz w:val="21"/>
                <w:szCs w:val="21"/>
              </w:rPr>
            </w:pPr>
            <w:r>
              <w:rPr>
                <w:rFonts w:ascii="Times New Roman" w:hAnsi="Times New Roman"/>
                <w:b/>
                <w:color w:val="auto"/>
                <w:sz w:val="21"/>
                <w:szCs w:val="21"/>
              </w:rPr>
              <w:t>排放浓度</w:t>
            </w:r>
          </w:p>
          <w:p w14:paraId="547A1DEA">
            <w:pPr>
              <w:spacing w:line="260" w:lineRule="exact"/>
              <w:jc w:val="center"/>
              <w:rPr>
                <w:rFonts w:ascii="Times New Roman" w:hAnsi="Times New Roman"/>
                <w:b/>
                <w:color w:val="auto"/>
                <w:sz w:val="21"/>
                <w:szCs w:val="21"/>
              </w:rPr>
            </w:pPr>
            <w:r>
              <w:rPr>
                <w:rFonts w:ascii="Times New Roman" w:hAnsi="Times New Roman"/>
                <w:b/>
                <w:color w:val="auto"/>
                <w:sz w:val="21"/>
                <w:szCs w:val="21"/>
              </w:rPr>
              <w:t>（mg/L）</w:t>
            </w:r>
          </w:p>
        </w:tc>
        <w:tc>
          <w:tcPr>
            <w:tcW w:w="1344" w:type="dxa"/>
            <w:vAlign w:val="center"/>
          </w:tcPr>
          <w:p w14:paraId="1D07E13D">
            <w:pPr>
              <w:spacing w:line="260" w:lineRule="exact"/>
              <w:jc w:val="center"/>
              <w:rPr>
                <w:rFonts w:ascii="Times New Roman" w:hAnsi="Times New Roman"/>
                <w:b/>
                <w:color w:val="auto"/>
                <w:sz w:val="21"/>
                <w:szCs w:val="21"/>
              </w:rPr>
            </w:pPr>
            <w:r>
              <w:rPr>
                <w:rFonts w:ascii="Times New Roman" w:hAnsi="Times New Roman"/>
                <w:b/>
                <w:color w:val="auto"/>
                <w:sz w:val="21"/>
                <w:szCs w:val="21"/>
              </w:rPr>
              <w:t>排放量</w:t>
            </w:r>
          </w:p>
          <w:p w14:paraId="54EF1907">
            <w:pPr>
              <w:spacing w:line="260" w:lineRule="exact"/>
              <w:ind w:left="128" w:hanging="112" w:hangingChars="53"/>
              <w:jc w:val="center"/>
              <w:rPr>
                <w:rFonts w:ascii="Times New Roman" w:hAnsi="Times New Roman"/>
                <w:b/>
                <w:color w:val="auto"/>
                <w:sz w:val="21"/>
                <w:szCs w:val="21"/>
              </w:rPr>
            </w:pPr>
            <w:r>
              <w:rPr>
                <w:rFonts w:ascii="Times New Roman" w:hAnsi="Times New Roman"/>
                <w:b/>
                <w:color w:val="auto"/>
                <w:sz w:val="21"/>
                <w:szCs w:val="21"/>
              </w:rPr>
              <w:t>（t/a）</w:t>
            </w:r>
          </w:p>
        </w:tc>
      </w:tr>
      <w:tr w14:paraId="06266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706" w:type="dxa"/>
            <w:vMerge w:val="restart"/>
            <w:vAlign w:val="center"/>
          </w:tcPr>
          <w:p w14:paraId="022B2ACF">
            <w:pPr>
              <w:spacing w:line="260" w:lineRule="exact"/>
              <w:jc w:val="center"/>
              <w:rPr>
                <w:rFonts w:ascii="Times New Roman" w:hAnsi="Times New Roman"/>
                <w:color w:val="auto"/>
                <w:sz w:val="21"/>
                <w:szCs w:val="21"/>
              </w:rPr>
            </w:pPr>
            <w:r>
              <w:rPr>
                <w:rFonts w:ascii="Times New Roman" w:hAnsi="Times New Roman"/>
                <w:color w:val="auto"/>
                <w:sz w:val="21"/>
                <w:szCs w:val="21"/>
              </w:rPr>
              <w:t>大</w:t>
            </w:r>
          </w:p>
          <w:p w14:paraId="777928A3">
            <w:pPr>
              <w:spacing w:line="260" w:lineRule="exact"/>
              <w:jc w:val="center"/>
              <w:rPr>
                <w:rFonts w:ascii="Times New Roman" w:hAnsi="Times New Roman"/>
                <w:color w:val="auto"/>
                <w:sz w:val="21"/>
                <w:szCs w:val="21"/>
              </w:rPr>
            </w:pPr>
            <w:r>
              <w:rPr>
                <w:rFonts w:ascii="Times New Roman" w:hAnsi="Times New Roman"/>
                <w:color w:val="auto"/>
                <w:sz w:val="21"/>
                <w:szCs w:val="21"/>
              </w:rPr>
              <w:t>气</w:t>
            </w:r>
          </w:p>
          <w:p w14:paraId="298E63E2">
            <w:pPr>
              <w:spacing w:line="260" w:lineRule="exact"/>
              <w:jc w:val="center"/>
              <w:rPr>
                <w:rFonts w:ascii="Times New Roman" w:hAnsi="Times New Roman"/>
                <w:color w:val="auto"/>
                <w:sz w:val="21"/>
                <w:szCs w:val="21"/>
              </w:rPr>
            </w:pPr>
            <w:r>
              <w:rPr>
                <w:rFonts w:ascii="Times New Roman" w:hAnsi="Times New Roman"/>
                <w:color w:val="auto"/>
                <w:sz w:val="21"/>
                <w:szCs w:val="21"/>
              </w:rPr>
              <w:t>污</w:t>
            </w:r>
          </w:p>
          <w:p w14:paraId="2B4C7C5D">
            <w:pPr>
              <w:spacing w:line="260" w:lineRule="exact"/>
              <w:jc w:val="center"/>
              <w:rPr>
                <w:rFonts w:ascii="Times New Roman" w:hAnsi="Times New Roman"/>
                <w:color w:val="auto"/>
                <w:sz w:val="21"/>
                <w:szCs w:val="21"/>
              </w:rPr>
            </w:pPr>
            <w:r>
              <w:rPr>
                <w:rFonts w:ascii="Times New Roman" w:hAnsi="Times New Roman"/>
                <w:color w:val="auto"/>
                <w:sz w:val="21"/>
                <w:szCs w:val="21"/>
              </w:rPr>
              <w:t>染</w:t>
            </w:r>
          </w:p>
          <w:p w14:paraId="372543DF">
            <w:pPr>
              <w:spacing w:line="260" w:lineRule="exact"/>
              <w:jc w:val="center"/>
              <w:rPr>
                <w:rFonts w:ascii="Times New Roman" w:hAnsi="Times New Roman"/>
                <w:color w:val="auto"/>
                <w:sz w:val="21"/>
                <w:szCs w:val="21"/>
              </w:rPr>
            </w:pPr>
            <w:r>
              <w:rPr>
                <w:rFonts w:ascii="Times New Roman" w:hAnsi="Times New Roman"/>
                <w:color w:val="auto"/>
                <w:sz w:val="21"/>
                <w:szCs w:val="21"/>
              </w:rPr>
              <w:t>物</w:t>
            </w:r>
          </w:p>
        </w:tc>
        <w:tc>
          <w:tcPr>
            <w:tcW w:w="766" w:type="dxa"/>
            <w:vMerge w:val="restart"/>
            <w:vAlign w:val="center"/>
          </w:tcPr>
          <w:p w14:paraId="096BD21A">
            <w:pPr>
              <w:spacing w:line="2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施工期</w:t>
            </w:r>
          </w:p>
        </w:tc>
        <w:tc>
          <w:tcPr>
            <w:tcW w:w="1064" w:type="dxa"/>
            <w:vAlign w:val="center"/>
          </w:tcPr>
          <w:p w14:paraId="6EC384AF">
            <w:pPr>
              <w:spacing w:line="240" w:lineRule="auto"/>
              <w:jc w:val="center"/>
              <w:rPr>
                <w:rFonts w:hint="eastAsia" w:ascii="Times New Roman" w:hAnsi="Times New Roman"/>
                <w:color w:val="auto"/>
                <w:sz w:val="21"/>
                <w:szCs w:val="21"/>
                <w:lang w:eastAsia="zh-CN"/>
              </w:rPr>
            </w:pPr>
            <w:r>
              <w:rPr>
                <w:rFonts w:hint="eastAsia" w:ascii="宋体" w:hAnsi="宋体" w:eastAsia="宋体" w:cs="宋体"/>
                <w:bCs/>
                <w:color w:val="auto"/>
                <w:szCs w:val="21"/>
              </w:rPr>
              <w:t>施工过程</w:t>
            </w:r>
          </w:p>
        </w:tc>
        <w:tc>
          <w:tcPr>
            <w:tcW w:w="1583" w:type="dxa"/>
            <w:vAlign w:val="center"/>
          </w:tcPr>
          <w:p w14:paraId="092AF2D2">
            <w:pPr>
              <w:spacing w:line="240" w:lineRule="auto"/>
              <w:jc w:val="center"/>
              <w:rPr>
                <w:rFonts w:hint="eastAsia" w:ascii="Times New Roman" w:hAnsi="Times New Roman"/>
                <w:color w:val="auto"/>
                <w:sz w:val="21"/>
                <w:szCs w:val="21"/>
                <w:lang w:eastAsia="zh-CN"/>
              </w:rPr>
            </w:pPr>
            <w:r>
              <w:rPr>
                <w:rFonts w:hint="eastAsia" w:ascii="宋体" w:hAnsi="宋体" w:eastAsia="宋体" w:cs="宋体"/>
                <w:bCs/>
                <w:color w:val="auto"/>
                <w:szCs w:val="21"/>
              </w:rPr>
              <w:t>扬尘</w:t>
            </w:r>
          </w:p>
        </w:tc>
        <w:tc>
          <w:tcPr>
            <w:tcW w:w="2581" w:type="dxa"/>
            <w:gridSpan w:val="2"/>
            <w:vAlign w:val="center"/>
          </w:tcPr>
          <w:p w14:paraId="53A2F4C2">
            <w:pPr>
              <w:spacing w:before="20" w:after="20" w:line="240" w:lineRule="auto"/>
              <w:jc w:val="center"/>
              <w:rPr>
                <w:rFonts w:hint="eastAsia" w:ascii="Times New Roman" w:hAnsi="Times New Roman"/>
                <w:color w:val="auto"/>
                <w:sz w:val="21"/>
                <w:szCs w:val="21"/>
                <w:lang w:eastAsia="zh-CN"/>
              </w:rPr>
            </w:pPr>
            <w:r>
              <w:rPr>
                <w:rFonts w:hint="eastAsia" w:ascii="宋体" w:hAnsi="宋体" w:eastAsia="宋体" w:cs="宋体"/>
                <w:color w:val="auto"/>
                <w:szCs w:val="21"/>
              </w:rPr>
              <w:t>少量</w:t>
            </w:r>
          </w:p>
        </w:tc>
        <w:tc>
          <w:tcPr>
            <w:tcW w:w="2633" w:type="dxa"/>
            <w:gridSpan w:val="2"/>
            <w:vAlign w:val="center"/>
          </w:tcPr>
          <w:p w14:paraId="1F554870">
            <w:pPr>
              <w:spacing w:before="20" w:after="20" w:line="240" w:lineRule="auto"/>
              <w:jc w:val="center"/>
              <w:rPr>
                <w:rFonts w:hint="eastAsia" w:ascii="Times New Roman" w:hAnsi="Times New Roman"/>
                <w:color w:val="auto"/>
                <w:sz w:val="21"/>
                <w:szCs w:val="21"/>
                <w:lang w:eastAsia="zh-CN"/>
              </w:rPr>
            </w:pPr>
            <w:r>
              <w:rPr>
                <w:rFonts w:hint="eastAsia" w:ascii="宋体" w:hAnsi="宋体" w:eastAsia="宋体" w:cs="宋体"/>
                <w:color w:val="auto"/>
                <w:szCs w:val="21"/>
              </w:rPr>
              <w:t>少量，呈无组织排放</w:t>
            </w:r>
          </w:p>
        </w:tc>
      </w:tr>
      <w:tr w14:paraId="05E0A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706" w:type="dxa"/>
            <w:vMerge w:val="continue"/>
            <w:vAlign w:val="center"/>
          </w:tcPr>
          <w:p w14:paraId="01D1E4A5">
            <w:pPr>
              <w:spacing w:line="260" w:lineRule="exact"/>
              <w:jc w:val="center"/>
              <w:rPr>
                <w:rFonts w:ascii="Times New Roman" w:hAnsi="Times New Roman"/>
                <w:color w:val="auto"/>
                <w:sz w:val="21"/>
                <w:szCs w:val="21"/>
              </w:rPr>
            </w:pPr>
          </w:p>
        </w:tc>
        <w:tc>
          <w:tcPr>
            <w:tcW w:w="766" w:type="dxa"/>
            <w:vMerge w:val="continue"/>
            <w:vAlign w:val="center"/>
          </w:tcPr>
          <w:p w14:paraId="2F6FAAF0">
            <w:pPr>
              <w:spacing w:line="260" w:lineRule="exact"/>
              <w:jc w:val="center"/>
              <w:rPr>
                <w:rFonts w:hint="eastAsia" w:ascii="Times New Roman" w:hAnsi="Times New Roman"/>
                <w:color w:val="auto"/>
                <w:sz w:val="21"/>
                <w:szCs w:val="21"/>
                <w:lang w:eastAsia="zh-CN"/>
              </w:rPr>
            </w:pPr>
          </w:p>
        </w:tc>
        <w:tc>
          <w:tcPr>
            <w:tcW w:w="1064" w:type="dxa"/>
            <w:vAlign w:val="center"/>
          </w:tcPr>
          <w:p w14:paraId="6A6A6D9D">
            <w:pPr>
              <w:spacing w:line="240" w:lineRule="auto"/>
              <w:jc w:val="center"/>
              <w:rPr>
                <w:rFonts w:hint="eastAsia" w:ascii="Times New Roman" w:hAnsi="Times New Roman"/>
                <w:color w:val="auto"/>
                <w:sz w:val="21"/>
                <w:szCs w:val="21"/>
                <w:lang w:eastAsia="zh-CN"/>
              </w:rPr>
            </w:pPr>
            <w:r>
              <w:rPr>
                <w:rFonts w:hint="eastAsia" w:ascii="Times New Roman" w:hAnsi="Times New Roman" w:cs="Times New Roman"/>
                <w:bCs/>
                <w:color w:val="auto"/>
                <w:szCs w:val="21"/>
              </w:rPr>
              <w:t>设备及车辆运行</w:t>
            </w:r>
          </w:p>
        </w:tc>
        <w:tc>
          <w:tcPr>
            <w:tcW w:w="1583" w:type="dxa"/>
            <w:vAlign w:val="center"/>
          </w:tcPr>
          <w:p w14:paraId="6FC7150E">
            <w:pPr>
              <w:spacing w:line="240" w:lineRule="auto"/>
              <w:jc w:val="center"/>
              <w:rPr>
                <w:rFonts w:hint="eastAsia" w:ascii="Times New Roman" w:hAnsi="Times New Roman"/>
                <w:color w:val="auto"/>
                <w:sz w:val="21"/>
                <w:szCs w:val="21"/>
                <w:lang w:eastAsia="zh-CN"/>
              </w:rPr>
            </w:pPr>
            <w:r>
              <w:rPr>
                <w:rFonts w:hint="eastAsia" w:ascii="Times New Roman" w:hAnsi="Times New Roman" w:cs="Times New Roman"/>
                <w:bCs/>
                <w:color w:val="auto"/>
                <w:szCs w:val="21"/>
              </w:rPr>
              <w:t>机械燃油废气及运输车辆尾气</w:t>
            </w:r>
          </w:p>
        </w:tc>
        <w:tc>
          <w:tcPr>
            <w:tcW w:w="2581" w:type="dxa"/>
            <w:gridSpan w:val="2"/>
            <w:vAlign w:val="center"/>
          </w:tcPr>
          <w:p w14:paraId="6E33944A">
            <w:pPr>
              <w:spacing w:before="20" w:after="20" w:line="240" w:lineRule="auto"/>
              <w:jc w:val="center"/>
              <w:rPr>
                <w:rFonts w:hint="eastAsia" w:ascii="Times New Roman" w:hAnsi="Times New Roman"/>
                <w:color w:val="auto"/>
                <w:sz w:val="21"/>
                <w:szCs w:val="21"/>
                <w:lang w:eastAsia="zh-CN"/>
              </w:rPr>
            </w:pPr>
            <w:r>
              <w:rPr>
                <w:rFonts w:hint="eastAsia"/>
                <w:color w:val="auto"/>
                <w:szCs w:val="21"/>
              </w:rPr>
              <w:t>少量</w:t>
            </w:r>
          </w:p>
        </w:tc>
        <w:tc>
          <w:tcPr>
            <w:tcW w:w="2633" w:type="dxa"/>
            <w:gridSpan w:val="2"/>
            <w:vAlign w:val="center"/>
          </w:tcPr>
          <w:p w14:paraId="478C6C84">
            <w:pPr>
              <w:spacing w:before="20" w:after="20" w:line="240" w:lineRule="auto"/>
              <w:jc w:val="center"/>
              <w:rPr>
                <w:rFonts w:hint="eastAsia" w:ascii="Times New Roman" w:hAnsi="Times New Roman"/>
                <w:color w:val="auto"/>
                <w:sz w:val="21"/>
                <w:szCs w:val="21"/>
                <w:lang w:eastAsia="zh-CN"/>
              </w:rPr>
            </w:pPr>
            <w:r>
              <w:rPr>
                <w:rFonts w:hint="eastAsia"/>
                <w:color w:val="auto"/>
                <w:szCs w:val="21"/>
              </w:rPr>
              <w:t>少量，呈无组织排放</w:t>
            </w:r>
          </w:p>
        </w:tc>
      </w:tr>
      <w:tr w14:paraId="484B4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706" w:type="dxa"/>
            <w:vMerge w:val="continue"/>
            <w:vAlign w:val="center"/>
          </w:tcPr>
          <w:p w14:paraId="4075F97F">
            <w:pPr>
              <w:spacing w:line="260" w:lineRule="exact"/>
              <w:jc w:val="center"/>
              <w:rPr>
                <w:rFonts w:ascii="Times New Roman" w:hAnsi="Times New Roman"/>
                <w:color w:val="auto"/>
                <w:sz w:val="21"/>
                <w:szCs w:val="21"/>
              </w:rPr>
            </w:pPr>
          </w:p>
        </w:tc>
        <w:tc>
          <w:tcPr>
            <w:tcW w:w="766" w:type="dxa"/>
            <w:vMerge w:val="restart"/>
            <w:vAlign w:val="center"/>
          </w:tcPr>
          <w:p w14:paraId="7E56A8B2">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运营期</w:t>
            </w:r>
          </w:p>
        </w:tc>
        <w:tc>
          <w:tcPr>
            <w:tcW w:w="1064" w:type="dxa"/>
            <w:tcBorders>
              <w:bottom w:val="single" w:color="auto" w:sz="4" w:space="0"/>
            </w:tcBorders>
            <w:vAlign w:val="center"/>
          </w:tcPr>
          <w:p w14:paraId="214E35BD">
            <w:pPr>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加工过程</w:t>
            </w:r>
          </w:p>
        </w:tc>
        <w:tc>
          <w:tcPr>
            <w:tcW w:w="1583" w:type="dxa"/>
            <w:tcBorders>
              <w:bottom w:val="single" w:color="auto" w:sz="4" w:space="0"/>
            </w:tcBorders>
            <w:vAlign w:val="center"/>
          </w:tcPr>
          <w:p w14:paraId="2417B451">
            <w:pPr>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粉尘</w:t>
            </w:r>
          </w:p>
        </w:tc>
        <w:tc>
          <w:tcPr>
            <w:tcW w:w="2581" w:type="dxa"/>
            <w:gridSpan w:val="2"/>
            <w:vAlign w:val="center"/>
          </w:tcPr>
          <w:p w14:paraId="2C0B692C">
            <w:pPr>
              <w:spacing w:line="260" w:lineRule="exac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0.175t/a</w:t>
            </w:r>
          </w:p>
        </w:tc>
        <w:tc>
          <w:tcPr>
            <w:tcW w:w="2633" w:type="dxa"/>
            <w:gridSpan w:val="2"/>
            <w:vAlign w:val="center"/>
          </w:tcPr>
          <w:p w14:paraId="3258CD5D">
            <w:pPr>
              <w:spacing w:line="260" w:lineRule="exac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0.175t/a</w:t>
            </w:r>
          </w:p>
        </w:tc>
      </w:tr>
      <w:tr w14:paraId="76FD8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1" w:hRule="atLeast"/>
          <w:jc w:val="center"/>
        </w:trPr>
        <w:tc>
          <w:tcPr>
            <w:tcW w:w="706" w:type="dxa"/>
            <w:vMerge w:val="continue"/>
            <w:vAlign w:val="center"/>
          </w:tcPr>
          <w:p w14:paraId="6C4A93CC">
            <w:pPr>
              <w:spacing w:line="260" w:lineRule="exact"/>
              <w:jc w:val="center"/>
              <w:rPr>
                <w:rFonts w:ascii="Times New Roman" w:hAnsi="Times New Roman"/>
                <w:color w:val="auto"/>
                <w:sz w:val="21"/>
                <w:szCs w:val="21"/>
              </w:rPr>
            </w:pPr>
          </w:p>
        </w:tc>
        <w:tc>
          <w:tcPr>
            <w:tcW w:w="766" w:type="dxa"/>
            <w:vMerge w:val="continue"/>
            <w:vAlign w:val="center"/>
          </w:tcPr>
          <w:p w14:paraId="03C1E0A3">
            <w:pPr>
              <w:spacing w:line="260" w:lineRule="exact"/>
              <w:jc w:val="center"/>
              <w:rPr>
                <w:rFonts w:ascii="Times New Roman" w:hAnsi="Times New Roman"/>
                <w:color w:val="auto"/>
                <w:sz w:val="21"/>
                <w:szCs w:val="21"/>
              </w:rPr>
            </w:pPr>
          </w:p>
        </w:tc>
        <w:tc>
          <w:tcPr>
            <w:tcW w:w="1064" w:type="dxa"/>
            <w:tcBorders>
              <w:top w:val="single" w:color="auto" w:sz="4" w:space="0"/>
            </w:tcBorders>
            <w:vAlign w:val="center"/>
          </w:tcPr>
          <w:p w14:paraId="2507883C">
            <w:pPr>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发酵过程</w:t>
            </w:r>
          </w:p>
        </w:tc>
        <w:tc>
          <w:tcPr>
            <w:tcW w:w="1583" w:type="dxa"/>
            <w:tcBorders>
              <w:top w:val="single" w:color="auto" w:sz="4" w:space="0"/>
              <w:right w:val="single" w:color="auto" w:sz="4" w:space="0"/>
            </w:tcBorders>
            <w:vAlign w:val="center"/>
          </w:tcPr>
          <w:p w14:paraId="64D75FEE">
            <w:pPr>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茶香</w:t>
            </w:r>
          </w:p>
        </w:tc>
        <w:tc>
          <w:tcPr>
            <w:tcW w:w="2581" w:type="dxa"/>
            <w:gridSpan w:val="2"/>
            <w:vAlign w:val="center"/>
          </w:tcPr>
          <w:p w14:paraId="7D1D43F2">
            <w:pPr>
              <w:spacing w:line="260" w:lineRule="exact"/>
              <w:jc w:val="center"/>
              <w:rPr>
                <w:rFonts w:ascii="Times New Roman" w:hAnsi="Times New Roman"/>
                <w:color w:val="auto"/>
                <w:sz w:val="21"/>
                <w:szCs w:val="21"/>
              </w:rPr>
            </w:pPr>
            <w:r>
              <w:rPr>
                <w:rFonts w:hint="eastAsia" w:ascii="Times New Roman" w:hAnsi="Times New Roman"/>
                <w:color w:val="auto"/>
                <w:sz w:val="21"/>
                <w:szCs w:val="21"/>
                <w:lang w:val="en-US" w:eastAsia="zh-CN"/>
              </w:rPr>
              <w:t>少量</w:t>
            </w:r>
          </w:p>
        </w:tc>
        <w:tc>
          <w:tcPr>
            <w:tcW w:w="2633" w:type="dxa"/>
            <w:gridSpan w:val="2"/>
            <w:vAlign w:val="center"/>
          </w:tcPr>
          <w:p w14:paraId="42047189">
            <w:pPr>
              <w:spacing w:line="260" w:lineRule="exact"/>
              <w:jc w:val="center"/>
              <w:rPr>
                <w:rFonts w:ascii="Times New Roman" w:hAnsi="Times New Roman"/>
                <w:color w:val="auto"/>
                <w:sz w:val="21"/>
                <w:szCs w:val="21"/>
              </w:rPr>
            </w:pPr>
            <w:r>
              <w:rPr>
                <w:rFonts w:hint="eastAsia" w:ascii="Times New Roman" w:hAnsi="Times New Roman"/>
                <w:color w:val="auto"/>
                <w:sz w:val="21"/>
                <w:szCs w:val="21"/>
                <w:lang w:val="en-US" w:eastAsia="zh-CN"/>
              </w:rPr>
              <w:t>少量</w:t>
            </w:r>
          </w:p>
        </w:tc>
      </w:tr>
      <w:tr w14:paraId="5DF99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706" w:type="dxa"/>
            <w:vMerge w:val="continue"/>
            <w:vAlign w:val="center"/>
          </w:tcPr>
          <w:p w14:paraId="1B0AD834">
            <w:pPr>
              <w:spacing w:line="260" w:lineRule="exact"/>
              <w:jc w:val="center"/>
              <w:rPr>
                <w:rFonts w:ascii="Times New Roman" w:hAnsi="Times New Roman"/>
                <w:color w:val="auto"/>
                <w:sz w:val="21"/>
                <w:szCs w:val="21"/>
              </w:rPr>
            </w:pPr>
          </w:p>
        </w:tc>
        <w:tc>
          <w:tcPr>
            <w:tcW w:w="766" w:type="dxa"/>
            <w:vMerge w:val="continue"/>
            <w:vAlign w:val="center"/>
          </w:tcPr>
          <w:p w14:paraId="1197B898">
            <w:pPr>
              <w:spacing w:line="260" w:lineRule="exact"/>
              <w:jc w:val="center"/>
              <w:rPr>
                <w:rFonts w:ascii="Times New Roman" w:hAnsi="Times New Roman"/>
                <w:color w:val="auto"/>
                <w:sz w:val="21"/>
                <w:szCs w:val="21"/>
              </w:rPr>
            </w:pPr>
          </w:p>
        </w:tc>
        <w:tc>
          <w:tcPr>
            <w:tcW w:w="1064" w:type="dxa"/>
            <w:vAlign w:val="center"/>
          </w:tcPr>
          <w:p w14:paraId="25F4414C">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厨房</w:t>
            </w:r>
          </w:p>
        </w:tc>
        <w:tc>
          <w:tcPr>
            <w:tcW w:w="1583" w:type="dxa"/>
            <w:tcBorders>
              <w:right w:val="single" w:color="auto" w:sz="4" w:space="0"/>
            </w:tcBorders>
            <w:vAlign w:val="center"/>
          </w:tcPr>
          <w:p w14:paraId="58E64C63">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油烟</w:t>
            </w:r>
          </w:p>
        </w:tc>
        <w:tc>
          <w:tcPr>
            <w:tcW w:w="1200" w:type="dxa"/>
            <w:vAlign w:val="center"/>
          </w:tcPr>
          <w:p w14:paraId="4876DB0D">
            <w:pPr>
              <w:jc w:val="center"/>
              <w:outlineLvl w:val="9"/>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kern w:val="0"/>
                <w:sz w:val="21"/>
                <w:szCs w:val="21"/>
                <w:highlight w:val="none"/>
                <w:u w:val="none" w:color="auto"/>
                <w:lang w:val="en-US" w:eastAsia="zh-CN"/>
              </w:rPr>
              <w:t>2.5</w:t>
            </w:r>
            <w:r>
              <w:rPr>
                <w:rFonts w:hint="eastAsia" w:ascii="宋体" w:hAnsi="宋体" w:eastAsia="宋体" w:cs="宋体"/>
                <w:b w:val="0"/>
                <w:bCs w:val="0"/>
                <w:i w:val="0"/>
                <w:iCs w:val="0"/>
                <w:color w:val="auto"/>
                <w:sz w:val="21"/>
                <w:szCs w:val="21"/>
                <w:highlight w:val="none"/>
                <w:u w:val="none" w:color="auto"/>
              </w:rPr>
              <w:t>mg/m</w:t>
            </w:r>
            <w:r>
              <w:rPr>
                <w:rFonts w:hint="eastAsia" w:ascii="宋体" w:hAnsi="宋体" w:eastAsia="宋体" w:cs="宋体"/>
                <w:b w:val="0"/>
                <w:bCs w:val="0"/>
                <w:i w:val="0"/>
                <w:iCs w:val="0"/>
                <w:color w:val="auto"/>
                <w:sz w:val="21"/>
                <w:szCs w:val="21"/>
                <w:highlight w:val="none"/>
                <w:u w:val="none" w:color="auto"/>
                <w:vertAlign w:val="superscript"/>
              </w:rPr>
              <w:t>3</w:t>
            </w:r>
          </w:p>
        </w:tc>
        <w:tc>
          <w:tcPr>
            <w:tcW w:w="1381" w:type="dxa"/>
            <w:vAlign w:val="center"/>
          </w:tcPr>
          <w:p w14:paraId="2EF8B87F">
            <w:pPr>
              <w:widowControl/>
              <w:jc w:val="center"/>
              <w:outlineLvl w:val="9"/>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highlight w:val="none"/>
                <w:u w:val="none" w:color="auto"/>
                <w:lang w:val="en-US" w:eastAsia="zh-CN"/>
              </w:rPr>
              <w:t>0.00144</w:t>
            </w:r>
            <w:r>
              <w:rPr>
                <w:rFonts w:hint="eastAsia" w:ascii="宋体" w:hAnsi="宋体" w:eastAsia="宋体" w:cs="宋体"/>
                <w:b w:val="0"/>
                <w:bCs w:val="0"/>
                <w:i w:val="0"/>
                <w:iCs w:val="0"/>
                <w:color w:val="auto"/>
                <w:sz w:val="21"/>
                <w:szCs w:val="21"/>
              </w:rPr>
              <w:t>t/a</w:t>
            </w:r>
          </w:p>
        </w:tc>
        <w:tc>
          <w:tcPr>
            <w:tcW w:w="1289" w:type="dxa"/>
            <w:vAlign w:val="center"/>
          </w:tcPr>
          <w:p w14:paraId="51B024B8">
            <w:pPr>
              <w:jc w:val="center"/>
              <w:outlineLvl w:val="9"/>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kern w:val="0"/>
                <w:sz w:val="21"/>
                <w:szCs w:val="21"/>
                <w:highlight w:val="none"/>
                <w:u w:val="none" w:color="auto"/>
                <w:lang w:val="en-US" w:eastAsia="zh-CN"/>
              </w:rPr>
              <w:t>1.0</w:t>
            </w:r>
            <w:r>
              <w:rPr>
                <w:rFonts w:hint="eastAsia" w:ascii="宋体" w:hAnsi="宋体" w:eastAsia="宋体" w:cs="宋体"/>
                <w:b w:val="0"/>
                <w:bCs w:val="0"/>
                <w:i w:val="0"/>
                <w:iCs w:val="0"/>
                <w:color w:val="auto"/>
                <w:sz w:val="21"/>
                <w:szCs w:val="21"/>
                <w:highlight w:val="none"/>
                <w:u w:val="none" w:color="auto"/>
              </w:rPr>
              <w:t>mg/m</w:t>
            </w:r>
            <w:r>
              <w:rPr>
                <w:rFonts w:hint="eastAsia" w:ascii="宋体" w:hAnsi="宋体" w:eastAsia="宋体" w:cs="宋体"/>
                <w:b w:val="0"/>
                <w:bCs w:val="0"/>
                <w:i w:val="0"/>
                <w:iCs w:val="0"/>
                <w:color w:val="auto"/>
                <w:sz w:val="21"/>
                <w:szCs w:val="21"/>
                <w:highlight w:val="none"/>
                <w:u w:val="none" w:color="auto"/>
                <w:vertAlign w:val="superscript"/>
              </w:rPr>
              <w:t>3</w:t>
            </w:r>
          </w:p>
        </w:tc>
        <w:tc>
          <w:tcPr>
            <w:tcW w:w="1344" w:type="dxa"/>
            <w:vAlign w:val="center"/>
          </w:tcPr>
          <w:p w14:paraId="43452C5B">
            <w:pPr>
              <w:widowControl/>
              <w:jc w:val="center"/>
              <w:outlineLvl w:val="9"/>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kern w:val="0"/>
                <w:sz w:val="21"/>
                <w:szCs w:val="21"/>
                <w:highlight w:val="none"/>
                <w:u w:val="none" w:color="auto"/>
                <w:lang w:val="en-US" w:eastAsia="zh-CN"/>
              </w:rPr>
              <w:t>0.000576</w:t>
            </w:r>
            <w:r>
              <w:rPr>
                <w:rFonts w:hint="eastAsia" w:ascii="宋体" w:hAnsi="宋体" w:eastAsia="宋体" w:cs="宋体"/>
                <w:b w:val="0"/>
                <w:bCs w:val="0"/>
                <w:i w:val="0"/>
                <w:iCs w:val="0"/>
                <w:color w:val="auto"/>
                <w:sz w:val="21"/>
                <w:szCs w:val="21"/>
              </w:rPr>
              <w:t>t/a</w:t>
            </w:r>
          </w:p>
        </w:tc>
      </w:tr>
      <w:tr w14:paraId="215AC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2" w:hRule="atLeast"/>
          <w:jc w:val="center"/>
        </w:trPr>
        <w:tc>
          <w:tcPr>
            <w:tcW w:w="706" w:type="dxa"/>
            <w:vMerge w:val="continue"/>
            <w:vAlign w:val="center"/>
          </w:tcPr>
          <w:p w14:paraId="1F3AB786">
            <w:pPr>
              <w:spacing w:line="260" w:lineRule="exact"/>
              <w:jc w:val="center"/>
              <w:rPr>
                <w:rFonts w:ascii="Times New Roman" w:hAnsi="Times New Roman"/>
                <w:color w:val="auto"/>
                <w:sz w:val="21"/>
                <w:szCs w:val="21"/>
              </w:rPr>
            </w:pPr>
          </w:p>
        </w:tc>
        <w:tc>
          <w:tcPr>
            <w:tcW w:w="766" w:type="dxa"/>
            <w:vMerge w:val="continue"/>
            <w:vAlign w:val="center"/>
          </w:tcPr>
          <w:p w14:paraId="0579A16C">
            <w:pPr>
              <w:spacing w:line="260" w:lineRule="exact"/>
              <w:jc w:val="center"/>
              <w:rPr>
                <w:rFonts w:ascii="Times New Roman" w:hAnsi="Times New Roman"/>
                <w:color w:val="auto"/>
                <w:sz w:val="21"/>
                <w:szCs w:val="21"/>
              </w:rPr>
            </w:pPr>
          </w:p>
        </w:tc>
        <w:tc>
          <w:tcPr>
            <w:tcW w:w="1064" w:type="dxa"/>
            <w:vMerge w:val="restart"/>
            <w:vAlign w:val="center"/>
          </w:tcPr>
          <w:p w14:paraId="40702FA6">
            <w:pPr>
              <w:spacing w:line="260" w:lineRule="exact"/>
              <w:jc w:val="center"/>
              <w:rPr>
                <w:rFonts w:hint="eastAsia" w:ascii="Times New Roman" w:hAnsi="Times New Roman" w:eastAsia="宋体"/>
                <w:color w:val="auto"/>
                <w:sz w:val="21"/>
                <w:szCs w:val="21"/>
                <w:lang w:eastAsia="zh-CN"/>
              </w:rPr>
            </w:pPr>
            <w:r>
              <w:rPr>
                <w:rFonts w:hint="eastAsia"/>
                <w:color w:val="auto"/>
                <w:sz w:val="21"/>
                <w:szCs w:val="21"/>
                <w:lang w:eastAsia="zh-CN"/>
              </w:rPr>
              <w:t>热风炉</w:t>
            </w:r>
            <w:r>
              <w:rPr>
                <w:rFonts w:hint="eastAsia" w:ascii="Times New Roman" w:hAnsi="Times New Roman"/>
                <w:color w:val="auto"/>
                <w:sz w:val="21"/>
                <w:szCs w:val="21"/>
                <w:lang w:eastAsia="zh-CN"/>
              </w:rPr>
              <w:t>烟气</w:t>
            </w:r>
          </w:p>
        </w:tc>
        <w:tc>
          <w:tcPr>
            <w:tcW w:w="1583" w:type="dxa"/>
            <w:tcBorders>
              <w:bottom w:val="single" w:color="auto" w:sz="4" w:space="0"/>
              <w:right w:val="single" w:color="auto" w:sz="4" w:space="0"/>
            </w:tcBorders>
            <w:vAlign w:val="center"/>
          </w:tcPr>
          <w:p w14:paraId="64DE7F54">
            <w:pPr>
              <w:spacing w:line="2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烟尘</w:t>
            </w:r>
          </w:p>
        </w:tc>
        <w:tc>
          <w:tcPr>
            <w:tcW w:w="1200" w:type="dxa"/>
            <w:tcBorders>
              <w:bottom w:val="single" w:color="auto" w:sz="4" w:space="0"/>
            </w:tcBorders>
            <w:vAlign w:val="center"/>
          </w:tcPr>
          <w:p w14:paraId="4561A4A5">
            <w:pPr>
              <w:pStyle w:val="14"/>
              <w:adjustRightInd w:val="0"/>
              <w:snapToGrid w:val="0"/>
              <w:spacing w:after="0" w:line="240" w:lineRule="auto"/>
              <w:ind w:left="0" w:leftChars="0" w:firstLine="0" w:firstLineChars="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13.53</w:t>
            </w:r>
            <w:r>
              <w:rPr>
                <w:rFonts w:hint="eastAsia" w:ascii="宋体" w:hAnsi="宋体" w:eastAsia="宋体" w:cs="宋体"/>
                <w:b w:val="0"/>
                <w:bCs w:val="0"/>
                <w:color w:val="auto"/>
                <w:sz w:val="21"/>
                <w:szCs w:val="21"/>
              </w:rPr>
              <w:t>t/a</w:t>
            </w:r>
          </w:p>
        </w:tc>
        <w:tc>
          <w:tcPr>
            <w:tcW w:w="1381" w:type="dxa"/>
            <w:tcBorders>
              <w:bottom w:val="single" w:color="auto" w:sz="4" w:space="0"/>
            </w:tcBorders>
            <w:vAlign w:val="center"/>
          </w:tcPr>
          <w:p w14:paraId="7C3A56B3">
            <w:pPr>
              <w:widowControl/>
              <w:spacing w:line="240" w:lineRule="auto"/>
              <w:jc w:val="center"/>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704.68</w:t>
            </w:r>
            <w:r>
              <w:rPr>
                <w:rFonts w:hint="eastAsia" w:ascii="宋体" w:hAnsi="宋体" w:eastAsia="宋体" w:cs="宋体"/>
                <w:color w:val="auto"/>
                <w:kern w:val="0"/>
                <w:sz w:val="21"/>
                <w:szCs w:val="21"/>
                <w:highlight w:val="none"/>
                <w:u w:val="none" w:color="auto"/>
              </w:rPr>
              <w:t>mg/m</w:t>
            </w:r>
            <w:r>
              <w:rPr>
                <w:rFonts w:hint="eastAsia" w:ascii="宋体" w:hAnsi="宋体" w:eastAsia="宋体" w:cs="宋体"/>
                <w:color w:val="auto"/>
                <w:kern w:val="0"/>
                <w:sz w:val="21"/>
                <w:szCs w:val="21"/>
                <w:highlight w:val="none"/>
                <w:u w:val="none" w:color="auto"/>
                <w:vertAlign w:val="superscript"/>
              </w:rPr>
              <w:t>3</w:t>
            </w:r>
          </w:p>
        </w:tc>
        <w:tc>
          <w:tcPr>
            <w:tcW w:w="1289" w:type="dxa"/>
            <w:tcBorders>
              <w:bottom w:val="single" w:color="auto" w:sz="4" w:space="0"/>
            </w:tcBorders>
            <w:vAlign w:val="center"/>
          </w:tcPr>
          <w:p w14:paraId="40544B56">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14</w:t>
            </w:r>
            <w:r>
              <w:rPr>
                <w:rFonts w:hint="eastAsia" w:ascii="宋体" w:hAnsi="宋体" w:eastAsia="宋体" w:cs="宋体"/>
                <w:b w:val="0"/>
                <w:bCs w:val="0"/>
                <w:color w:val="auto"/>
                <w:sz w:val="21"/>
                <w:szCs w:val="21"/>
              </w:rPr>
              <w:t>t/a</w:t>
            </w:r>
          </w:p>
        </w:tc>
        <w:tc>
          <w:tcPr>
            <w:tcW w:w="1344" w:type="dxa"/>
            <w:tcBorders>
              <w:bottom w:val="single" w:color="auto" w:sz="4" w:space="0"/>
            </w:tcBorders>
            <w:vAlign w:val="center"/>
          </w:tcPr>
          <w:p w14:paraId="29146D4F">
            <w:pPr>
              <w:spacing w:line="2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7.29</w:t>
            </w:r>
            <w:r>
              <w:rPr>
                <w:rFonts w:hint="eastAsia" w:ascii="宋体" w:hAnsi="宋体" w:eastAsia="宋体" w:cs="宋体"/>
                <w:color w:val="auto"/>
                <w:kern w:val="0"/>
                <w:sz w:val="21"/>
                <w:szCs w:val="21"/>
                <w:highlight w:val="none"/>
                <w:u w:val="none" w:color="auto"/>
              </w:rPr>
              <w:t>mg/m</w:t>
            </w:r>
            <w:r>
              <w:rPr>
                <w:rFonts w:hint="eastAsia" w:ascii="宋体" w:hAnsi="宋体" w:eastAsia="宋体" w:cs="宋体"/>
                <w:color w:val="auto"/>
                <w:kern w:val="0"/>
                <w:sz w:val="21"/>
                <w:szCs w:val="21"/>
                <w:highlight w:val="none"/>
                <w:u w:val="none" w:color="auto"/>
                <w:vertAlign w:val="superscript"/>
              </w:rPr>
              <w:t>3</w:t>
            </w:r>
          </w:p>
        </w:tc>
      </w:tr>
      <w:tr w14:paraId="0291F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5" w:hRule="atLeast"/>
          <w:jc w:val="center"/>
        </w:trPr>
        <w:tc>
          <w:tcPr>
            <w:tcW w:w="706" w:type="dxa"/>
            <w:vMerge w:val="continue"/>
            <w:vAlign w:val="center"/>
          </w:tcPr>
          <w:p w14:paraId="17AA6B63">
            <w:pPr>
              <w:spacing w:line="260" w:lineRule="exact"/>
              <w:jc w:val="center"/>
              <w:rPr>
                <w:rFonts w:ascii="Times New Roman" w:hAnsi="Times New Roman"/>
                <w:color w:val="auto"/>
                <w:sz w:val="21"/>
                <w:szCs w:val="21"/>
              </w:rPr>
            </w:pPr>
          </w:p>
        </w:tc>
        <w:tc>
          <w:tcPr>
            <w:tcW w:w="766" w:type="dxa"/>
            <w:vMerge w:val="continue"/>
            <w:vAlign w:val="center"/>
          </w:tcPr>
          <w:p w14:paraId="269FD8DB">
            <w:pPr>
              <w:spacing w:line="260" w:lineRule="exact"/>
              <w:jc w:val="center"/>
              <w:rPr>
                <w:rFonts w:ascii="Times New Roman" w:hAnsi="Times New Roman"/>
                <w:color w:val="auto"/>
                <w:sz w:val="21"/>
                <w:szCs w:val="21"/>
              </w:rPr>
            </w:pPr>
          </w:p>
        </w:tc>
        <w:tc>
          <w:tcPr>
            <w:tcW w:w="1064" w:type="dxa"/>
            <w:vMerge w:val="continue"/>
            <w:vAlign w:val="center"/>
          </w:tcPr>
          <w:p w14:paraId="517835FC">
            <w:pPr>
              <w:spacing w:line="260" w:lineRule="exact"/>
              <w:jc w:val="center"/>
              <w:rPr>
                <w:rFonts w:hint="eastAsia" w:ascii="Times New Roman" w:hAnsi="Times New Roman"/>
                <w:color w:val="auto"/>
                <w:sz w:val="21"/>
                <w:szCs w:val="21"/>
                <w:lang w:eastAsia="zh-CN"/>
              </w:rPr>
            </w:pPr>
          </w:p>
        </w:tc>
        <w:tc>
          <w:tcPr>
            <w:tcW w:w="1583" w:type="dxa"/>
            <w:tcBorders>
              <w:top w:val="single" w:color="auto" w:sz="4" w:space="0"/>
              <w:bottom w:val="single" w:color="auto" w:sz="4" w:space="0"/>
              <w:right w:val="single" w:color="auto" w:sz="4" w:space="0"/>
            </w:tcBorders>
            <w:vAlign w:val="center"/>
          </w:tcPr>
          <w:p w14:paraId="2056B29D">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SO</w:t>
            </w:r>
            <w:r>
              <w:rPr>
                <w:rFonts w:hint="eastAsia" w:ascii="宋体" w:hAnsi="宋体" w:eastAsia="宋体" w:cs="宋体"/>
                <w:color w:val="auto"/>
                <w:sz w:val="21"/>
                <w:szCs w:val="21"/>
                <w:vertAlign w:val="subscript"/>
                <w:lang w:val="en-US" w:eastAsia="zh-CN"/>
              </w:rPr>
              <w:t>2</w:t>
            </w:r>
          </w:p>
        </w:tc>
        <w:tc>
          <w:tcPr>
            <w:tcW w:w="1200" w:type="dxa"/>
            <w:tcBorders>
              <w:top w:val="single" w:color="auto" w:sz="4" w:space="0"/>
              <w:bottom w:val="single" w:color="auto" w:sz="4" w:space="0"/>
            </w:tcBorders>
            <w:vAlign w:val="center"/>
          </w:tcPr>
          <w:p w14:paraId="15D6FB3B">
            <w:pPr>
              <w:pStyle w:val="14"/>
              <w:adjustRightInd w:val="0"/>
              <w:snapToGrid w:val="0"/>
              <w:spacing w:after="0" w:line="240" w:lineRule="auto"/>
              <w:ind w:left="0" w:leftChars="0" w:firstLine="0" w:firstLineChars="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1.83</w:t>
            </w:r>
            <w:r>
              <w:rPr>
                <w:rFonts w:hint="eastAsia" w:ascii="宋体" w:hAnsi="宋体" w:eastAsia="宋体" w:cs="宋体"/>
                <w:b w:val="0"/>
                <w:bCs w:val="0"/>
                <w:color w:val="auto"/>
                <w:sz w:val="21"/>
                <w:szCs w:val="21"/>
              </w:rPr>
              <w:t>t/a</w:t>
            </w:r>
          </w:p>
        </w:tc>
        <w:tc>
          <w:tcPr>
            <w:tcW w:w="1381" w:type="dxa"/>
            <w:tcBorders>
              <w:top w:val="single" w:color="auto" w:sz="4" w:space="0"/>
              <w:bottom w:val="single" w:color="auto" w:sz="4" w:space="0"/>
            </w:tcBorders>
            <w:vAlign w:val="center"/>
          </w:tcPr>
          <w:p w14:paraId="3105A03D">
            <w:pPr>
              <w:widowControl/>
              <w:spacing w:line="240" w:lineRule="auto"/>
              <w:jc w:val="center"/>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95.3</w:t>
            </w:r>
            <w:r>
              <w:rPr>
                <w:rFonts w:hint="eastAsia" w:ascii="宋体" w:hAnsi="宋体" w:eastAsia="宋体" w:cs="宋体"/>
                <w:color w:val="auto"/>
                <w:kern w:val="0"/>
                <w:sz w:val="21"/>
                <w:szCs w:val="21"/>
                <w:highlight w:val="none"/>
                <w:u w:val="none" w:color="auto"/>
              </w:rPr>
              <w:t>mg/m</w:t>
            </w:r>
            <w:r>
              <w:rPr>
                <w:rFonts w:hint="eastAsia" w:ascii="宋体" w:hAnsi="宋体" w:eastAsia="宋体" w:cs="宋体"/>
                <w:color w:val="auto"/>
                <w:kern w:val="0"/>
                <w:sz w:val="21"/>
                <w:szCs w:val="21"/>
                <w:highlight w:val="none"/>
                <w:u w:val="none" w:color="auto"/>
                <w:vertAlign w:val="superscript"/>
              </w:rPr>
              <w:t>3</w:t>
            </w:r>
          </w:p>
        </w:tc>
        <w:tc>
          <w:tcPr>
            <w:tcW w:w="1289" w:type="dxa"/>
            <w:tcBorders>
              <w:top w:val="single" w:color="auto" w:sz="4" w:space="0"/>
              <w:bottom w:val="single" w:color="auto" w:sz="4" w:space="0"/>
            </w:tcBorders>
            <w:vAlign w:val="center"/>
          </w:tcPr>
          <w:p w14:paraId="0B82AD57">
            <w:pPr>
              <w:pStyle w:val="14"/>
              <w:adjustRightInd w:val="0"/>
              <w:snapToGrid w:val="0"/>
              <w:spacing w:after="0" w:line="240" w:lineRule="auto"/>
              <w:ind w:left="0" w:leftChars="0" w:firstLine="0" w:firstLineChars="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1.83</w:t>
            </w:r>
            <w:r>
              <w:rPr>
                <w:rFonts w:hint="eastAsia" w:ascii="宋体" w:hAnsi="宋体" w:eastAsia="宋体" w:cs="宋体"/>
                <w:b w:val="0"/>
                <w:bCs w:val="0"/>
                <w:color w:val="auto"/>
                <w:sz w:val="21"/>
                <w:szCs w:val="21"/>
              </w:rPr>
              <w:t>t/a</w:t>
            </w:r>
          </w:p>
        </w:tc>
        <w:tc>
          <w:tcPr>
            <w:tcW w:w="1344" w:type="dxa"/>
            <w:tcBorders>
              <w:top w:val="single" w:color="auto" w:sz="4" w:space="0"/>
              <w:bottom w:val="single" w:color="auto" w:sz="4" w:space="0"/>
            </w:tcBorders>
            <w:vAlign w:val="center"/>
          </w:tcPr>
          <w:p w14:paraId="306AAB9A">
            <w:pPr>
              <w:widowControl/>
              <w:spacing w:line="240" w:lineRule="auto"/>
              <w:jc w:val="center"/>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95.3</w:t>
            </w:r>
            <w:r>
              <w:rPr>
                <w:rFonts w:hint="eastAsia" w:ascii="宋体" w:hAnsi="宋体" w:eastAsia="宋体" w:cs="宋体"/>
                <w:color w:val="auto"/>
                <w:kern w:val="0"/>
                <w:sz w:val="21"/>
                <w:szCs w:val="21"/>
                <w:highlight w:val="none"/>
                <w:u w:val="none" w:color="auto"/>
              </w:rPr>
              <w:t>mg/m</w:t>
            </w:r>
            <w:r>
              <w:rPr>
                <w:rFonts w:hint="eastAsia" w:ascii="宋体" w:hAnsi="宋体" w:eastAsia="宋体" w:cs="宋体"/>
                <w:color w:val="auto"/>
                <w:kern w:val="0"/>
                <w:sz w:val="21"/>
                <w:szCs w:val="21"/>
                <w:highlight w:val="none"/>
                <w:u w:val="none" w:color="auto"/>
                <w:vertAlign w:val="superscript"/>
              </w:rPr>
              <w:t>3</w:t>
            </w:r>
          </w:p>
        </w:tc>
      </w:tr>
      <w:tr w14:paraId="3E3C8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8" w:hRule="atLeast"/>
          <w:jc w:val="center"/>
        </w:trPr>
        <w:tc>
          <w:tcPr>
            <w:tcW w:w="706" w:type="dxa"/>
            <w:vMerge w:val="continue"/>
            <w:vAlign w:val="center"/>
          </w:tcPr>
          <w:p w14:paraId="64AB70F1">
            <w:pPr>
              <w:spacing w:line="260" w:lineRule="exact"/>
              <w:jc w:val="center"/>
              <w:rPr>
                <w:rFonts w:ascii="Times New Roman" w:hAnsi="Times New Roman"/>
                <w:color w:val="auto"/>
                <w:sz w:val="21"/>
                <w:szCs w:val="21"/>
              </w:rPr>
            </w:pPr>
          </w:p>
        </w:tc>
        <w:tc>
          <w:tcPr>
            <w:tcW w:w="766" w:type="dxa"/>
            <w:vMerge w:val="continue"/>
            <w:vAlign w:val="center"/>
          </w:tcPr>
          <w:p w14:paraId="7A038B33">
            <w:pPr>
              <w:spacing w:line="260" w:lineRule="exact"/>
              <w:jc w:val="center"/>
              <w:rPr>
                <w:rFonts w:ascii="Times New Roman" w:hAnsi="Times New Roman"/>
                <w:color w:val="auto"/>
                <w:sz w:val="21"/>
                <w:szCs w:val="21"/>
              </w:rPr>
            </w:pPr>
          </w:p>
        </w:tc>
        <w:tc>
          <w:tcPr>
            <w:tcW w:w="1064" w:type="dxa"/>
            <w:vMerge w:val="continue"/>
            <w:vAlign w:val="center"/>
          </w:tcPr>
          <w:p w14:paraId="15D53EB7">
            <w:pPr>
              <w:spacing w:line="260" w:lineRule="exact"/>
              <w:jc w:val="center"/>
              <w:rPr>
                <w:rFonts w:hint="eastAsia" w:ascii="Times New Roman" w:hAnsi="Times New Roman"/>
                <w:color w:val="auto"/>
                <w:sz w:val="21"/>
                <w:szCs w:val="21"/>
                <w:lang w:eastAsia="zh-CN"/>
              </w:rPr>
            </w:pPr>
          </w:p>
        </w:tc>
        <w:tc>
          <w:tcPr>
            <w:tcW w:w="1583" w:type="dxa"/>
            <w:tcBorders>
              <w:top w:val="single" w:color="auto" w:sz="4" w:space="0"/>
              <w:right w:val="single" w:color="auto" w:sz="4" w:space="0"/>
            </w:tcBorders>
            <w:vAlign w:val="center"/>
          </w:tcPr>
          <w:p w14:paraId="5FF3FE44">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NO</w:t>
            </w:r>
            <w:r>
              <w:rPr>
                <w:rFonts w:hint="eastAsia" w:ascii="宋体" w:hAnsi="宋体" w:eastAsia="宋体" w:cs="宋体"/>
                <w:color w:val="auto"/>
                <w:sz w:val="21"/>
                <w:szCs w:val="21"/>
                <w:vertAlign w:val="subscript"/>
                <w:lang w:val="en-US" w:eastAsia="zh-CN"/>
              </w:rPr>
              <w:t>X</w:t>
            </w:r>
          </w:p>
        </w:tc>
        <w:tc>
          <w:tcPr>
            <w:tcW w:w="1200" w:type="dxa"/>
            <w:tcBorders>
              <w:top w:val="single" w:color="auto" w:sz="4" w:space="0"/>
            </w:tcBorders>
            <w:vAlign w:val="center"/>
          </w:tcPr>
          <w:p w14:paraId="618D5B32">
            <w:pPr>
              <w:pStyle w:val="14"/>
              <w:adjustRightInd w:val="0"/>
              <w:snapToGrid w:val="0"/>
              <w:spacing w:after="0" w:line="24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36</w:t>
            </w:r>
            <w:r>
              <w:rPr>
                <w:rFonts w:hint="eastAsia" w:ascii="宋体" w:hAnsi="宋体" w:eastAsia="宋体" w:cs="宋体"/>
                <w:b w:val="0"/>
                <w:bCs w:val="0"/>
                <w:color w:val="auto"/>
                <w:sz w:val="21"/>
                <w:szCs w:val="21"/>
              </w:rPr>
              <w:t>t/a</w:t>
            </w:r>
          </w:p>
        </w:tc>
        <w:tc>
          <w:tcPr>
            <w:tcW w:w="1381" w:type="dxa"/>
            <w:tcBorders>
              <w:top w:val="single" w:color="auto" w:sz="4" w:space="0"/>
            </w:tcBorders>
            <w:vAlign w:val="center"/>
          </w:tcPr>
          <w:p w14:paraId="653B3CE5">
            <w:pPr>
              <w:widowControl/>
              <w:spacing w:line="240" w:lineRule="auto"/>
              <w:jc w:val="center"/>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18.75</w:t>
            </w:r>
            <w:r>
              <w:rPr>
                <w:rFonts w:hint="eastAsia" w:ascii="宋体" w:hAnsi="宋体" w:eastAsia="宋体" w:cs="宋体"/>
                <w:color w:val="auto"/>
                <w:kern w:val="0"/>
                <w:sz w:val="21"/>
                <w:szCs w:val="21"/>
                <w:highlight w:val="none"/>
                <w:u w:val="none" w:color="auto"/>
              </w:rPr>
              <w:t>mg/m</w:t>
            </w:r>
            <w:r>
              <w:rPr>
                <w:rFonts w:hint="eastAsia" w:ascii="宋体" w:hAnsi="宋体" w:eastAsia="宋体" w:cs="宋体"/>
                <w:color w:val="auto"/>
                <w:kern w:val="0"/>
                <w:sz w:val="21"/>
                <w:szCs w:val="21"/>
                <w:highlight w:val="none"/>
                <w:u w:val="none" w:color="auto"/>
                <w:vertAlign w:val="superscript"/>
              </w:rPr>
              <w:t>3</w:t>
            </w:r>
          </w:p>
        </w:tc>
        <w:tc>
          <w:tcPr>
            <w:tcW w:w="1289" w:type="dxa"/>
            <w:tcBorders>
              <w:top w:val="single" w:color="auto" w:sz="4" w:space="0"/>
            </w:tcBorders>
            <w:vAlign w:val="center"/>
          </w:tcPr>
          <w:p w14:paraId="0A4D31A1">
            <w:pPr>
              <w:pStyle w:val="14"/>
              <w:adjustRightInd w:val="0"/>
              <w:snapToGrid w:val="0"/>
              <w:spacing w:after="0" w:line="24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6</w:t>
            </w:r>
            <w:r>
              <w:rPr>
                <w:rFonts w:hint="eastAsia" w:ascii="宋体" w:hAnsi="宋体" w:eastAsia="宋体" w:cs="宋体"/>
                <w:b w:val="0"/>
                <w:bCs w:val="0"/>
                <w:color w:val="auto"/>
                <w:sz w:val="21"/>
                <w:szCs w:val="21"/>
              </w:rPr>
              <w:t>t/a</w:t>
            </w:r>
          </w:p>
        </w:tc>
        <w:tc>
          <w:tcPr>
            <w:tcW w:w="1344" w:type="dxa"/>
            <w:tcBorders>
              <w:top w:val="single" w:color="auto" w:sz="4" w:space="0"/>
            </w:tcBorders>
            <w:vAlign w:val="center"/>
          </w:tcPr>
          <w:p w14:paraId="572B83CD">
            <w:pPr>
              <w:widowControl/>
              <w:spacing w:line="240" w:lineRule="auto"/>
              <w:jc w:val="center"/>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18.75</w:t>
            </w:r>
            <w:r>
              <w:rPr>
                <w:rFonts w:hint="eastAsia" w:ascii="宋体" w:hAnsi="宋体" w:eastAsia="宋体" w:cs="宋体"/>
                <w:color w:val="auto"/>
                <w:kern w:val="0"/>
                <w:sz w:val="21"/>
                <w:szCs w:val="21"/>
                <w:highlight w:val="none"/>
                <w:u w:val="none" w:color="auto"/>
              </w:rPr>
              <w:t>mg/m</w:t>
            </w:r>
            <w:r>
              <w:rPr>
                <w:rFonts w:hint="eastAsia" w:ascii="宋体" w:hAnsi="宋体" w:eastAsia="宋体" w:cs="宋体"/>
                <w:color w:val="auto"/>
                <w:kern w:val="0"/>
                <w:sz w:val="21"/>
                <w:szCs w:val="21"/>
                <w:highlight w:val="none"/>
                <w:u w:val="none" w:color="auto"/>
                <w:vertAlign w:val="superscript"/>
              </w:rPr>
              <w:t>3</w:t>
            </w:r>
          </w:p>
        </w:tc>
      </w:tr>
      <w:tr w14:paraId="1BDAB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6" w:type="dxa"/>
            <w:vMerge w:val="restart"/>
            <w:vAlign w:val="center"/>
          </w:tcPr>
          <w:p w14:paraId="6AFDC1B0">
            <w:pPr>
              <w:spacing w:line="240" w:lineRule="auto"/>
              <w:ind w:right="57"/>
              <w:jc w:val="center"/>
              <w:rPr>
                <w:rFonts w:hint="eastAsia" w:ascii="宋体" w:hAnsi="宋体" w:eastAsia="宋体" w:cs="宋体"/>
                <w:color w:val="auto"/>
                <w:sz w:val="21"/>
                <w:szCs w:val="21"/>
              </w:rPr>
            </w:pPr>
            <w:r>
              <w:rPr>
                <w:rFonts w:hint="eastAsia" w:ascii="宋体" w:hAnsi="宋体" w:eastAsia="宋体" w:cs="宋体"/>
                <w:color w:val="auto"/>
                <w:sz w:val="21"/>
                <w:szCs w:val="21"/>
              </w:rPr>
              <w:t>水</w:t>
            </w:r>
          </w:p>
          <w:p w14:paraId="4376A86A">
            <w:pPr>
              <w:spacing w:line="240" w:lineRule="auto"/>
              <w:ind w:right="57"/>
              <w:jc w:val="center"/>
              <w:rPr>
                <w:rFonts w:hint="eastAsia" w:ascii="宋体" w:hAnsi="宋体" w:eastAsia="宋体" w:cs="宋体"/>
                <w:color w:val="auto"/>
                <w:sz w:val="21"/>
                <w:szCs w:val="21"/>
              </w:rPr>
            </w:pPr>
            <w:r>
              <w:rPr>
                <w:rFonts w:hint="eastAsia" w:ascii="宋体" w:hAnsi="宋体" w:eastAsia="宋体" w:cs="宋体"/>
                <w:color w:val="auto"/>
                <w:sz w:val="21"/>
                <w:szCs w:val="21"/>
              </w:rPr>
              <w:t>污</w:t>
            </w:r>
          </w:p>
          <w:p w14:paraId="005CE234">
            <w:pPr>
              <w:spacing w:line="240" w:lineRule="auto"/>
              <w:ind w:right="57"/>
              <w:jc w:val="center"/>
              <w:rPr>
                <w:rFonts w:hint="eastAsia" w:ascii="宋体" w:hAnsi="宋体" w:eastAsia="宋体" w:cs="宋体"/>
                <w:color w:val="auto"/>
                <w:sz w:val="21"/>
                <w:szCs w:val="21"/>
              </w:rPr>
            </w:pPr>
            <w:r>
              <w:rPr>
                <w:rFonts w:hint="eastAsia" w:ascii="宋体" w:hAnsi="宋体" w:eastAsia="宋体" w:cs="宋体"/>
                <w:color w:val="auto"/>
                <w:sz w:val="21"/>
                <w:szCs w:val="21"/>
              </w:rPr>
              <w:t>染</w:t>
            </w:r>
          </w:p>
          <w:p w14:paraId="11752FA8">
            <w:pPr>
              <w:spacing w:line="240" w:lineRule="auto"/>
              <w:ind w:right="57"/>
              <w:jc w:val="center"/>
              <w:rPr>
                <w:rFonts w:hint="eastAsia" w:ascii="宋体" w:hAnsi="宋体" w:eastAsia="宋体" w:cs="宋体"/>
                <w:color w:val="auto"/>
                <w:sz w:val="21"/>
                <w:szCs w:val="21"/>
              </w:rPr>
            </w:pPr>
            <w:r>
              <w:rPr>
                <w:rFonts w:hint="eastAsia" w:ascii="宋体" w:hAnsi="宋体" w:eastAsia="宋体" w:cs="宋体"/>
                <w:color w:val="auto"/>
                <w:sz w:val="21"/>
                <w:szCs w:val="21"/>
              </w:rPr>
              <w:t>物</w:t>
            </w:r>
          </w:p>
        </w:tc>
        <w:tc>
          <w:tcPr>
            <w:tcW w:w="766" w:type="dxa"/>
            <w:vMerge w:val="restart"/>
            <w:vAlign w:val="center"/>
          </w:tcPr>
          <w:p w14:paraId="02AE6C55">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施工期</w:t>
            </w:r>
          </w:p>
        </w:tc>
        <w:tc>
          <w:tcPr>
            <w:tcW w:w="1064" w:type="dxa"/>
            <w:vAlign w:val="center"/>
          </w:tcPr>
          <w:p w14:paraId="70351AFF">
            <w:pPr>
              <w:spacing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Cs/>
                <w:color w:val="auto"/>
                <w:szCs w:val="21"/>
              </w:rPr>
              <w:t>生活污水</w:t>
            </w:r>
          </w:p>
        </w:tc>
        <w:tc>
          <w:tcPr>
            <w:tcW w:w="1583" w:type="dxa"/>
            <w:tcBorders>
              <w:bottom w:val="single" w:color="auto" w:sz="4" w:space="0"/>
            </w:tcBorders>
            <w:vAlign w:val="center"/>
          </w:tcPr>
          <w:p w14:paraId="244A4CF9">
            <w:pPr>
              <w:spacing w:line="240" w:lineRule="auto"/>
              <w:jc w:val="center"/>
              <w:rPr>
                <w:rFonts w:hint="eastAsia" w:ascii="宋体" w:hAnsi="宋体" w:eastAsia="宋体" w:cs="宋体"/>
                <w:color w:val="auto"/>
                <w:kern w:val="0"/>
                <w:sz w:val="21"/>
                <w:szCs w:val="21"/>
                <w:u w:val="none"/>
                <w:lang w:bidi="ar"/>
              </w:rPr>
            </w:pPr>
            <w:r>
              <w:rPr>
                <w:rFonts w:hint="eastAsia" w:ascii="宋体" w:hAnsi="宋体" w:eastAsia="宋体" w:cs="宋体"/>
                <w:bCs/>
                <w:color w:val="auto"/>
                <w:szCs w:val="21"/>
              </w:rPr>
              <w:t>废水量</w:t>
            </w:r>
          </w:p>
        </w:tc>
        <w:tc>
          <w:tcPr>
            <w:tcW w:w="2581" w:type="dxa"/>
            <w:gridSpan w:val="2"/>
            <w:tcBorders>
              <w:bottom w:val="single" w:color="auto" w:sz="4" w:space="0"/>
            </w:tcBorders>
            <w:vAlign w:val="center"/>
          </w:tcPr>
          <w:p w14:paraId="4BCDFA37">
            <w:pPr>
              <w:spacing w:line="240" w:lineRule="auto"/>
              <w:jc w:val="center"/>
              <w:rPr>
                <w:rFonts w:hint="eastAsia" w:ascii="宋体" w:hAnsi="宋体" w:eastAsia="宋体" w:cs="宋体"/>
                <w:b w:val="0"/>
                <w:bCs w:val="0"/>
                <w:color w:val="auto"/>
                <w:kern w:val="0"/>
                <w:sz w:val="21"/>
                <w:szCs w:val="21"/>
                <w:u w:val="none"/>
                <w:lang w:bidi="ar"/>
              </w:rPr>
            </w:pPr>
            <w:r>
              <w:rPr>
                <w:rFonts w:hint="eastAsia" w:ascii="宋体" w:hAnsi="宋体" w:eastAsia="宋体" w:cs="宋体"/>
                <w:color w:val="auto"/>
                <w:szCs w:val="21"/>
              </w:rPr>
              <w:t>0.</w:t>
            </w:r>
            <w:r>
              <w:rPr>
                <w:rFonts w:hint="eastAsia" w:ascii="宋体" w:hAnsi="宋体" w:eastAsia="宋体" w:cs="宋体"/>
                <w:color w:val="auto"/>
                <w:szCs w:val="21"/>
                <w:lang w:val="en-US" w:eastAsia="zh-CN"/>
              </w:rPr>
              <w:t>096</w:t>
            </w:r>
            <w:r>
              <w:rPr>
                <w:rFonts w:hint="eastAsia" w:ascii="宋体" w:hAnsi="宋体" w:eastAsia="宋体" w:cs="宋体"/>
                <w:color w:val="auto"/>
                <w:szCs w:val="21"/>
              </w:rPr>
              <w:t>m³/d</w:t>
            </w:r>
          </w:p>
        </w:tc>
        <w:tc>
          <w:tcPr>
            <w:tcW w:w="2633" w:type="dxa"/>
            <w:gridSpan w:val="2"/>
            <w:vMerge w:val="restart"/>
            <w:vAlign w:val="center"/>
          </w:tcPr>
          <w:p w14:paraId="5F352BC0">
            <w:pPr>
              <w:spacing w:line="240" w:lineRule="auto"/>
              <w:jc w:val="center"/>
              <w:rPr>
                <w:rFonts w:hint="eastAsia" w:ascii="宋体" w:hAnsi="宋体" w:eastAsia="宋体" w:cs="宋体"/>
                <w:color w:val="auto"/>
                <w:szCs w:val="21"/>
              </w:rPr>
            </w:pPr>
            <w:r>
              <w:rPr>
                <w:rFonts w:hint="eastAsia" w:ascii="宋体" w:hAnsi="宋体" w:cs="宋体"/>
                <w:color w:val="auto"/>
                <w:sz w:val="21"/>
                <w:szCs w:val="21"/>
                <w:highlight w:val="none"/>
                <w:u w:val="none" w:color="auto"/>
                <w:lang w:val="en-US" w:eastAsia="zh-CN"/>
              </w:rPr>
              <w:t>经沉淀后用于洒水降尘</w:t>
            </w:r>
          </w:p>
        </w:tc>
      </w:tr>
      <w:tr w14:paraId="3CE66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8" w:hRule="atLeast"/>
          <w:jc w:val="center"/>
        </w:trPr>
        <w:tc>
          <w:tcPr>
            <w:tcW w:w="706" w:type="dxa"/>
            <w:vMerge w:val="continue"/>
            <w:vAlign w:val="center"/>
          </w:tcPr>
          <w:p w14:paraId="63F5ACF0">
            <w:pPr>
              <w:spacing w:line="240" w:lineRule="auto"/>
              <w:ind w:right="57"/>
              <w:jc w:val="center"/>
              <w:rPr>
                <w:rFonts w:hint="eastAsia" w:ascii="宋体" w:hAnsi="宋体" w:eastAsia="宋体" w:cs="宋体"/>
                <w:color w:val="auto"/>
                <w:sz w:val="21"/>
                <w:szCs w:val="21"/>
              </w:rPr>
            </w:pPr>
          </w:p>
        </w:tc>
        <w:tc>
          <w:tcPr>
            <w:tcW w:w="766" w:type="dxa"/>
            <w:vMerge w:val="continue"/>
            <w:vAlign w:val="center"/>
          </w:tcPr>
          <w:p w14:paraId="745C10E8">
            <w:pPr>
              <w:spacing w:line="240" w:lineRule="auto"/>
              <w:jc w:val="center"/>
              <w:rPr>
                <w:rFonts w:hint="eastAsia" w:ascii="宋体" w:hAnsi="宋体" w:eastAsia="宋体" w:cs="宋体"/>
                <w:color w:val="auto"/>
                <w:sz w:val="21"/>
                <w:szCs w:val="21"/>
                <w:lang w:eastAsia="zh-CN"/>
              </w:rPr>
            </w:pPr>
          </w:p>
        </w:tc>
        <w:tc>
          <w:tcPr>
            <w:tcW w:w="1064" w:type="dxa"/>
            <w:vAlign w:val="center"/>
          </w:tcPr>
          <w:p w14:paraId="6E928A23">
            <w:pPr>
              <w:spacing w:line="24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Cs/>
                <w:color w:val="auto"/>
                <w:szCs w:val="21"/>
                <w:lang w:eastAsia="zh-CN"/>
              </w:rPr>
              <w:t>施工废水</w:t>
            </w:r>
          </w:p>
        </w:tc>
        <w:tc>
          <w:tcPr>
            <w:tcW w:w="1583" w:type="dxa"/>
            <w:tcBorders>
              <w:bottom w:val="single" w:color="auto" w:sz="4" w:space="0"/>
            </w:tcBorders>
            <w:vAlign w:val="center"/>
          </w:tcPr>
          <w:p w14:paraId="6D0879E9">
            <w:pPr>
              <w:spacing w:line="240" w:lineRule="auto"/>
              <w:jc w:val="center"/>
              <w:rPr>
                <w:rFonts w:hint="eastAsia" w:ascii="宋体" w:hAnsi="宋体" w:eastAsia="宋体" w:cs="宋体"/>
                <w:color w:val="auto"/>
                <w:kern w:val="0"/>
                <w:sz w:val="21"/>
                <w:szCs w:val="21"/>
                <w:u w:val="none"/>
                <w:lang w:bidi="ar"/>
              </w:rPr>
            </w:pPr>
            <w:r>
              <w:rPr>
                <w:rFonts w:hint="eastAsia" w:ascii="宋体" w:hAnsi="宋体" w:eastAsia="宋体" w:cs="宋体"/>
                <w:bCs/>
                <w:color w:val="auto"/>
                <w:szCs w:val="21"/>
                <w:lang w:val="en-US" w:eastAsia="zh-CN"/>
              </w:rPr>
              <w:t>泥沙、SS</w:t>
            </w:r>
          </w:p>
        </w:tc>
        <w:tc>
          <w:tcPr>
            <w:tcW w:w="2581" w:type="dxa"/>
            <w:gridSpan w:val="2"/>
            <w:tcBorders>
              <w:bottom w:val="single" w:color="auto" w:sz="4" w:space="0"/>
            </w:tcBorders>
            <w:vAlign w:val="center"/>
          </w:tcPr>
          <w:p w14:paraId="1DDCECCB">
            <w:pPr>
              <w:spacing w:line="240" w:lineRule="auto"/>
              <w:jc w:val="center"/>
              <w:rPr>
                <w:rFonts w:hint="eastAsia" w:ascii="宋体" w:hAnsi="宋体" w:eastAsia="宋体" w:cs="宋体"/>
                <w:b w:val="0"/>
                <w:bCs w:val="0"/>
                <w:color w:val="auto"/>
                <w:kern w:val="0"/>
                <w:sz w:val="21"/>
                <w:szCs w:val="21"/>
                <w:u w:val="none"/>
                <w:lang w:bidi="ar"/>
              </w:rPr>
            </w:pPr>
            <w:r>
              <w:rPr>
                <w:rFonts w:hint="eastAsia" w:ascii="宋体" w:hAnsi="宋体" w:eastAsia="宋体" w:cs="宋体"/>
                <w:color w:val="auto"/>
                <w:szCs w:val="21"/>
                <w:lang w:eastAsia="zh-CN"/>
              </w:rPr>
              <w:t>少量</w:t>
            </w:r>
          </w:p>
        </w:tc>
        <w:tc>
          <w:tcPr>
            <w:tcW w:w="2633" w:type="dxa"/>
            <w:gridSpan w:val="2"/>
            <w:vMerge w:val="continue"/>
            <w:vAlign w:val="center"/>
          </w:tcPr>
          <w:p w14:paraId="42E15DD3">
            <w:pPr>
              <w:spacing w:line="240" w:lineRule="auto"/>
              <w:jc w:val="center"/>
              <w:rPr>
                <w:rFonts w:hint="eastAsia" w:ascii="宋体" w:hAnsi="宋体" w:eastAsia="宋体" w:cs="宋体"/>
                <w:color w:val="auto"/>
                <w:szCs w:val="21"/>
              </w:rPr>
            </w:pPr>
          </w:p>
        </w:tc>
      </w:tr>
      <w:tr w14:paraId="77253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6" w:type="dxa"/>
            <w:vMerge w:val="continue"/>
            <w:vAlign w:val="center"/>
          </w:tcPr>
          <w:p w14:paraId="71E12B51">
            <w:pPr>
              <w:spacing w:line="240" w:lineRule="auto"/>
              <w:ind w:right="57"/>
              <w:jc w:val="center"/>
              <w:rPr>
                <w:rFonts w:hint="eastAsia" w:ascii="宋体" w:hAnsi="宋体" w:eastAsia="宋体" w:cs="宋体"/>
                <w:color w:val="auto"/>
                <w:sz w:val="21"/>
                <w:szCs w:val="21"/>
              </w:rPr>
            </w:pPr>
          </w:p>
        </w:tc>
        <w:tc>
          <w:tcPr>
            <w:tcW w:w="766" w:type="dxa"/>
            <w:vMerge w:val="restart"/>
            <w:vAlign w:val="center"/>
          </w:tcPr>
          <w:p w14:paraId="1629A5F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运营期</w:t>
            </w:r>
          </w:p>
        </w:tc>
        <w:tc>
          <w:tcPr>
            <w:tcW w:w="1064" w:type="dxa"/>
            <w:vMerge w:val="restart"/>
            <w:vAlign w:val="center"/>
          </w:tcPr>
          <w:p w14:paraId="0013A089">
            <w:pPr>
              <w:spacing w:line="240" w:lineRule="auto"/>
              <w:jc w:val="center"/>
              <w:rPr>
                <w:rFonts w:hint="eastAsia" w:ascii="宋体" w:hAnsi="宋体" w:eastAsia="宋体" w:cs="宋体"/>
                <w:b w:val="0"/>
                <w:bCs w:val="0"/>
                <w:color w:val="auto"/>
                <w:lang w:eastAsia="zh-CN"/>
              </w:rPr>
            </w:pPr>
            <w:r>
              <w:rPr>
                <w:rFonts w:hint="eastAsia" w:ascii="宋体" w:hAnsi="宋体" w:eastAsia="宋体" w:cs="宋体"/>
                <w:b w:val="0"/>
                <w:bCs w:val="0"/>
                <w:color w:val="auto"/>
              </w:rPr>
              <w:t>生活</w:t>
            </w:r>
            <w:r>
              <w:rPr>
                <w:rFonts w:hint="eastAsia" w:ascii="宋体" w:hAnsi="宋体" w:eastAsia="宋体" w:cs="宋体"/>
                <w:b w:val="0"/>
                <w:bCs w:val="0"/>
                <w:color w:val="auto"/>
                <w:lang w:eastAsia="zh-CN"/>
              </w:rPr>
              <w:t>污水</w:t>
            </w:r>
          </w:p>
          <w:p w14:paraId="1A4A9956">
            <w:pPr>
              <w:pStyle w:val="2"/>
              <w:spacing w:line="240" w:lineRule="auto"/>
              <w:rPr>
                <w:rFonts w:hint="eastAsia" w:ascii="宋体" w:hAnsi="宋体" w:eastAsia="宋体" w:cs="宋体"/>
                <w:color w:val="auto"/>
                <w:lang w:val="en-US"/>
              </w:rPr>
            </w:pPr>
            <w:r>
              <w:rPr>
                <w:rFonts w:hint="eastAsia" w:ascii="宋体" w:hAnsi="宋体" w:eastAsia="宋体" w:cs="宋体"/>
                <w:b w:val="0"/>
                <w:bCs w:val="0"/>
                <w:color w:val="auto"/>
                <w:sz w:val="21"/>
                <w:szCs w:val="21"/>
                <w:lang w:val="en-US" w:eastAsia="zh-CN"/>
              </w:rPr>
              <w:t>(288t/a)</w:t>
            </w:r>
          </w:p>
        </w:tc>
        <w:tc>
          <w:tcPr>
            <w:tcW w:w="1583" w:type="dxa"/>
            <w:tcBorders>
              <w:bottom w:val="single" w:color="auto" w:sz="4" w:space="0"/>
            </w:tcBorders>
            <w:vAlign w:val="center"/>
          </w:tcPr>
          <w:p w14:paraId="6D7DF668">
            <w:pPr>
              <w:widowControl/>
              <w:spacing w:line="240" w:lineRule="auto"/>
              <w:ind w:left="210" w:leftChars="10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bidi="ar"/>
              </w:rPr>
              <w:t>CODcr</w:t>
            </w:r>
          </w:p>
        </w:tc>
        <w:tc>
          <w:tcPr>
            <w:tcW w:w="1200" w:type="dxa"/>
            <w:tcBorders>
              <w:bottom w:val="single" w:color="auto" w:sz="4" w:space="0"/>
            </w:tcBorders>
            <w:vAlign w:val="center"/>
          </w:tcPr>
          <w:p w14:paraId="0EDD6AA6">
            <w:pPr>
              <w:widowControl/>
              <w:spacing w:line="240" w:lineRule="auto"/>
              <w:ind w:left="210" w:leftChars="100"/>
              <w:jc w:val="center"/>
              <w:textAlignment w:val="center"/>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u w:val="none"/>
                <w:lang w:val="en-US" w:eastAsia="zh-CN" w:bidi="ar"/>
              </w:rPr>
              <w:t>453mg/L</w:t>
            </w:r>
          </w:p>
        </w:tc>
        <w:tc>
          <w:tcPr>
            <w:tcW w:w="1381" w:type="dxa"/>
            <w:tcBorders>
              <w:bottom w:val="single" w:color="auto" w:sz="4" w:space="0"/>
            </w:tcBorders>
            <w:vAlign w:val="center"/>
          </w:tcPr>
          <w:p w14:paraId="0440D2CD">
            <w:pPr>
              <w:widowControl/>
              <w:spacing w:line="240" w:lineRule="auto"/>
              <w:jc w:val="both"/>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u w:val="none"/>
                <w:lang w:bidi="ar"/>
              </w:rPr>
              <w:t>0.1</w:t>
            </w:r>
            <w:r>
              <w:rPr>
                <w:rFonts w:hint="eastAsia" w:ascii="宋体" w:hAnsi="宋体" w:eastAsia="宋体" w:cs="宋体"/>
                <w:b w:val="0"/>
                <w:bCs w:val="0"/>
                <w:color w:val="auto"/>
                <w:kern w:val="0"/>
                <w:sz w:val="21"/>
                <w:szCs w:val="21"/>
                <w:u w:val="none"/>
                <w:lang w:val="en-US" w:eastAsia="zh-CN" w:bidi="ar"/>
              </w:rPr>
              <w:t>30</w:t>
            </w:r>
            <w:r>
              <w:rPr>
                <w:rFonts w:hint="eastAsia" w:ascii="宋体" w:hAnsi="宋体" w:eastAsia="宋体" w:cs="宋体"/>
                <w:b w:val="0"/>
                <w:bCs w:val="0"/>
                <w:color w:val="auto"/>
                <w:sz w:val="21"/>
                <w:szCs w:val="21"/>
              </w:rPr>
              <w:t>t/a</w:t>
            </w:r>
          </w:p>
        </w:tc>
        <w:tc>
          <w:tcPr>
            <w:tcW w:w="2633" w:type="dxa"/>
            <w:gridSpan w:val="2"/>
            <w:vMerge w:val="restart"/>
            <w:vAlign w:val="center"/>
          </w:tcPr>
          <w:p w14:paraId="3ED7D5A7">
            <w:pPr>
              <w:spacing w:line="260" w:lineRule="exact"/>
              <w:jc w:val="center"/>
              <w:rPr>
                <w:rFonts w:ascii="Times New Roman" w:hAnsi="Times New Roman"/>
                <w:color w:val="auto"/>
                <w:sz w:val="21"/>
                <w:szCs w:val="21"/>
              </w:rPr>
            </w:pPr>
            <w:r>
              <w:rPr>
                <w:rFonts w:hint="eastAsia" w:ascii="宋体" w:hAnsi="宋体" w:eastAsia="宋体" w:cs="宋体"/>
                <w:color w:val="auto"/>
                <w:szCs w:val="21"/>
              </w:rPr>
              <w:t>0（经隔油池、化粪池处理后由农民运走，作为农家肥使用，不外排）</w:t>
            </w:r>
          </w:p>
        </w:tc>
      </w:tr>
      <w:tr w14:paraId="439D5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706" w:type="dxa"/>
            <w:vMerge w:val="continue"/>
            <w:vAlign w:val="center"/>
          </w:tcPr>
          <w:p w14:paraId="03814E1F">
            <w:pPr>
              <w:spacing w:line="240" w:lineRule="auto"/>
              <w:ind w:right="57"/>
              <w:jc w:val="center"/>
              <w:rPr>
                <w:rFonts w:hint="eastAsia" w:ascii="宋体" w:hAnsi="宋体" w:eastAsia="宋体" w:cs="宋体"/>
                <w:color w:val="auto"/>
                <w:sz w:val="21"/>
                <w:szCs w:val="21"/>
              </w:rPr>
            </w:pPr>
          </w:p>
        </w:tc>
        <w:tc>
          <w:tcPr>
            <w:tcW w:w="766" w:type="dxa"/>
            <w:vMerge w:val="continue"/>
            <w:vAlign w:val="center"/>
          </w:tcPr>
          <w:p w14:paraId="4B235537">
            <w:pPr>
              <w:spacing w:line="240" w:lineRule="auto"/>
              <w:jc w:val="center"/>
              <w:rPr>
                <w:rFonts w:hint="eastAsia" w:ascii="宋体" w:hAnsi="宋体" w:eastAsia="宋体" w:cs="宋体"/>
                <w:color w:val="auto"/>
                <w:sz w:val="21"/>
                <w:szCs w:val="21"/>
                <w:lang w:eastAsia="zh-CN"/>
              </w:rPr>
            </w:pPr>
          </w:p>
        </w:tc>
        <w:tc>
          <w:tcPr>
            <w:tcW w:w="1064" w:type="dxa"/>
            <w:vMerge w:val="continue"/>
            <w:vAlign w:val="center"/>
          </w:tcPr>
          <w:p w14:paraId="131A4A7C">
            <w:pPr>
              <w:spacing w:line="240" w:lineRule="auto"/>
              <w:jc w:val="center"/>
              <w:rPr>
                <w:rFonts w:hint="eastAsia" w:ascii="宋体" w:hAnsi="宋体" w:eastAsia="宋体" w:cs="宋体"/>
                <w:color w:val="auto"/>
                <w:sz w:val="21"/>
                <w:szCs w:val="21"/>
              </w:rPr>
            </w:pPr>
          </w:p>
        </w:tc>
        <w:tc>
          <w:tcPr>
            <w:tcW w:w="1583" w:type="dxa"/>
            <w:tcBorders>
              <w:top w:val="single" w:color="auto" w:sz="4" w:space="0"/>
              <w:bottom w:val="single" w:color="auto" w:sz="4" w:space="0"/>
            </w:tcBorders>
            <w:vAlign w:val="center"/>
          </w:tcPr>
          <w:p w14:paraId="52BEDF06">
            <w:pPr>
              <w:widowControl/>
              <w:spacing w:line="240" w:lineRule="auto"/>
              <w:ind w:left="210" w:leftChars="10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bidi="ar"/>
              </w:rPr>
              <w:t>BOD</w:t>
            </w:r>
            <w:r>
              <w:rPr>
                <w:rFonts w:hint="eastAsia" w:ascii="宋体" w:hAnsi="宋体" w:eastAsia="宋体" w:cs="宋体"/>
                <w:color w:val="auto"/>
                <w:kern w:val="0"/>
                <w:sz w:val="21"/>
                <w:szCs w:val="21"/>
                <w:u w:val="none"/>
                <w:vertAlign w:val="subscript"/>
                <w:lang w:bidi="ar"/>
              </w:rPr>
              <w:t>5</w:t>
            </w:r>
          </w:p>
        </w:tc>
        <w:tc>
          <w:tcPr>
            <w:tcW w:w="1200" w:type="dxa"/>
            <w:tcBorders>
              <w:top w:val="single" w:color="auto" w:sz="4" w:space="0"/>
              <w:bottom w:val="single" w:color="auto" w:sz="4" w:space="0"/>
            </w:tcBorders>
            <w:vAlign w:val="center"/>
          </w:tcPr>
          <w:p w14:paraId="4240DCE6">
            <w:pPr>
              <w:widowControl/>
              <w:spacing w:line="240" w:lineRule="auto"/>
              <w:ind w:left="210" w:leftChars="10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val="en-US" w:eastAsia="zh-CN" w:bidi="ar"/>
              </w:rPr>
              <w:t>290mg/L</w:t>
            </w:r>
          </w:p>
        </w:tc>
        <w:tc>
          <w:tcPr>
            <w:tcW w:w="1381" w:type="dxa"/>
            <w:tcBorders>
              <w:top w:val="single" w:color="auto" w:sz="4" w:space="0"/>
              <w:bottom w:val="single" w:color="auto" w:sz="4" w:space="0"/>
            </w:tcBorders>
            <w:vAlign w:val="center"/>
          </w:tcPr>
          <w:p w14:paraId="12FB2538">
            <w:pPr>
              <w:widowControl/>
              <w:spacing w:line="240" w:lineRule="auto"/>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u w:val="none"/>
                <w:lang w:bidi="ar"/>
              </w:rPr>
              <w:t>0.0</w:t>
            </w:r>
            <w:r>
              <w:rPr>
                <w:rFonts w:hint="eastAsia" w:ascii="宋体" w:hAnsi="宋体" w:eastAsia="宋体" w:cs="宋体"/>
                <w:b w:val="0"/>
                <w:bCs w:val="0"/>
                <w:color w:val="auto"/>
                <w:kern w:val="0"/>
                <w:sz w:val="21"/>
                <w:szCs w:val="21"/>
                <w:u w:val="none"/>
                <w:lang w:val="en-US" w:eastAsia="zh-CN" w:bidi="ar"/>
              </w:rPr>
              <w:t>835</w:t>
            </w:r>
            <w:r>
              <w:rPr>
                <w:rFonts w:hint="eastAsia" w:ascii="宋体" w:hAnsi="宋体" w:eastAsia="宋体" w:cs="宋体"/>
                <w:b w:val="0"/>
                <w:bCs w:val="0"/>
                <w:color w:val="auto"/>
                <w:sz w:val="21"/>
                <w:szCs w:val="21"/>
              </w:rPr>
              <w:t>t/a</w:t>
            </w:r>
          </w:p>
        </w:tc>
        <w:tc>
          <w:tcPr>
            <w:tcW w:w="2633" w:type="dxa"/>
            <w:gridSpan w:val="2"/>
            <w:vMerge w:val="continue"/>
            <w:vAlign w:val="center"/>
          </w:tcPr>
          <w:p w14:paraId="0D7A6B82">
            <w:pPr>
              <w:spacing w:line="260" w:lineRule="exact"/>
              <w:jc w:val="center"/>
              <w:rPr>
                <w:rFonts w:hint="eastAsia" w:ascii="Times New Roman" w:hAnsi="Times New Roman"/>
                <w:color w:val="auto"/>
                <w:sz w:val="21"/>
                <w:szCs w:val="21"/>
              </w:rPr>
            </w:pPr>
          </w:p>
        </w:tc>
      </w:tr>
      <w:tr w14:paraId="2E6D0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0" w:hRule="atLeast"/>
          <w:jc w:val="center"/>
        </w:trPr>
        <w:tc>
          <w:tcPr>
            <w:tcW w:w="706" w:type="dxa"/>
            <w:vMerge w:val="continue"/>
            <w:vAlign w:val="center"/>
          </w:tcPr>
          <w:p w14:paraId="186BBFB3">
            <w:pPr>
              <w:spacing w:line="240" w:lineRule="auto"/>
              <w:ind w:right="57"/>
              <w:jc w:val="center"/>
              <w:rPr>
                <w:rFonts w:hint="eastAsia" w:ascii="宋体" w:hAnsi="宋体" w:eastAsia="宋体" w:cs="宋体"/>
                <w:color w:val="auto"/>
                <w:sz w:val="21"/>
                <w:szCs w:val="21"/>
              </w:rPr>
            </w:pPr>
          </w:p>
        </w:tc>
        <w:tc>
          <w:tcPr>
            <w:tcW w:w="766" w:type="dxa"/>
            <w:vMerge w:val="continue"/>
            <w:vAlign w:val="center"/>
          </w:tcPr>
          <w:p w14:paraId="49360013">
            <w:pPr>
              <w:spacing w:line="240" w:lineRule="auto"/>
              <w:jc w:val="center"/>
              <w:rPr>
                <w:rFonts w:hint="eastAsia" w:ascii="宋体" w:hAnsi="宋体" w:eastAsia="宋体" w:cs="宋体"/>
                <w:color w:val="auto"/>
                <w:sz w:val="21"/>
                <w:szCs w:val="21"/>
                <w:lang w:eastAsia="zh-CN"/>
              </w:rPr>
            </w:pPr>
          </w:p>
        </w:tc>
        <w:tc>
          <w:tcPr>
            <w:tcW w:w="1064" w:type="dxa"/>
            <w:vMerge w:val="continue"/>
            <w:vAlign w:val="center"/>
          </w:tcPr>
          <w:p w14:paraId="25B0B0CA">
            <w:pPr>
              <w:spacing w:line="240" w:lineRule="auto"/>
              <w:jc w:val="center"/>
              <w:rPr>
                <w:rFonts w:hint="eastAsia" w:ascii="宋体" w:hAnsi="宋体" w:eastAsia="宋体" w:cs="宋体"/>
                <w:color w:val="auto"/>
                <w:sz w:val="21"/>
                <w:szCs w:val="21"/>
              </w:rPr>
            </w:pPr>
          </w:p>
        </w:tc>
        <w:tc>
          <w:tcPr>
            <w:tcW w:w="1583" w:type="dxa"/>
            <w:tcBorders>
              <w:top w:val="single" w:color="auto" w:sz="4" w:space="0"/>
              <w:bottom w:val="single" w:color="auto" w:sz="4" w:space="0"/>
            </w:tcBorders>
            <w:vAlign w:val="center"/>
          </w:tcPr>
          <w:p w14:paraId="3E925754">
            <w:pPr>
              <w:widowControl/>
              <w:spacing w:line="240" w:lineRule="auto"/>
              <w:ind w:left="210" w:leftChars="10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bidi="ar"/>
              </w:rPr>
              <w:t>SS</w:t>
            </w:r>
          </w:p>
        </w:tc>
        <w:tc>
          <w:tcPr>
            <w:tcW w:w="1200" w:type="dxa"/>
            <w:tcBorders>
              <w:top w:val="single" w:color="auto" w:sz="4" w:space="0"/>
              <w:bottom w:val="single" w:color="auto" w:sz="4" w:space="0"/>
            </w:tcBorders>
            <w:vAlign w:val="center"/>
          </w:tcPr>
          <w:p w14:paraId="438BF2D6">
            <w:pPr>
              <w:widowControl/>
              <w:spacing w:line="240" w:lineRule="auto"/>
              <w:ind w:left="210" w:leftChars="100"/>
              <w:jc w:val="center"/>
              <w:textAlignment w:val="center"/>
              <w:rPr>
                <w:rFonts w:hint="eastAsia" w:ascii="宋体" w:hAnsi="宋体" w:eastAsia="宋体" w:cs="宋体"/>
                <w:color w:val="auto"/>
                <w:sz w:val="21"/>
                <w:szCs w:val="21"/>
                <w:lang w:val="en-US"/>
              </w:rPr>
            </w:pPr>
            <w:r>
              <w:rPr>
                <w:rFonts w:hint="eastAsia" w:ascii="宋体" w:hAnsi="宋体" w:eastAsia="宋体" w:cs="宋体"/>
                <w:color w:val="auto"/>
                <w:sz w:val="21"/>
                <w:szCs w:val="21"/>
                <w:u w:val="none"/>
                <w:lang w:val="en-US" w:eastAsia="zh-CN"/>
              </w:rPr>
              <w:t>205</w:t>
            </w:r>
            <w:r>
              <w:rPr>
                <w:rFonts w:hint="eastAsia" w:ascii="宋体" w:hAnsi="宋体" w:eastAsia="宋体" w:cs="宋体"/>
                <w:color w:val="auto"/>
                <w:kern w:val="0"/>
                <w:sz w:val="21"/>
                <w:szCs w:val="21"/>
                <w:u w:val="none"/>
                <w:lang w:val="en-US" w:eastAsia="zh-CN" w:bidi="ar"/>
              </w:rPr>
              <w:t>mg/L</w:t>
            </w:r>
          </w:p>
        </w:tc>
        <w:tc>
          <w:tcPr>
            <w:tcW w:w="1381" w:type="dxa"/>
            <w:tcBorders>
              <w:top w:val="single" w:color="auto" w:sz="4" w:space="0"/>
              <w:bottom w:val="single" w:color="auto" w:sz="4" w:space="0"/>
            </w:tcBorders>
            <w:vAlign w:val="center"/>
          </w:tcPr>
          <w:p w14:paraId="555E9D90">
            <w:pPr>
              <w:widowControl/>
              <w:spacing w:line="240" w:lineRule="auto"/>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u w:val="none"/>
                <w:lang w:bidi="ar"/>
              </w:rPr>
              <w:t>0.0</w:t>
            </w:r>
            <w:r>
              <w:rPr>
                <w:rFonts w:hint="eastAsia" w:ascii="宋体" w:hAnsi="宋体" w:eastAsia="宋体" w:cs="宋体"/>
                <w:b w:val="0"/>
                <w:bCs w:val="0"/>
                <w:color w:val="auto"/>
                <w:kern w:val="0"/>
                <w:sz w:val="21"/>
                <w:szCs w:val="21"/>
                <w:u w:val="none"/>
                <w:lang w:val="en-US" w:eastAsia="zh-CN" w:bidi="ar"/>
              </w:rPr>
              <w:t>590</w:t>
            </w:r>
            <w:r>
              <w:rPr>
                <w:rFonts w:hint="eastAsia" w:ascii="宋体" w:hAnsi="宋体" w:eastAsia="宋体" w:cs="宋体"/>
                <w:b w:val="0"/>
                <w:bCs w:val="0"/>
                <w:color w:val="auto"/>
                <w:sz w:val="21"/>
                <w:szCs w:val="21"/>
              </w:rPr>
              <w:t>t/a</w:t>
            </w:r>
          </w:p>
        </w:tc>
        <w:tc>
          <w:tcPr>
            <w:tcW w:w="2633" w:type="dxa"/>
            <w:gridSpan w:val="2"/>
            <w:vMerge w:val="continue"/>
            <w:vAlign w:val="center"/>
          </w:tcPr>
          <w:p w14:paraId="6533DE1D">
            <w:pPr>
              <w:spacing w:line="260" w:lineRule="exact"/>
              <w:jc w:val="center"/>
              <w:rPr>
                <w:rFonts w:hint="eastAsia" w:ascii="Times New Roman" w:hAnsi="Times New Roman"/>
                <w:color w:val="auto"/>
                <w:sz w:val="21"/>
                <w:szCs w:val="21"/>
              </w:rPr>
            </w:pPr>
          </w:p>
        </w:tc>
      </w:tr>
      <w:tr w14:paraId="6CFDB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706" w:type="dxa"/>
            <w:vMerge w:val="continue"/>
            <w:vAlign w:val="center"/>
          </w:tcPr>
          <w:p w14:paraId="390470CE">
            <w:pPr>
              <w:spacing w:line="240" w:lineRule="auto"/>
              <w:ind w:right="57"/>
              <w:jc w:val="center"/>
              <w:rPr>
                <w:rFonts w:hint="eastAsia" w:ascii="宋体" w:hAnsi="宋体" w:eastAsia="宋体" w:cs="宋体"/>
                <w:color w:val="auto"/>
                <w:sz w:val="21"/>
                <w:szCs w:val="21"/>
              </w:rPr>
            </w:pPr>
          </w:p>
        </w:tc>
        <w:tc>
          <w:tcPr>
            <w:tcW w:w="766" w:type="dxa"/>
            <w:vMerge w:val="continue"/>
            <w:vAlign w:val="center"/>
          </w:tcPr>
          <w:p w14:paraId="40EBD91B">
            <w:pPr>
              <w:spacing w:line="240" w:lineRule="auto"/>
              <w:jc w:val="center"/>
              <w:rPr>
                <w:rFonts w:hint="eastAsia" w:ascii="宋体" w:hAnsi="宋体" w:eastAsia="宋体" w:cs="宋体"/>
                <w:color w:val="auto"/>
                <w:sz w:val="21"/>
                <w:szCs w:val="21"/>
                <w:lang w:eastAsia="zh-CN"/>
              </w:rPr>
            </w:pPr>
          </w:p>
        </w:tc>
        <w:tc>
          <w:tcPr>
            <w:tcW w:w="1064" w:type="dxa"/>
            <w:vMerge w:val="continue"/>
            <w:vAlign w:val="center"/>
          </w:tcPr>
          <w:p w14:paraId="0764D4C9">
            <w:pPr>
              <w:spacing w:line="240" w:lineRule="auto"/>
              <w:jc w:val="center"/>
              <w:rPr>
                <w:rFonts w:hint="eastAsia" w:ascii="宋体" w:hAnsi="宋体" w:eastAsia="宋体" w:cs="宋体"/>
                <w:color w:val="auto"/>
                <w:sz w:val="21"/>
                <w:szCs w:val="21"/>
              </w:rPr>
            </w:pPr>
          </w:p>
        </w:tc>
        <w:tc>
          <w:tcPr>
            <w:tcW w:w="1583" w:type="dxa"/>
            <w:tcBorders>
              <w:top w:val="single" w:color="auto" w:sz="4" w:space="0"/>
              <w:bottom w:val="single" w:color="auto" w:sz="4" w:space="0"/>
            </w:tcBorders>
            <w:vAlign w:val="center"/>
          </w:tcPr>
          <w:p w14:paraId="5A1E3D87">
            <w:pPr>
              <w:widowControl/>
              <w:spacing w:line="240" w:lineRule="auto"/>
              <w:ind w:left="210" w:leftChars="10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bidi="ar"/>
              </w:rPr>
              <w:t>NH</w:t>
            </w:r>
            <w:r>
              <w:rPr>
                <w:rFonts w:hint="eastAsia" w:ascii="宋体" w:hAnsi="宋体" w:eastAsia="宋体" w:cs="宋体"/>
                <w:color w:val="auto"/>
                <w:kern w:val="0"/>
                <w:sz w:val="21"/>
                <w:szCs w:val="21"/>
                <w:u w:val="none"/>
                <w:vertAlign w:val="subscript"/>
                <w:lang w:bidi="ar"/>
              </w:rPr>
              <w:t>3</w:t>
            </w:r>
            <w:r>
              <w:rPr>
                <w:rFonts w:hint="eastAsia" w:ascii="宋体" w:hAnsi="宋体" w:eastAsia="宋体" w:cs="宋体"/>
                <w:color w:val="auto"/>
                <w:kern w:val="0"/>
                <w:sz w:val="21"/>
                <w:szCs w:val="21"/>
                <w:u w:val="none"/>
                <w:lang w:bidi="ar"/>
              </w:rPr>
              <w:t>-N</w:t>
            </w:r>
          </w:p>
        </w:tc>
        <w:tc>
          <w:tcPr>
            <w:tcW w:w="1200" w:type="dxa"/>
            <w:tcBorders>
              <w:top w:val="single" w:color="auto" w:sz="4" w:space="0"/>
              <w:bottom w:val="single" w:color="auto" w:sz="4" w:space="0"/>
            </w:tcBorders>
            <w:vAlign w:val="center"/>
          </w:tcPr>
          <w:p w14:paraId="1D674F07">
            <w:pPr>
              <w:widowControl/>
              <w:spacing w:line="240" w:lineRule="auto"/>
              <w:ind w:left="210" w:leftChars="10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bidi="ar"/>
              </w:rPr>
              <w:t>29</w:t>
            </w:r>
            <w:r>
              <w:rPr>
                <w:rFonts w:hint="eastAsia" w:ascii="宋体" w:hAnsi="宋体" w:eastAsia="宋体" w:cs="宋体"/>
                <w:color w:val="auto"/>
                <w:kern w:val="0"/>
                <w:sz w:val="21"/>
                <w:szCs w:val="21"/>
                <w:u w:val="none"/>
                <w:lang w:val="en-US" w:eastAsia="zh-CN" w:bidi="ar"/>
              </w:rPr>
              <w:t>mg/L</w:t>
            </w:r>
          </w:p>
        </w:tc>
        <w:tc>
          <w:tcPr>
            <w:tcW w:w="1381" w:type="dxa"/>
            <w:tcBorders>
              <w:top w:val="single" w:color="auto" w:sz="4" w:space="0"/>
              <w:bottom w:val="single" w:color="auto" w:sz="4" w:space="0"/>
            </w:tcBorders>
            <w:vAlign w:val="center"/>
          </w:tcPr>
          <w:p w14:paraId="0038EF72">
            <w:pPr>
              <w:widowControl/>
              <w:spacing w:line="240" w:lineRule="auto"/>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u w:val="none"/>
                <w:lang w:bidi="ar"/>
              </w:rPr>
              <w:t>0.00</w:t>
            </w:r>
            <w:r>
              <w:rPr>
                <w:rFonts w:hint="eastAsia" w:ascii="宋体" w:hAnsi="宋体" w:eastAsia="宋体" w:cs="宋体"/>
                <w:b w:val="0"/>
                <w:bCs w:val="0"/>
                <w:color w:val="auto"/>
                <w:kern w:val="0"/>
                <w:sz w:val="21"/>
                <w:szCs w:val="21"/>
                <w:u w:val="none"/>
                <w:lang w:val="en-US" w:eastAsia="zh-CN" w:bidi="ar"/>
              </w:rPr>
              <w:t>84</w:t>
            </w:r>
            <w:r>
              <w:rPr>
                <w:rFonts w:hint="eastAsia" w:ascii="宋体" w:hAnsi="宋体" w:eastAsia="宋体" w:cs="宋体"/>
                <w:b w:val="0"/>
                <w:bCs w:val="0"/>
                <w:color w:val="auto"/>
                <w:sz w:val="21"/>
                <w:szCs w:val="21"/>
              </w:rPr>
              <w:t>t/a</w:t>
            </w:r>
          </w:p>
        </w:tc>
        <w:tc>
          <w:tcPr>
            <w:tcW w:w="2633" w:type="dxa"/>
            <w:gridSpan w:val="2"/>
            <w:vMerge w:val="continue"/>
            <w:vAlign w:val="center"/>
          </w:tcPr>
          <w:p w14:paraId="7A58ABD0">
            <w:pPr>
              <w:spacing w:line="260" w:lineRule="exact"/>
              <w:jc w:val="center"/>
              <w:rPr>
                <w:rFonts w:hint="eastAsia" w:ascii="Times New Roman" w:hAnsi="Times New Roman"/>
                <w:color w:val="auto"/>
                <w:sz w:val="21"/>
                <w:szCs w:val="21"/>
              </w:rPr>
            </w:pPr>
          </w:p>
        </w:tc>
      </w:tr>
      <w:tr w14:paraId="749CA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706" w:type="dxa"/>
            <w:vMerge w:val="continue"/>
            <w:vAlign w:val="center"/>
          </w:tcPr>
          <w:p w14:paraId="2979D75D">
            <w:pPr>
              <w:spacing w:line="240" w:lineRule="auto"/>
              <w:ind w:right="57"/>
              <w:jc w:val="center"/>
              <w:rPr>
                <w:rFonts w:hint="eastAsia" w:ascii="宋体" w:hAnsi="宋体" w:eastAsia="宋体" w:cs="宋体"/>
                <w:color w:val="auto"/>
                <w:sz w:val="21"/>
                <w:szCs w:val="21"/>
              </w:rPr>
            </w:pPr>
          </w:p>
        </w:tc>
        <w:tc>
          <w:tcPr>
            <w:tcW w:w="766" w:type="dxa"/>
            <w:vMerge w:val="continue"/>
            <w:vAlign w:val="center"/>
          </w:tcPr>
          <w:p w14:paraId="0D8DEB67">
            <w:pPr>
              <w:spacing w:line="240" w:lineRule="auto"/>
              <w:jc w:val="center"/>
              <w:rPr>
                <w:rFonts w:hint="eastAsia" w:ascii="宋体" w:hAnsi="宋体" w:eastAsia="宋体" w:cs="宋体"/>
                <w:color w:val="auto"/>
                <w:sz w:val="21"/>
                <w:szCs w:val="21"/>
                <w:lang w:eastAsia="zh-CN"/>
              </w:rPr>
            </w:pPr>
          </w:p>
        </w:tc>
        <w:tc>
          <w:tcPr>
            <w:tcW w:w="1064" w:type="dxa"/>
            <w:vMerge w:val="continue"/>
            <w:tcBorders>
              <w:bottom w:val="single" w:color="auto" w:sz="2" w:space="0"/>
            </w:tcBorders>
            <w:vAlign w:val="center"/>
          </w:tcPr>
          <w:p w14:paraId="0087768F">
            <w:pPr>
              <w:spacing w:line="240" w:lineRule="auto"/>
              <w:jc w:val="center"/>
              <w:rPr>
                <w:rFonts w:hint="eastAsia" w:ascii="宋体" w:hAnsi="宋体" w:eastAsia="宋体" w:cs="宋体"/>
                <w:color w:val="auto"/>
                <w:sz w:val="21"/>
                <w:szCs w:val="21"/>
              </w:rPr>
            </w:pPr>
          </w:p>
        </w:tc>
        <w:tc>
          <w:tcPr>
            <w:tcW w:w="1583" w:type="dxa"/>
            <w:tcBorders>
              <w:top w:val="single" w:color="auto" w:sz="4" w:space="0"/>
              <w:bottom w:val="single" w:color="auto" w:sz="2" w:space="0"/>
            </w:tcBorders>
            <w:vAlign w:val="center"/>
          </w:tcPr>
          <w:p w14:paraId="41E94AFD">
            <w:pPr>
              <w:widowControl/>
              <w:spacing w:line="240" w:lineRule="auto"/>
              <w:ind w:left="210" w:leftChars="10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bidi="ar"/>
              </w:rPr>
              <w:t>动植物油</w:t>
            </w:r>
          </w:p>
        </w:tc>
        <w:tc>
          <w:tcPr>
            <w:tcW w:w="1200" w:type="dxa"/>
            <w:tcBorders>
              <w:top w:val="single" w:color="auto" w:sz="4" w:space="0"/>
              <w:bottom w:val="single" w:color="auto" w:sz="2" w:space="0"/>
            </w:tcBorders>
            <w:vAlign w:val="center"/>
          </w:tcPr>
          <w:p w14:paraId="229FCB15">
            <w:pPr>
              <w:widowControl/>
              <w:spacing w:line="240" w:lineRule="auto"/>
              <w:ind w:left="210" w:leftChars="10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bidi="ar"/>
              </w:rPr>
              <w:t>2</w:t>
            </w:r>
            <w:r>
              <w:rPr>
                <w:rFonts w:hint="eastAsia" w:ascii="宋体" w:hAnsi="宋体" w:eastAsia="宋体" w:cs="宋体"/>
                <w:color w:val="auto"/>
                <w:kern w:val="0"/>
                <w:sz w:val="21"/>
                <w:szCs w:val="21"/>
                <w:u w:val="none"/>
                <w:lang w:val="en-US" w:eastAsia="zh-CN" w:bidi="ar"/>
              </w:rPr>
              <w:t>1mg/L</w:t>
            </w:r>
          </w:p>
        </w:tc>
        <w:tc>
          <w:tcPr>
            <w:tcW w:w="1381" w:type="dxa"/>
            <w:tcBorders>
              <w:top w:val="single" w:color="auto" w:sz="4" w:space="0"/>
              <w:bottom w:val="single" w:color="auto" w:sz="2" w:space="0"/>
            </w:tcBorders>
            <w:vAlign w:val="center"/>
          </w:tcPr>
          <w:p w14:paraId="5623274C">
            <w:pPr>
              <w:widowControl/>
              <w:spacing w:line="240" w:lineRule="auto"/>
              <w:jc w:val="both"/>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u w:val="none"/>
                <w:lang w:val="en-US" w:eastAsia="zh-CN" w:bidi="ar"/>
              </w:rPr>
              <w:t>0.0060</w:t>
            </w:r>
            <w:r>
              <w:rPr>
                <w:rFonts w:hint="eastAsia" w:ascii="宋体" w:hAnsi="宋体" w:eastAsia="宋体" w:cs="宋体"/>
                <w:b w:val="0"/>
                <w:bCs w:val="0"/>
                <w:color w:val="auto"/>
                <w:sz w:val="21"/>
                <w:szCs w:val="21"/>
              </w:rPr>
              <w:t>t/a</w:t>
            </w:r>
          </w:p>
        </w:tc>
        <w:tc>
          <w:tcPr>
            <w:tcW w:w="2633" w:type="dxa"/>
            <w:gridSpan w:val="2"/>
            <w:vMerge w:val="continue"/>
            <w:tcBorders>
              <w:bottom w:val="single" w:color="auto" w:sz="2" w:space="0"/>
            </w:tcBorders>
            <w:vAlign w:val="center"/>
          </w:tcPr>
          <w:p w14:paraId="0CA05F2D">
            <w:pPr>
              <w:spacing w:line="260" w:lineRule="exact"/>
              <w:jc w:val="center"/>
              <w:rPr>
                <w:rFonts w:hint="eastAsia" w:ascii="Times New Roman" w:hAnsi="Times New Roman"/>
                <w:color w:val="auto"/>
                <w:sz w:val="21"/>
                <w:szCs w:val="21"/>
              </w:rPr>
            </w:pPr>
          </w:p>
        </w:tc>
      </w:tr>
      <w:tr w14:paraId="30534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1" w:hRule="atLeast"/>
          <w:jc w:val="center"/>
        </w:trPr>
        <w:tc>
          <w:tcPr>
            <w:tcW w:w="706" w:type="dxa"/>
            <w:vMerge w:val="restart"/>
            <w:vAlign w:val="center"/>
          </w:tcPr>
          <w:p w14:paraId="6F178DFE">
            <w:pPr>
              <w:spacing w:line="260" w:lineRule="exact"/>
              <w:jc w:val="center"/>
              <w:rPr>
                <w:rFonts w:ascii="Times New Roman" w:hAnsi="Times New Roman"/>
                <w:color w:val="auto"/>
                <w:sz w:val="21"/>
                <w:szCs w:val="21"/>
              </w:rPr>
            </w:pPr>
            <w:r>
              <w:rPr>
                <w:rFonts w:ascii="Times New Roman" w:hAnsi="Times New Roman"/>
                <w:color w:val="auto"/>
                <w:sz w:val="21"/>
                <w:szCs w:val="21"/>
              </w:rPr>
              <w:t>固</w:t>
            </w:r>
          </w:p>
          <w:p w14:paraId="63C8A975">
            <w:pPr>
              <w:spacing w:line="260" w:lineRule="exact"/>
              <w:jc w:val="center"/>
              <w:rPr>
                <w:rFonts w:ascii="Times New Roman" w:hAnsi="Times New Roman"/>
                <w:color w:val="auto"/>
                <w:sz w:val="21"/>
                <w:szCs w:val="21"/>
              </w:rPr>
            </w:pPr>
            <w:r>
              <w:rPr>
                <w:rFonts w:ascii="Times New Roman" w:hAnsi="Times New Roman"/>
                <w:color w:val="auto"/>
                <w:sz w:val="21"/>
                <w:szCs w:val="21"/>
              </w:rPr>
              <w:t>体</w:t>
            </w:r>
          </w:p>
          <w:p w14:paraId="0B4D4039">
            <w:pPr>
              <w:spacing w:line="260" w:lineRule="exact"/>
              <w:jc w:val="center"/>
              <w:rPr>
                <w:rFonts w:ascii="Times New Roman" w:hAnsi="Times New Roman"/>
                <w:color w:val="auto"/>
                <w:sz w:val="21"/>
                <w:szCs w:val="21"/>
              </w:rPr>
            </w:pPr>
            <w:r>
              <w:rPr>
                <w:rFonts w:ascii="Times New Roman" w:hAnsi="Times New Roman"/>
                <w:color w:val="auto"/>
                <w:sz w:val="21"/>
                <w:szCs w:val="21"/>
              </w:rPr>
              <w:t>废</w:t>
            </w:r>
          </w:p>
          <w:p w14:paraId="50E4A14C">
            <w:pPr>
              <w:spacing w:line="260" w:lineRule="exact"/>
              <w:jc w:val="center"/>
              <w:rPr>
                <w:rFonts w:ascii="Times New Roman" w:hAnsi="Times New Roman"/>
                <w:color w:val="auto"/>
                <w:sz w:val="21"/>
                <w:szCs w:val="21"/>
              </w:rPr>
            </w:pPr>
            <w:r>
              <w:rPr>
                <w:rFonts w:ascii="Times New Roman" w:hAnsi="Times New Roman"/>
                <w:color w:val="auto"/>
                <w:sz w:val="21"/>
                <w:szCs w:val="21"/>
              </w:rPr>
              <w:t>物</w:t>
            </w:r>
          </w:p>
        </w:tc>
        <w:tc>
          <w:tcPr>
            <w:tcW w:w="766" w:type="dxa"/>
            <w:vMerge w:val="restart"/>
            <w:vAlign w:val="center"/>
          </w:tcPr>
          <w:p w14:paraId="72512C33">
            <w:pPr>
              <w:spacing w:line="2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施工期</w:t>
            </w:r>
          </w:p>
        </w:tc>
        <w:tc>
          <w:tcPr>
            <w:tcW w:w="1064" w:type="dxa"/>
            <w:vAlign w:val="center"/>
          </w:tcPr>
          <w:p w14:paraId="7C8F6B92">
            <w:pPr>
              <w:widowControl/>
              <w:jc w:val="center"/>
              <w:outlineLvl w:val="9"/>
              <w:rPr>
                <w:rFonts w:hint="eastAsia" w:ascii="宋体" w:hAnsi="宋体" w:eastAsia="宋体" w:cs="宋体"/>
                <w:color w:val="auto"/>
                <w:sz w:val="21"/>
                <w:szCs w:val="21"/>
              </w:rPr>
            </w:pPr>
            <w:r>
              <w:rPr>
                <w:rFonts w:hint="eastAsia" w:ascii="宋体" w:hAnsi="宋体" w:cs="宋体"/>
                <w:color w:val="auto"/>
                <w:sz w:val="21"/>
                <w:szCs w:val="21"/>
                <w:highlight w:val="none"/>
                <w:u w:val="none" w:color="auto"/>
                <w:lang w:eastAsia="zh-CN"/>
              </w:rPr>
              <w:t>员工施工</w:t>
            </w:r>
          </w:p>
        </w:tc>
        <w:tc>
          <w:tcPr>
            <w:tcW w:w="1583" w:type="dxa"/>
            <w:vAlign w:val="center"/>
          </w:tcPr>
          <w:p w14:paraId="118C5B3E">
            <w:pPr>
              <w:widowControl/>
              <w:jc w:val="center"/>
              <w:outlineLvl w:val="9"/>
              <w:rPr>
                <w:rFonts w:hint="eastAsia" w:ascii="宋体" w:hAnsi="宋体" w:eastAsia="宋体" w:cs="宋体"/>
                <w:color w:val="auto"/>
                <w:sz w:val="21"/>
                <w:szCs w:val="21"/>
                <w:lang w:eastAsia="zh-CN"/>
              </w:rPr>
            </w:pPr>
            <w:r>
              <w:rPr>
                <w:rFonts w:hint="eastAsia" w:ascii="宋体" w:hAnsi="宋体" w:cs="宋体"/>
                <w:color w:val="auto"/>
                <w:sz w:val="21"/>
                <w:szCs w:val="21"/>
                <w:highlight w:val="none"/>
                <w:u w:val="none" w:color="auto"/>
                <w:lang w:eastAsia="zh-CN"/>
              </w:rPr>
              <w:t>建筑垃圾</w:t>
            </w:r>
          </w:p>
        </w:tc>
        <w:tc>
          <w:tcPr>
            <w:tcW w:w="2581" w:type="dxa"/>
            <w:gridSpan w:val="2"/>
            <w:vAlign w:val="center"/>
          </w:tcPr>
          <w:p w14:paraId="44BDE710">
            <w:pPr>
              <w:widowControl/>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u w:val="none" w:color="auto"/>
                <w:lang w:val="en-US" w:eastAsia="zh-CN"/>
              </w:rPr>
              <w:t>0.05t</w:t>
            </w:r>
          </w:p>
        </w:tc>
        <w:tc>
          <w:tcPr>
            <w:tcW w:w="2633" w:type="dxa"/>
            <w:gridSpan w:val="2"/>
            <w:tcBorders>
              <w:bottom w:val="single" w:color="auto" w:sz="4" w:space="0"/>
            </w:tcBorders>
            <w:vAlign w:val="center"/>
          </w:tcPr>
          <w:p w14:paraId="33841CD8">
            <w:pPr>
              <w:widowControl/>
              <w:jc w:val="center"/>
              <w:outlineLvl w:val="9"/>
              <w:rPr>
                <w:rFonts w:hint="eastAsia" w:ascii="宋体" w:hAnsi="宋体" w:eastAsia="宋体" w:cs="宋体"/>
                <w:color w:val="auto"/>
                <w:sz w:val="21"/>
                <w:szCs w:val="21"/>
              </w:rPr>
            </w:pPr>
            <w:r>
              <w:rPr>
                <w:rFonts w:hint="eastAsia" w:ascii="宋体" w:hAnsi="宋体" w:eastAsia="宋体" w:cs="宋体"/>
                <w:bCs/>
                <w:color w:val="auto"/>
                <w:sz w:val="21"/>
                <w:szCs w:val="21"/>
                <w:u w:val="none"/>
              </w:rPr>
              <w:t>统一清运至指定地点堆存</w:t>
            </w:r>
          </w:p>
        </w:tc>
      </w:tr>
      <w:tr w14:paraId="6D496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6" w:hRule="atLeast"/>
          <w:jc w:val="center"/>
        </w:trPr>
        <w:tc>
          <w:tcPr>
            <w:tcW w:w="706" w:type="dxa"/>
            <w:vMerge w:val="continue"/>
            <w:vAlign w:val="center"/>
          </w:tcPr>
          <w:p w14:paraId="33389EE2">
            <w:pPr>
              <w:spacing w:line="260" w:lineRule="exact"/>
              <w:jc w:val="center"/>
              <w:rPr>
                <w:rFonts w:ascii="Times New Roman" w:hAnsi="Times New Roman"/>
                <w:color w:val="auto"/>
                <w:sz w:val="21"/>
                <w:szCs w:val="21"/>
              </w:rPr>
            </w:pPr>
          </w:p>
        </w:tc>
        <w:tc>
          <w:tcPr>
            <w:tcW w:w="766" w:type="dxa"/>
            <w:vMerge w:val="continue"/>
            <w:vAlign w:val="center"/>
          </w:tcPr>
          <w:p w14:paraId="2FC0612D">
            <w:pPr>
              <w:spacing w:line="260" w:lineRule="exact"/>
              <w:jc w:val="center"/>
              <w:rPr>
                <w:rFonts w:hint="eastAsia" w:ascii="Times New Roman" w:hAnsi="Times New Roman"/>
                <w:color w:val="auto"/>
                <w:sz w:val="21"/>
                <w:szCs w:val="21"/>
                <w:lang w:eastAsia="zh-CN"/>
              </w:rPr>
            </w:pPr>
          </w:p>
        </w:tc>
        <w:tc>
          <w:tcPr>
            <w:tcW w:w="1064" w:type="dxa"/>
            <w:vAlign w:val="center"/>
          </w:tcPr>
          <w:p w14:paraId="3B32B3CA">
            <w:pPr>
              <w:widowControl/>
              <w:jc w:val="center"/>
              <w:outlineLvl w:val="9"/>
              <w:rPr>
                <w:rFonts w:hint="eastAsia" w:ascii="宋体" w:hAnsi="宋体" w:eastAsia="宋体" w:cs="宋体"/>
                <w:color w:val="auto"/>
                <w:sz w:val="21"/>
                <w:szCs w:val="21"/>
              </w:rPr>
            </w:pPr>
            <w:r>
              <w:rPr>
                <w:rFonts w:hint="eastAsia" w:ascii="Times New Roman" w:hAnsi="Times New Roman" w:cs="Times New Roman"/>
                <w:color w:val="auto"/>
                <w:sz w:val="21"/>
                <w:szCs w:val="21"/>
                <w:highlight w:val="none"/>
                <w:u w:val="none" w:color="auto"/>
                <w:lang w:val="en-US" w:eastAsia="zh-CN"/>
              </w:rPr>
              <w:t>员工生活</w:t>
            </w:r>
          </w:p>
        </w:tc>
        <w:tc>
          <w:tcPr>
            <w:tcW w:w="1583" w:type="dxa"/>
            <w:vAlign w:val="center"/>
          </w:tcPr>
          <w:p w14:paraId="1172CEA3">
            <w:pPr>
              <w:widowControl/>
              <w:jc w:val="center"/>
              <w:outlineLvl w:val="9"/>
              <w:rPr>
                <w:rFonts w:hint="eastAsia" w:ascii="宋体" w:hAnsi="宋体" w:eastAsia="宋体" w:cs="宋体"/>
                <w:color w:val="auto"/>
                <w:sz w:val="21"/>
                <w:szCs w:val="21"/>
                <w:lang w:eastAsia="zh-CN"/>
              </w:rPr>
            </w:pPr>
            <w:r>
              <w:rPr>
                <w:rFonts w:hint="eastAsia" w:ascii="Times New Roman" w:hAnsi="Times New Roman" w:cs="Times New Roman"/>
                <w:color w:val="auto"/>
                <w:sz w:val="21"/>
                <w:szCs w:val="21"/>
                <w:highlight w:val="none"/>
                <w:u w:val="none" w:color="auto"/>
                <w:lang w:eastAsia="zh-CN"/>
              </w:rPr>
              <w:t>生活垃圾</w:t>
            </w:r>
          </w:p>
        </w:tc>
        <w:tc>
          <w:tcPr>
            <w:tcW w:w="2581" w:type="dxa"/>
            <w:gridSpan w:val="2"/>
            <w:vAlign w:val="center"/>
          </w:tcPr>
          <w:p w14:paraId="4AFF720B">
            <w:pPr>
              <w:widowControl/>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u w:val="none" w:color="auto"/>
                <w:lang w:val="en-US" w:eastAsia="zh-CN"/>
              </w:rPr>
              <w:t>2kg/d</w:t>
            </w:r>
          </w:p>
        </w:tc>
        <w:tc>
          <w:tcPr>
            <w:tcW w:w="2633" w:type="dxa"/>
            <w:gridSpan w:val="2"/>
            <w:tcBorders>
              <w:bottom w:val="single" w:color="auto" w:sz="4" w:space="0"/>
            </w:tcBorders>
            <w:vAlign w:val="center"/>
          </w:tcPr>
          <w:p w14:paraId="28C23109">
            <w:pPr>
              <w:widowControl/>
              <w:jc w:val="center"/>
              <w:outlineLvl w:val="9"/>
              <w:rPr>
                <w:rFonts w:hint="eastAsia" w:ascii="宋体" w:hAnsi="宋体" w:eastAsia="宋体" w:cs="宋体"/>
                <w:color w:val="auto"/>
                <w:sz w:val="21"/>
                <w:szCs w:val="21"/>
              </w:rPr>
            </w:pPr>
            <w:r>
              <w:rPr>
                <w:rFonts w:hint="eastAsia" w:ascii="宋体" w:hAnsi="宋体" w:eastAsia="宋体" w:cs="宋体"/>
                <w:color w:val="auto"/>
                <w:sz w:val="21"/>
                <w:highlight w:val="none"/>
                <w:u w:val="none" w:color="auto"/>
                <w:lang w:eastAsia="zh-CN"/>
              </w:rPr>
              <w:t>委托环卫部门清运</w:t>
            </w:r>
          </w:p>
        </w:tc>
      </w:tr>
      <w:tr w14:paraId="73182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706" w:type="dxa"/>
            <w:vMerge w:val="continue"/>
            <w:vAlign w:val="center"/>
          </w:tcPr>
          <w:p w14:paraId="2EAC59A0">
            <w:pPr>
              <w:spacing w:line="260" w:lineRule="exact"/>
              <w:jc w:val="center"/>
              <w:rPr>
                <w:rFonts w:ascii="Times New Roman" w:hAnsi="Times New Roman"/>
                <w:color w:val="auto"/>
                <w:sz w:val="21"/>
                <w:szCs w:val="21"/>
              </w:rPr>
            </w:pPr>
          </w:p>
        </w:tc>
        <w:tc>
          <w:tcPr>
            <w:tcW w:w="766" w:type="dxa"/>
            <w:vMerge w:val="restart"/>
            <w:vAlign w:val="center"/>
          </w:tcPr>
          <w:p w14:paraId="755C5BB4">
            <w:pPr>
              <w:spacing w:line="2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运营期</w:t>
            </w:r>
          </w:p>
          <w:p w14:paraId="153075A1">
            <w:pPr>
              <w:spacing w:line="260" w:lineRule="exact"/>
              <w:jc w:val="center"/>
              <w:rPr>
                <w:rFonts w:ascii="Times New Roman" w:hAnsi="Times New Roman"/>
                <w:color w:val="auto"/>
                <w:sz w:val="21"/>
                <w:szCs w:val="21"/>
              </w:rPr>
            </w:pPr>
          </w:p>
        </w:tc>
        <w:tc>
          <w:tcPr>
            <w:tcW w:w="1064" w:type="dxa"/>
            <w:vMerge w:val="restart"/>
            <w:vAlign w:val="center"/>
          </w:tcPr>
          <w:p w14:paraId="51B2ABC9">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生产过程</w:t>
            </w:r>
          </w:p>
        </w:tc>
        <w:tc>
          <w:tcPr>
            <w:tcW w:w="1583" w:type="dxa"/>
            <w:vAlign w:val="center"/>
          </w:tcPr>
          <w:p w14:paraId="171D3D8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杂质</w:t>
            </w:r>
          </w:p>
        </w:tc>
        <w:tc>
          <w:tcPr>
            <w:tcW w:w="1200" w:type="dxa"/>
            <w:vAlign w:val="center"/>
          </w:tcPr>
          <w:p w14:paraId="1FCCE4A1">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81" w:type="dxa"/>
            <w:vAlign w:val="center"/>
          </w:tcPr>
          <w:p w14:paraId="6D906BA9">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0.395</w:t>
            </w:r>
            <w:r>
              <w:rPr>
                <w:rFonts w:hint="eastAsia" w:ascii="宋体" w:hAnsi="宋体" w:eastAsia="宋体" w:cs="宋体"/>
                <w:color w:val="auto"/>
                <w:sz w:val="21"/>
                <w:szCs w:val="21"/>
              </w:rPr>
              <w:t>t/a</w:t>
            </w:r>
          </w:p>
        </w:tc>
        <w:tc>
          <w:tcPr>
            <w:tcW w:w="2633" w:type="dxa"/>
            <w:gridSpan w:val="2"/>
            <w:tcBorders>
              <w:bottom w:val="single" w:color="auto" w:sz="4" w:space="0"/>
            </w:tcBorders>
            <w:vAlign w:val="center"/>
          </w:tcPr>
          <w:p w14:paraId="46A4C5D2">
            <w:pPr>
              <w:spacing w:line="2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茶梗杂质集中收集后交由周边农户堆肥，作为农肥使用</w:t>
            </w:r>
          </w:p>
        </w:tc>
      </w:tr>
      <w:tr w14:paraId="4F052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706" w:type="dxa"/>
            <w:vMerge w:val="continue"/>
            <w:vAlign w:val="center"/>
          </w:tcPr>
          <w:p w14:paraId="61F5357B">
            <w:pPr>
              <w:spacing w:line="260" w:lineRule="exact"/>
              <w:jc w:val="center"/>
              <w:rPr>
                <w:rFonts w:ascii="Times New Roman" w:hAnsi="Times New Roman"/>
                <w:color w:val="auto"/>
                <w:sz w:val="21"/>
                <w:szCs w:val="21"/>
              </w:rPr>
            </w:pPr>
          </w:p>
        </w:tc>
        <w:tc>
          <w:tcPr>
            <w:tcW w:w="766" w:type="dxa"/>
            <w:vMerge w:val="continue"/>
            <w:vAlign w:val="center"/>
          </w:tcPr>
          <w:p w14:paraId="3B878DD7">
            <w:pPr>
              <w:spacing w:line="260" w:lineRule="exact"/>
              <w:jc w:val="center"/>
              <w:rPr>
                <w:rFonts w:ascii="Times New Roman" w:hAnsi="Times New Roman"/>
                <w:color w:val="auto"/>
                <w:sz w:val="21"/>
                <w:szCs w:val="21"/>
              </w:rPr>
            </w:pPr>
          </w:p>
        </w:tc>
        <w:tc>
          <w:tcPr>
            <w:tcW w:w="1064" w:type="dxa"/>
            <w:vMerge w:val="continue"/>
            <w:vAlign w:val="center"/>
          </w:tcPr>
          <w:p w14:paraId="4CA0BA6D">
            <w:pPr>
              <w:spacing w:line="260" w:lineRule="exact"/>
              <w:jc w:val="center"/>
              <w:rPr>
                <w:rFonts w:hint="eastAsia" w:ascii="宋体" w:hAnsi="宋体" w:eastAsia="宋体" w:cs="宋体"/>
                <w:color w:val="auto"/>
                <w:sz w:val="21"/>
                <w:szCs w:val="21"/>
              </w:rPr>
            </w:pPr>
          </w:p>
        </w:tc>
        <w:tc>
          <w:tcPr>
            <w:tcW w:w="1583" w:type="dxa"/>
            <w:vAlign w:val="center"/>
          </w:tcPr>
          <w:p w14:paraId="1F863B0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原辅材料包装物</w:t>
            </w:r>
          </w:p>
        </w:tc>
        <w:tc>
          <w:tcPr>
            <w:tcW w:w="1200" w:type="dxa"/>
            <w:vAlign w:val="center"/>
          </w:tcPr>
          <w:p w14:paraId="64F57492">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81" w:type="dxa"/>
            <w:vAlign w:val="center"/>
          </w:tcPr>
          <w:p w14:paraId="13D4337D">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t/a</w:t>
            </w:r>
          </w:p>
        </w:tc>
        <w:tc>
          <w:tcPr>
            <w:tcW w:w="2633" w:type="dxa"/>
            <w:gridSpan w:val="2"/>
            <w:tcBorders>
              <w:top w:val="single" w:color="auto" w:sz="4" w:space="0"/>
              <w:bottom w:val="single" w:color="auto" w:sz="4" w:space="0"/>
            </w:tcBorders>
            <w:vAlign w:val="center"/>
          </w:tcPr>
          <w:p w14:paraId="7FFCE91B">
            <w:pPr>
              <w:tabs>
                <w:tab w:val="left" w:pos="5529"/>
              </w:tabs>
              <w:snapToGrid w:val="0"/>
              <w:spacing w:line="260" w:lineRule="exact"/>
              <w:jc w:val="center"/>
              <w:rPr>
                <w:rFonts w:hint="eastAsia" w:ascii="宋体" w:hAnsi="宋体" w:eastAsia="宋体" w:cs="宋体"/>
                <w:color w:val="auto"/>
                <w:sz w:val="21"/>
                <w:szCs w:val="21"/>
              </w:rPr>
            </w:pPr>
            <w:r>
              <w:rPr>
                <w:rFonts w:hint="eastAsia" w:ascii="宋体" w:hAnsi="宋体" w:eastAsia="宋体" w:cs="宋体"/>
                <w:bCs/>
                <w:color w:val="auto"/>
                <w:sz w:val="21"/>
                <w:szCs w:val="21"/>
              </w:rPr>
              <w:t>由专人收集回收利用，不外排</w:t>
            </w:r>
          </w:p>
        </w:tc>
      </w:tr>
      <w:tr w14:paraId="6BE59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atLeast"/>
          <w:jc w:val="center"/>
        </w:trPr>
        <w:tc>
          <w:tcPr>
            <w:tcW w:w="706" w:type="dxa"/>
            <w:vMerge w:val="continue"/>
            <w:vAlign w:val="center"/>
          </w:tcPr>
          <w:p w14:paraId="29E0A8E4">
            <w:pPr>
              <w:spacing w:line="260" w:lineRule="exact"/>
              <w:jc w:val="center"/>
              <w:rPr>
                <w:rFonts w:ascii="Times New Roman" w:hAnsi="Times New Roman"/>
                <w:color w:val="auto"/>
                <w:sz w:val="21"/>
                <w:szCs w:val="21"/>
              </w:rPr>
            </w:pPr>
          </w:p>
        </w:tc>
        <w:tc>
          <w:tcPr>
            <w:tcW w:w="766" w:type="dxa"/>
            <w:vMerge w:val="continue"/>
            <w:vAlign w:val="center"/>
          </w:tcPr>
          <w:p w14:paraId="46A5B847">
            <w:pPr>
              <w:spacing w:line="260" w:lineRule="exact"/>
              <w:jc w:val="center"/>
              <w:rPr>
                <w:rFonts w:ascii="Times New Roman" w:hAnsi="Times New Roman"/>
                <w:color w:val="auto"/>
                <w:sz w:val="21"/>
                <w:szCs w:val="21"/>
              </w:rPr>
            </w:pPr>
          </w:p>
        </w:tc>
        <w:tc>
          <w:tcPr>
            <w:tcW w:w="1064" w:type="dxa"/>
            <w:vMerge w:val="continue"/>
            <w:vAlign w:val="center"/>
          </w:tcPr>
          <w:p w14:paraId="33F1A230">
            <w:pPr>
              <w:spacing w:line="260" w:lineRule="exact"/>
              <w:jc w:val="center"/>
              <w:rPr>
                <w:rFonts w:hint="eastAsia" w:ascii="宋体" w:hAnsi="宋体" w:eastAsia="宋体" w:cs="宋体"/>
                <w:color w:val="auto"/>
                <w:sz w:val="21"/>
                <w:szCs w:val="21"/>
              </w:rPr>
            </w:pPr>
          </w:p>
        </w:tc>
        <w:tc>
          <w:tcPr>
            <w:tcW w:w="1583" w:type="dxa"/>
            <w:vAlign w:val="center"/>
          </w:tcPr>
          <w:p w14:paraId="47F9042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热风炉灰渣</w:t>
            </w:r>
          </w:p>
        </w:tc>
        <w:tc>
          <w:tcPr>
            <w:tcW w:w="1200" w:type="dxa"/>
            <w:vAlign w:val="center"/>
          </w:tcPr>
          <w:p w14:paraId="1C571C56">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81" w:type="dxa"/>
            <w:vAlign w:val="center"/>
          </w:tcPr>
          <w:p w14:paraId="302379CE">
            <w:pPr>
              <w:jc w:val="center"/>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t/a</w:t>
            </w:r>
          </w:p>
        </w:tc>
        <w:tc>
          <w:tcPr>
            <w:tcW w:w="2633" w:type="dxa"/>
            <w:gridSpan w:val="2"/>
            <w:tcBorders>
              <w:top w:val="single" w:color="auto" w:sz="4" w:space="0"/>
              <w:bottom w:val="single" w:color="auto" w:sz="4" w:space="0"/>
            </w:tcBorders>
            <w:vAlign w:val="center"/>
          </w:tcPr>
          <w:p w14:paraId="1D6D6191">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卖给附近农户作为农田施肥</w:t>
            </w:r>
          </w:p>
        </w:tc>
      </w:tr>
      <w:tr w14:paraId="5DFB2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706" w:type="dxa"/>
            <w:vMerge w:val="continue"/>
            <w:vAlign w:val="center"/>
          </w:tcPr>
          <w:p w14:paraId="6492A680">
            <w:pPr>
              <w:spacing w:line="260" w:lineRule="exact"/>
              <w:jc w:val="center"/>
              <w:rPr>
                <w:rFonts w:ascii="Times New Roman" w:hAnsi="Times New Roman"/>
                <w:color w:val="auto"/>
                <w:sz w:val="21"/>
                <w:szCs w:val="21"/>
              </w:rPr>
            </w:pPr>
          </w:p>
        </w:tc>
        <w:tc>
          <w:tcPr>
            <w:tcW w:w="766" w:type="dxa"/>
            <w:vMerge w:val="continue"/>
            <w:vAlign w:val="center"/>
          </w:tcPr>
          <w:p w14:paraId="53415FFF">
            <w:pPr>
              <w:spacing w:line="260" w:lineRule="exact"/>
              <w:jc w:val="center"/>
              <w:rPr>
                <w:rFonts w:ascii="Times New Roman" w:hAnsi="Times New Roman"/>
                <w:color w:val="auto"/>
                <w:sz w:val="21"/>
                <w:szCs w:val="21"/>
              </w:rPr>
            </w:pPr>
          </w:p>
        </w:tc>
        <w:tc>
          <w:tcPr>
            <w:tcW w:w="1064" w:type="dxa"/>
            <w:vAlign w:val="center"/>
          </w:tcPr>
          <w:p w14:paraId="2060C5BF">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w:t>
            </w:r>
          </w:p>
        </w:tc>
        <w:tc>
          <w:tcPr>
            <w:tcW w:w="1583" w:type="dxa"/>
            <w:tcBorders>
              <w:right w:val="single" w:color="auto" w:sz="4" w:space="0"/>
            </w:tcBorders>
            <w:vAlign w:val="center"/>
          </w:tcPr>
          <w:p w14:paraId="5CA32193">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生活垃圾</w:t>
            </w:r>
          </w:p>
        </w:tc>
        <w:tc>
          <w:tcPr>
            <w:tcW w:w="1200" w:type="dxa"/>
            <w:vAlign w:val="center"/>
          </w:tcPr>
          <w:p w14:paraId="46D04F7A">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81" w:type="dxa"/>
            <w:vAlign w:val="center"/>
          </w:tcPr>
          <w:p w14:paraId="1BF2C833">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t/a</w:t>
            </w:r>
          </w:p>
        </w:tc>
        <w:tc>
          <w:tcPr>
            <w:tcW w:w="2633" w:type="dxa"/>
            <w:gridSpan w:val="2"/>
            <w:tcBorders>
              <w:top w:val="single" w:color="auto" w:sz="4" w:space="0"/>
            </w:tcBorders>
            <w:vAlign w:val="center"/>
          </w:tcPr>
          <w:p w14:paraId="3AC7C024">
            <w:pPr>
              <w:spacing w:line="240" w:lineRule="auto"/>
              <w:jc w:val="center"/>
              <w:rPr>
                <w:rFonts w:hint="eastAsia" w:ascii="宋体" w:hAnsi="宋体" w:eastAsia="宋体" w:cs="宋体"/>
                <w:color w:val="auto"/>
                <w:sz w:val="21"/>
                <w:szCs w:val="21"/>
              </w:rPr>
            </w:pPr>
            <w:r>
              <w:rPr>
                <w:rFonts w:hint="eastAsia" w:ascii="宋体" w:hAnsi="宋体" w:eastAsia="宋体" w:cs="宋体"/>
                <w:bCs/>
                <w:color w:val="auto"/>
                <w:sz w:val="21"/>
                <w:szCs w:val="21"/>
              </w:rPr>
              <w:t>运至垃圾堆放点由当地环卫部门清运。</w:t>
            </w:r>
          </w:p>
        </w:tc>
      </w:tr>
      <w:tr w14:paraId="7CE10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706" w:type="dxa"/>
            <w:vMerge w:val="continue"/>
            <w:vAlign w:val="center"/>
          </w:tcPr>
          <w:p w14:paraId="3FF59700">
            <w:pPr>
              <w:spacing w:line="260" w:lineRule="exact"/>
              <w:jc w:val="center"/>
              <w:rPr>
                <w:rFonts w:ascii="Times New Roman" w:hAnsi="Times New Roman"/>
                <w:color w:val="auto"/>
                <w:sz w:val="21"/>
                <w:szCs w:val="21"/>
              </w:rPr>
            </w:pPr>
          </w:p>
        </w:tc>
        <w:tc>
          <w:tcPr>
            <w:tcW w:w="766" w:type="dxa"/>
            <w:vMerge w:val="continue"/>
            <w:vAlign w:val="center"/>
          </w:tcPr>
          <w:p w14:paraId="7A66527B">
            <w:pPr>
              <w:spacing w:line="260" w:lineRule="exact"/>
              <w:jc w:val="center"/>
              <w:rPr>
                <w:rFonts w:hint="eastAsia" w:ascii="Times New Roman" w:hAnsi="Times New Roman"/>
                <w:color w:val="auto"/>
                <w:sz w:val="21"/>
                <w:szCs w:val="21"/>
                <w:lang w:eastAsia="zh-CN"/>
              </w:rPr>
            </w:pPr>
          </w:p>
        </w:tc>
        <w:tc>
          <w:tcPr>
            <w:tcW w:w="1064" w:type="dxa"/>
            <w:vAlign w:val="center"/>
          </w:tcPr>
          <w:p w14:paraId="135CEE28">
            <w:pPr>
              <w:spacing w:line="2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化粪池</w:t>
            </w:r>
          </w:p>
        </w:tc>
        <w:tc>
          <w:tcPr>
            <w:tcW w:w="1583" w:type="dxa"/>
            <w:tcBorders>
              <w:right w:val="single" w:color="auto" w:sz="4" w:space="0"/>
            </w:tcBorders>
            <w:vAlign w:val="center"/>
          </w:tcPr>
          <w:p w14:paraId="15B90A6E">
            <w:pPr>
              <w:spacing w:line="2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污泥</w:t>
            </w:r>
          </w:p>
        </w:tc>
        <w:tc>
          <w:tcPr>
            <w:tcW w:w="1200" w:type="dxa"/>
            <w:vAlign w:val="center"/>
          </w:tcPr>
          <w:p w14:paraId="19827946">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381" w:type="dxa"/>
            <w:vAlign w:val="center"/>
          </w:tcPr>
          <w:p w14:paraId="2893020C">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0.576</w:t>
            </w:r>
            <w:r>
              <w:rPr>
                <w:rFonts w:hint="eastAsia" w:ascii="宋体" w:hAnsi="宋体" w:eastAsia="宋体" w:cs="宋体"/>
                <w:color w:val="auto"/>
                <w:sz w:val="21"/>
                <w:szCs w:val="21"/>
              </w:rPr>
              <w:t>t/a</w:t>
            </w:r>
          </w:p>
        </w:tc>
        <w:tc>
          <w:tcPr>
            <w:tcW w:w="2633" w:type="dxa"/>
            <w:gridSpan w:val="2"/>
            <w:tcBorders>
              <w:top w:val="single" w:color="auto" w:sz="4" w:space="0"/>
            </w:tcBorders>
            <w:vAlign w:val="center"/>
          </w:tcPr>
          <w:p w14:paraId="111AF845">
            <w:pPr>
              <w:spacing w:line="240" w:lineRule="auto"/>
              <w:jc w:val="center"/>
              <w:rPr>
                <w:rFonts w:hint="eastAsia" w:ascii="宋体" w:hAnsi="宋体" w:eastAsia="宋体" w:cs="宋体"/>
                <w:bCs/>
                <w:color w:val="auto"/>
                <w:sz w:val="21"/>
                <w:szCs w:val="21"/>
                <w:lang w:eastAsia="zh-CN"/>
              </w:rPr>
            </w:pPr>
            <w:r>
              <w:rPr>
                <w:rFonts w:hint="eastAsia" w:ascii="宋体" w:hAnsi="宋体" w:cs="宋体"/>
                <w:color w:val="auto"/>
                <w:sz w:val="21"/>
                <w:szCs w:val="21"/>
              </w:rPr>
              <w:t>定期清掏作为农家肥</w:t>
            </w:r>
            <w:r>
              <w:rPr>
                <w:rFonts w:hint="eastAsia" w:ascii="宋体" w:hAnsi="宋体" w:cs="宋体"/>
                <w:color w:val="auto"/>
                <w:sz w:val="21"/>
                <w:szCs w:val="21"/>
                <w:lang w:eastAsia="zh-CN"/>
              </w:rPr>
              <w:t>使用</w:t>
            </w:r>
          </w:p>
        </w:tc>
      </w:tr>
      <w:tr w14:paraId="3DBC3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4" w:hRule="atLeast"/>
          <w:jc w:val="center"/>
        </w:trPr>
        <w:tc>
          <w:tcPr>
            <w:tcW w:w="706" w:type="dxa"/>
            <w:vMerge w:val="restart"/>
            <w:vAlign w:val="center"/>
          </w:tcPr>
          <w:p w14:paraId="1F0D5B7A">
            <w:pPr>
              <w:spacing w:line="260" w:lineRule="exact"/>
              <w:jc w:val="center"/>
              <w:rPr>
                <w:rFonts w:ascii="Times New Roman" w:hAnsi="Times New Roman"/>
                <w:color w:val="auto"/>
                <w:sz w:val="21"/>
                <w:szCs w:val="21"/>
              </w:rPr>
            </w:pPr>
            <w:r>
              <w:rPr>
                <w:rFonts w:ascii="Times New Roman" w:hAnsi="Times New Roman"/>
                <w:color w:val="auto"/>
                <w:sz w:val="21"/>
                <w:szCs w:val="21"/>
              </w:rPr>
              <w:t>噪</w:t>
            </w:r>
          </w:p>
          <w:p w14:paraId="6F324FAD">
            <w:pPr>
              <w:spacing w:line="260" w:lineRule="exact"/>
              <w:jc w:val="center"/>
              <w:rPr>
                <w:rFonts w:ascii="Times New Roman" w:hAnsi="Times New Roman"/>
                <w:color w:val="auto"/>
                <w:sz w:val="21"/>
                <w:szCs w:val="21"/>
              </w:rPr>
            </w:pPr>
            <w:r>
              <w:rPr>
                <w:rFonts w:ascii="Times New Roman" w:hAnsi="Times New Roman"/>
                <w:color w:val="auto"/>
                <w:sz w:val="21"/>
                <w:szCs w:val="21"/>
              </w:rPr>
              <w:t>声</w:t>
            </w:r>
          </w:p>
        </w:tc>
        <w:tc>
          <w:tcPr>
            <w:tcW w:w="766" w:type="dxa"/>
            <w:vAlign w:val="center"/>
          </w:tcPr>
          <w:p w14:paraId="1454468F">
            <w:pPr>
              <w:spacing w:line="240" w:lineRule="auto"/>
              <w:jc w:val="both"/>
              <w:rPr>
                <w:rFonts w:hint="eastAsia" w:ascii="Times New Roman" w:hAnsi="Times New Roman"/>
                <w:color w:val="auto"/>
                <w:sz w:val="21"/>
                <w:szCs w:val="21"/>
                <w:lang w:eastAsia="zh-CN"/>
              </w:rPr>
            </w:pPr>
            <w:r>
              <w:rPr>
                <w:rFonts w:hint="eastAsia" w:ascii="Times New Roman" w:hAnsi="Times New Roman" w:cs="Times New Roman"/>
                <w:color w:val="auto"/>
                <w:szCs w:val="21"/>
              </w:rPr>
              <w:t>施</w:t>
            </w:r>
            <w:r>
              <w:rPr>
                <w:rFonts w:hint="eastAsia" w:ascii="Times New Roman" w:hAnsi="Times New Roman" w:cs="Times New Roman"/>
                <w:color w:val="auto"/>
                <w:szCs w:val="21"/>
                <w:lang w:eastAsia="zh-CN"/>
              </w:rPr>
              <w:t>工期</w:t>
            </w:r>
          </w:p>
        </w:tc>
        <w:tc>
          <w:tcPr>
            <w:tcW w:w="7861" w:type="dxa"/>
            <w:gridSpan w:val="6"/>
            <w:vAlign w:val="center"/>
          </w:tcPr>
          <w:p w14:paraId="32637DCB">
            <w:pPr>
              <w:spacing w:line="240" w:lineRule="auto"/>
              <w:jc w:val="both"/>
              <w:rPr>
                <w:rFonts w:ascii="Times New Roman" w:hAnsi="Times New Roman"/>
                <w:color w:val="auto"/>
                <w:sz w:val="21"/>
                <w:szCs w:val="21"/>
              </w:rPr>
            </w:pPr>
            <w:r>
              <w:rPr>
                <w:rFonts w:hint="eastAsia" w:ascii="宋体" w:hAnsi="宋体" w:eastAsia="宋体" w:cs="宋体"/>
                <w:color w:val="auto"/>
                <w:szCs w:val="21"/>
                <w:lang w:eastAsia="zh-CN"/>
              </w:rPr>
              <w:t>施</w:t>
            </w:r>
            <w:r>
              <w:rPr>
                <w:rFonts w:hint="eastAsia" w:ascii="宋体" w:hAnsi="宋体" w:eastAsia="宋体" w:cs="宋体"/>
                <w:color w:val="auto"/>
                <w:szCs w:val="21"/>
              </w:rPr>
              <w:t>工期</w:t>
            </w:r>
            <w:r>
              <w:rPr>
                <w:rFonts w:hint="eastAsia" w:ascii="宋体" w:hAnsi="宋体" w:eastAsia="宋体" w:cs="宋体"/>
                <w:bCs/>
                <w:color w:val="auto"/>
                <w:szCs w:val="21"/>
              </w:rPr>
              <w:t>施工机械设备及运输车辆噪声，声级均在80dB以上</w:t>
            </w:r>
          </w:p>
        </w:tc>
      </w:tr>
      <w:tr w14:paraId="05C1E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00" w:hRule="atLeast"/>
          <w:jc w:val="center"/>
        </w:trPr>
        <w:tc>
          <w:tcPr>
            <w:tcW w:w="706" w:type="dxa"/>
            <w:vMerge w:val="continue"/>
            <w:vAlign w:val="center"/>
          </w:tcPr>
          <w:p w14:paraId="6A664646">
            <w:pPr>
              <w:spacing w:line="260" w:lineRule="exact"/>
              <w:jc w:val="center"/>
              <w:rPr>
                <w:rFonts w:ascii="Times New Roman" w:hAnsi="Times New Roman"/>
                <w:color w:val="auto"/>
                <w:sz w:val="21"/>
                <w:szCs w:val="21"/>
              </w:rPr>
            </w:pPr>
          </w:p>
        </w:tc>
        <w:tc>
          <w:tcPr>
            <w:tcW w:w="766" w:type="dxa"/>
            <w:vAlign w:val="center"/>
          </w:tcPr>
          <w:p w14:paraId="695A1F34">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运营期</w:t>
            </w:r>
          </w:p>
        </w:tc>
        <w:tc>
          <w:tcPr>
            <w:tcW w:w="2647" w:type="dxa"/>
            <w:gridSpan w:val="2"/>
            <w:vAlign w:val="center"/>
          </w:tcPr>
          <w:p w14:paraId="04DD23F7">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设备噪声</w:t>
            </w:r>
          </w:p>
        </w:tc>
        <w:tc>
          <w:tcPr>
            <w:tcW w:w="2581" w:type="dxa"/>
            <w:gridSpan w:val="2"/>
            <w:vAlign w:val="center"/>
          </w:tcPr>
          <w:p w14:paraId="5E0FA46C">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rPr>
              <w:t>～80dB(A)</w:t>
            </w:r>
          </w:p>
        </w:tc>
        <w:tc>
          <w:tcPr>
            <w:tcW w:w="2633" w:type="dxa"/>
            <w:gridSpan w:val="2"/>
            <w:vAlign w:val="center"/>
          </w:tcPr>
          <w:p w14:paraId="433470D8">
            <w:pPr>
              <w:spacing w:line="260" w:lineRule="exact"/>
              <w:rPr>
                <w:rFonts w:hint="eastAsia" w:ascii="宋体" w:hAnsi="宋体" w:eastAsia="宋体" w:cs="宋体"/>
                <w:color w:val="auto"/>
                <w:sz w:val="21"/>
                <w:szCs w:val="21"/>
              </w:rPr>
            </w:pPr>
            <w:r>
              <w:rPr>
                <w:rFonts w:hint="eastAsia" w:ascii="宋体" w:hAnsi="宋体" w:eastAsia="宋体" w:cs="宋体"/>
                <w:color w:val="auto"/>
                <w:sz w:val="21"/>
                <w:szCs w:val="21"/>
              </w:rPr>
              <w:t>厂界噪声达到《工业企业厂界环境噪声排放标准》（GB12348—2008）2类区标准，即：昼间≤60dB(A)，夜间≤50dB(A)。</w:t>
            </w:r>
          </w:p>
        </w:tc>
      </w:tr>
      <w:tr w14:paraId="2D5C1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333" w:type="dxa"/>
            <w:gridSpan w:val="8"/>
            <w:vAlign w:val="center"/>
          </w:tcPr>
          <w:p w14:paraId="270179F2">
            <w:pPr>
              <w:spacing w:line="360" w:lineRule="auto"/>
              <w:rPr>
                <w:rFonts w:hint="eastAsia" w:ascii="宋体" w:hAnsi="宋体" w:eastAsia="宋体" w:cs="宋体"/>
                <w:b/>
                <w:bCs/>
                <w:color w:val="auto"/>
                <w:sz w:val="24"/>
                <w:szCs w:val="24"/>
              </w:rPr>
            </w:pPr>
          </w:p>
          <w:p w14:paraId="122E92CA">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主要生态影响:</w:t>
            </w:r>
          </w:p>
          <w:p w14:paraId="32D314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项目区</w:t>
            </w:r>
            <w:r>
              <w:rPr>
                <w:rFonts w:hint="eastAsia" w:ascii="宋体" w:hAnsi="宋体" w:eastAsia="宋体" w:cs="宋体"/>
                <w:color w:val="auto"/>
                <w:sz w:val="24"/>
                <w:szCs w:val="24"/>
              </w:rPr>
              <w:t>位于云南省德宏州芒市</w:t>
            </w:r>
            <w:r>
              <w:rPr>
                <w:rFonts w:hint="eastAsia" w:ascii="宋体" w:hAnsi="宋体" w:eastAsia="宋体" w:cs="宋体"/>
                <w:color w:val="auto"/>
                <w:sz w:val="24"/>
                <w:szCs w:val="24"/>
                <w:lang w:eastAsia="zh-CN"/>
              </w:rPr>
              <w:t>轩岗乡遮相居委会第一居民小组</w:t>
            </w:r>
            <w:r>
              <w:rPr>
                <w:rFonts w:hint="eastAsia" w:ascii="宋体" w:hAnsi="宋体" w:eastAsia="宋体" w:cs="宋体"/>
                <w:color w:val="auto"/>
                <w:sz w:val="24"/>
                <w:szCs w:val="24"/>
              </w:rPr>
              <w:t>，区内基本已不存在原生植被，无国家珍稀和保护动植物分布。</w:t>
            </w:r>
            <w:r>
              <w:rPr>
                <w:rFonts w:hint="eastAsia" w:ascii="宋体" w:hAnsi="宋体" w:eastAsia="宋体" w:cs="宋体"/>
                <w:color w:val="auto"/>
                <w:sz w:val="24"/>
                <w:szCs w:val="24"/>
                <w:lang w:val="en-US" w:eastAsia="zh-CN"/>
              </w:rPr>
              <w:t>现阶段主体工程已完成，</w:t>
            </w:r>
            <w:r>
              <w:rPr>
                <w:rFonts w:hint="eastAsia" w:ascii="宋体" w:hAnsi="宋体" w:eastAsia="宋体" w:cs="宋体"/>
                <w:color w:val="auto"/>
                <w:sz w:val="24"/>
                <w:szCs w:val="24"/>
              </w:rPr>
              <w:t>基本对生态环境没有影响，运营期外排污染物较少，对周围生态环境影响较小。项目建成后，将进行一定的绿化，对厂区生态环境具有一定的改善作用。</w:t>
            </w:r>
          </w:p>
          <w:p w14:paraId="67F54933">
            <w:pPr>
              <w:spacing w:line="360" w:lineRule="auto"/>
              <w:rPr>
                <w:rFonts w:hint="eastAsia" w:ascii="宋体" w:hAnsi="宋体" w:eastAsia="宋体" w:cs="宋体"/>
                <w:color w:val="auto"/>
                <w:sz w:val="24"/>
                <w:szCs w:val="24"/>
              </w:rPr>
            </w:pPr>
          </w:p>
          <w:p w14:paraId="6FA35B77">
            <w:pPr>
              <w:spacing w:line="240" w:lineRule="exact"/>
              <w:rPr>
                <w:rFonts w:hint="eastAsia"/>
                <w:color w:val="auto"/>
              </w:rPr>
            </w:pPr>
          </w:p>
          <w:p w14:paraId="7A548DEA">
            <w:pPr>
              <w:spacing w:line="240" w:lineRule="exact"/>
              <w:rPr>
                <w:color w:val="auto"/>
              </w:rPr>
            </w:pPr>
          </w:p>
          <w:p w14:paraId="3E000E2A">
            <w:pPr>
              <w:pStyle w:val="2"/>
              <w:rPr>
                <w:color w:val="auto"/>
              </w:rPr>
            </w:pPr>
          </w:p>
          <w:p w14:paraId="41669C71">
            <w:pPr>
              <w:pStyle w:val="4"/>
              <w:rPr>
                <w:rFonts w:ascii="Times New Roman" w:hAnsi="Times New Roman"/>
                <w:color w:val="auto"/>
                <w:sz w:val="24"/>
                <w:szCs w:val="24"/>
              </w:rPr>
            </w:pPr>
          </w:p>
          <w:p w14:paraId="55D9908F">
            <w:pPr>
              <w:pStyle w:val="4"/>
              <w:rPr>
                <w:rFonts w:ascii="Times New Roman" w:hAnsi="Times New Roman"/>
                <w:color w:val="auto"/>
                <w:sz w:val="24"/>
                <w:szCs w:val="24"/>
              </w:rPr>
            </w:pPr>
          </w:p>
          <w:p w14:paraId="3618AAB5">
            <w:pPr>
              <w:pStyle w:val="4"/>
              <w:rPr>
                <w:rFonts w:ascii="Times New Roman" w:hAnsi="Times New Roman"/>
                <w:color w:val="auto"/>
                <w:sz w:val="24"/>
                <w:szCs w:val="24"/>
              </w:rPr>
            </w:pPr>
          </w:p>
          <w:p w14:paraId="1289EBA2">
            <w:pPr>
              <w:pStyle w:val="4"/>
              <w:rPr>
                <w:rFonts w:ascii="Times New Roman" w:hAnsi="Times New Roman"/>
                <w:color w:val="auto"/>
                <w:sz w:val="24"/>
                <w:szCs w:val="24"/>
              </w:rPr>
            </w:pPr>
          </w:p>
          <w:p w14:paraId="2CDE1EF6">
            <w:pPr>
              <w:pStyle w:val="4"/>
              <w:rPr>
                <w:rFonts w:ascii="Times New Roman" w:hAnsi="Times New Roman"/>
                <w:color w:val="auto"/>
                <w:sz w:val="24"/>
                <w:szCs w:val="24"/>
              </w:rPr>
            </w:pPr>
          </w:p>
          <w:p w14:paraId="51224DCD">
            <w:pPr>
              <w:pStyle w:val="4"/>
              <w:rPr>
                <w:rFonts w:ascii="Times New Roman" w:hAnsi="Times New Roman"/>
                <w:color w:val="auto"/>
                <w:sz w:val="24"/>
                <w:szCs w:val="24"/>
              </w:rPr>
            </w:pPr>
          </w:p>
          <w:p w14:paraId="463C55B9">
            <w:pPr>
              <w:pStyle w:val="4"/>
              <w:rPr>
                <w:rFonts w:ascii="Times New Roman" w:hAnsi="Times New Roman"/>
                <w:color w:val="auto"/>
                <w:sz w:val="24"/>
                <w:szCs w:val="24"/>
              </w:rPr>
            </w:pPr>
          </w:p>
          <w:p w14:paraId="31A13191">
            <w:pPr>
              <w:pStyle w:val="4"/>
              <w:rPr>
                <w:rFonts w:ascii="Times New Roman" w:hAnsi="Times New Roman"/>
                <w:color w:val="auto"/>
                <w:sz w:val="24"/>
                <w:szCs w:val="24"/>
              </w:rPr>
            </w:pPr>
          </w:p>
          <w:p w14:paraId="169D3919">
            <w:pPr>
              <w:pStyle w:val="4"/>
              <w:rPr>
                <w:rFonts w:ascii="Times New Roman" w:hAnsi="Times New Roman"/>
                <w:color w:val="auto"/>
                <w:sz w:val="24"/>
                <w:szCs w:val="24"/>
              </w:rPr>
            </w:pPr>
          </w:p>
          <w:p w14:paraId="144EE893">
            <w:pPr>
              <w:pStyle w:val="4"/>
              <w:rPr>
                <w:rFonts w:ascii="Times New Roman" w:hAnsi="Times New Roman"/>
                <w:color w:val="auto"/>
                <w:sz w:val="24"/>
                <w:szCs w:val="24"/>
              </w:rPr>
            </w:pPr>
          </w:p>
          <w:p w14:paraId="20E24A70">
            <w:pPr>
              <w:pStyle w:val="4"/>
              <w:rPr>
                <w:rFonts w:ascii="Times New Roman" w:hAnsi="Times New Roman"/>
                <w:color w:val="auto"/>
                <w:sz w:val="24"/>
                <w:szCs w:val="24"/>
              </w:rPr>
            </w:pPr>
          </w:p>
          <w:p w14:paraId="2C13B946">
            <w:pPr>
              <w:pStyle w:val="4"/>
              <w:rPr>
                <w:rFonts w:ascii="Times New Roman" w:hAnsi="Times New Roman"/>
                <w:color w:val="auto"/>
                <w:sz w:val="24"/>
                <w:szCs w:val="24"/>
              </w:rPr>
            </w:pPr>
          </w:p>
          <w:p w14:paraId="7B9E9922">
            <w:pPr>
              <w:pStyle w:val="4"/>
              <w:rPr>
                <w:rFonts w:ascii="Times New Roman" w:hAnsi="Times New Roman"/>
                <w:color w:val="auto"/>
                <w:sz w:val="24"/>
                <w:szCs w:val="24"/>
              </w:rPr>
            </w:pPr>
          </w:p>
          <w:p w14:paraId="1126A1EB">
            <w:pPr>
              <w:pStyle w:val="4"/>
              <w:rPr>
                <w:rFonts w:ascii="Times New Roman" w:hAnsi="Times New Roman"/>
                <w:color w:val="auto"/>
                <w:sz w:val="24"/>
                <w:szCs w:val="24"/>
              </w:rPr>
            </w:pPr>
          </w:p>
          <w:p w14:paraId="09491CE5">
            <w:pPr>
              <w:pStyle w:val="4"/>
              <w:rPr>
                <w:rFonts w:ascii="Times New Roman" w:hAnsi="Times New Roman"/>
                <w:color w:val="auto"/>
                <w:sz w:val="24"/>
                <w:szCs w:val="24"/>
              </w:rPr>
            </w:pPr>
          </w:p>
          <w:p w14:paraId="29A06418">
            <w:pPr>
              <w:pStyle w:val="4"/>
              <w:rPr>
                <w:rFonts w:ascii="Times New Roman" w:hAnsi="Times New Roman"/>
                <w:color w:val="auto"/>
                <w:sz w:val="24"/>
                <w:szCs w:val="24"/>
              </w:rPr>
            </w:pPr>
          </w:p>
          <w:p w14:paraId="4EA96EB0">
            <w:pPr>
              <w:pStyle w:val="4"/>
              <w:rPr>
                <w:rFonts w:ascii="Times New Roman" w:hAnsi="Times New Roman"/>
                <w:color w:val="auto"/>
                <w:sz w:val="24"/>
                <w:szCs w:val="24"/>
              </w:rPr>
            </w:pPr>
          </w:p>
          <w:p w14:paraId="525CDBB1">
            <w:pPr>
              <w:pStyle w:val="4"/>
              <w:ind w:left="0" w:leftChars="0" w:firstLine="0" w:firstLineChars="0"/>
              <w:rPr>
                <w:rFonts w:ascii="Times New Roman" w:hAnsi="Times New Roman"/>
                <w:color w:val="auto"/>
                <w:sz w:val="24"/>
                <w:szCs w:val="24"/>
              </w:rPr>
            </w:pPr>
          </w:p>
          <w:p w14:paraId="4DE52E9B">
            <w:pPr>
              <w:pStyle w:val="4"/>
              <w:rPr>
                <w:rFonts w:ascii="Times New Roman" w:hAnsi="Times New Roman"/>
                <w:color w:val="auto"/>
                <w:sz w:val="24"/>
                <w:szCs w:val="24"/>
              </w:rPr>
            </w:pPr>
          </w:p>
        </w:tc>
      </w:tr>
    </w:tbl>
    <w:p w14:paraId="3BAA243F">
      <w:pPr>
        <w:pStyle w:val="3"/>
        <w:keepNext/>
        <w:keepLines/>
        <w:pageBreakBefore w:val="0"/>
        <w:widowControl w:val="0"/>
        <w:tabs>
          <w:tab w:val="left" w:pos="432"/>
        </w:tabs>
        <w:kinsoku/>
        <w:wordWrap/>
        <w:overflowPunct/>
        <w:topLinePunct w:val="0"/>
        <w:autoSpaceDE/>
        <w:autoSpaceDN/>
        <w:bidi w:val="0"/>
        <w:adjustRightInd/>
        <w:snapToGrid/>
        <w:jc w:val="both"/>
        <w:textAlignment w:val="auto"/>
        <w:rPr>
          <w:rFonts w:hint="eastAsia" w:ascii="Times New Roman" w:hAnsi="Times New Roman" w:eastAsia="宋体" w:cs="Times New Roman"/>
          <w:b/>
          <w:bCs/>
          <w:color w:val="auto"/>
          <w:sz w:val="32"/>
          <w:szCs w:val="32"/>
        </w:rPr>
      </w:pPr>
      <w:r>
        <w:rPr>
          <w:rFonts w:hint="eastAsia"/>
          <w:lang w:val="en-US" w:eastAsia="zh-CN"/>
        </w:rPr>
        <w:br w:type="page"/>
      </w:r>
      <w:bookmarkStart w:id="13" w:name="_Toc1453_WPSOffice_Level1"/>
      <w:r>
        <w:rPr>
          <w:rFonts w:hint="eastAsia" w:ascii="Times New Roman" w:hAnsi="Times New Roman" w:eastAsia="宋体" w:cs="Times New Roman"/>
          <w:b/>
          <w:bCs/>
          <w:color w:val="auto"/>
          <w:sz w:val="32"/>
          <w:szCs w:val="32"/>
        </w:rPr>
        <w:t>表七、环境影响分析</w:t>
      </w:r>
      <w:bookmarkEnd w:id="13"/>
    </w:p>
    <w:tbl>
      <w:tblPr>
        <w:tblStyle w:val="2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8C8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2" w:hRule="atLeast"/>
          <w:jc w:val="center"/>
        </w:trPr>
        <w:tc>
          <w:tcPr>
            <w:tcW w:w="9287" w:type="dxa"/>
            <w:vAlign w:val="top"/>
          </w:tcPr>
          <w:p w14:paraId="79155E66">
            <w:pPr>
              <w:adjustRightInd w:val="0"/>
              <w:snapToGrid w:val="0"/>
              <w:spacing w:line="360" w:lineRule="auto"/>
              <w:rPr>
                <w:rFonts w:ascii="Times New Roman" w:hAnsi="Times New Roman"/>
                <w:b/>
                <w:color w:val="auto"/>
                <w:kern w:val="0"/>
                <w:sz w:val="24"/>
                <w:szCs w:val="24"/>
              </w:rPr>
            </w:pPr>
            <w:r>
              <w:rPr>
                <w:rFonts w:hint="eastAsia" w:ascii="Times New Roman" w:hAnsi="Times New Roman"/>
                <w:b/>
                <w:bCs/>
                <w:color w:val="auto"/>
                <w:sz w:val="24"/>
                <w:szCs w:val="24"/>
                <w:lang w:eastAsia="zh-CN"/>
              </w:rPr>
              <w:t>一</w:t>
            </w:r>
            <w:r>
              <w:rPr>
                <w:rFonts w:hint="eastAsia" w:ascii="Times New Roman" w:hAnsi="Times New Roman"/>
                <w:b/>
                <w:bCs/>
                <w:color w:val="auto"/>
                <w:sz w:val="24"/>
                <w:szCs w:val="24"/>
              </w:rPr>
              <w:t>、</w:t>
            </w:r>
            <w:r>
              <w:rPr>
                <w:rFonts w:ascii="Times New Roman" w:hAnsi="Times New Roman"/>
                <w:b/>
                <w:color w:val="auto"/>
                <w:kern w:val="0"/>
                <w:sz w:val="24"/>
                <w:szCs w:val="24"/>
              </w:rPr>
              <w:t>施工期环境影响分析</w:t>
            </w:r>
          </w:p>
          <w:p w14:paraId="5F29CD0A">
            <w:pPr>
              <w:snapToGrid w:val="0"/>
              <w:spacing w:line="360" w:lineRule="auto"/>
              <w:ind w:firstLine="480" w:firstLineChars="200"/>
              <w:rPr>
                <w:rFonts w:hint="eastAsia" w:ascii="宋体" w:hAnsi="宋体" w:eastAsia="宋体" w:cs="宋体"/>
                <w:b w:val="0"/>
                <w:bCs w:val="0"/>
                <w:color w:val="auto"/>
                <w:kern w:val="0"/>
                <w:sz w:val="24"/>
                <w:szCs w:val="24"/>
                <w:u w:val="none"/>
              </w:rPr>
            </w:pPr>
            <w:r>
              <w:rPr>
                <w:rFonts w:hint="eastAsia" w:ascii="宋体" w:hAnsi="宋体" w:cs="宋体"/>
                <w:b w:val="0"/>
                <w:bCs w:val="0"/>
                <w:color w:val="auto"/>
                <w:sz w:val="24"/>
                <w:szCs w:val="24"/>
                <w:u w:val="none"/>
                <w:lang w:eastAsia="zh-CN"/>
              </w:rPr>
              <w:t>施工期主要内容为</w:t>
            </w:r>
            <w:r>
              <w:rPr>
                <w:rFonts w:hint="eastAsia" w:ascii="宋体" w:hAnsi="宋体" w:cs="宋体"/>
                <w:color w:val="auto"/>
                <w:sz w:val="24"/>
                <w:szCs w:val="24"/>
                <w:u w:val="none"/>
                <w:lang w:eastAsia="zh-CN"/>
              </w:rPr>
              <w:t>建设化粪池、隔油池、安装</w:t>
            </w:r>
            <w:r>
              <w:rPr>
                <w:rFonts w:hint="eastAsia" w:ascii="宋体" w:hAnsi="宋体" w:cs="宋体"/>
                <w:color w:val="auto"/>
                <w:sz w:val="24"/>
                <w:szCs w:val="24"/>
                <w:u w:val="none"/>
                <w:lang w:val="en-US" w:eastAsia="zh-CN"/>
              </w:rPr>
              <w:t>油烟净化器及环保除尘设施等</w:t>
            </w:r>
            <w:r>
              <w:rPr>
                <w:rFonts w:hint="eastAsia" w:ascii="宋体" w:hAnsi="宋体" w:eastAsia="宋体" w:cs="宋体"/>
                <w:b w:val="0"/>
                <w:bCs w:val="0"/>
                <w:color w:val="auto"/>
                <w:sz w:val="24"/>
                <w:szCs w:val="24"/>
                <w:u w:val="none"/>
                <w:lang w:eastAsia="zh-CN"/>
              </w:rPr>
              <w:t>，</w:t>
            </w:r>
            <w:r>
              <w:rPr>
                <w:rFonts w:hint="eastAsia" w:ascii="宋体" w:hAnsi="宋体" w:cs="宋体"/>
                <w:b w:val="0"/>
                <w:bCs w:val="0"/>
                <w:color w:val="auto"/>
                <w:sz w:val="24"/>
                <w:szCs w:val="24"/>
                <w:u w:val="none"/>
                <w:lang w:eastAsia="zh-CN"/>
              </w:rPr>
              <w:t>对周围环境会产生一定影响</w:t>
            </w:r>
            <w:r>
              <w:rPr>
                <w:rFonts w:hint="eastAsia" w:ascii="宋体" w:hAnsi="宋体" w:eastAsia="宋体" w:cs="宋体"/>
                <w:b w:val="0"/>
                <w:bCs w:val="0"/>
                <w:color w:val="auto"/>
                <w:sz w:val="24"/>
                <w:szCs w:val="24"/>
                <w:u w:val="none"/>
              </w:rPr>
              <w:t>，</w:t>
            </w:r>
            <w:r>
              <w:rPr>
                <w:rFonts w:hint="eastAsia" w:ascii="宋体" w:hAnsi="宋体" w:cs="宋体"/>
                <w:b w:val="0"/>
                <w:bCs w:val="0"/>
                <w:color w:val="auto"/>
                <w:sz w:val="24"/>
                <w:szCs w:val="24"/>
                <w:u w:val="none"/>
                <w:lang w:eastAsia="zh-CN"/>
              </w:rPr>
              <w:t>本项目整体上施工量小，工期短，施工期带来的影响是暂时的、局部的</w:t>
            </w:r>
            <w:r>
              <w:rPr>
                <w:rFonts w:hint="eastAsia" w:ascii="宋体" w:hAnsi="宋体" w:eastAsia="宋体" w:cs="宋体"/>
                <w:b w:val="0"/>
                <w:bCs w:val="0"/>
                <w:color w:val="auto"/>
                <w:sz w:val="24"/>
                <w:szCs w:val="24"/>
                <w:u w:val="none"/>
              </w:rPr>
              <w:t>，</w:t>
            </w:r>
            <w:r>
              <w:rPr>
                <w:rFonts w:hint="eastAsia" w:ascii="宋体" w:hAnsi="宋体" w:cs="宋体"/>
                <w:b w:val="0"/>
                <w:bCs w:val="0"/>
                <w:color w:val="auto"/>
                <w:sz w:val="24"/>
                <w:szCs w:val="24"/>
                <w:u w:val="none"/>
                <w:lang w:eastAsia="zh-CN"/>
              </w:rPr>
              <w:t>施工期结束随即消失。</w:t>
            </w:r>
          </w:p>
          <w:p w14:paraId="625260CA">
            <w:pPr>
              <w:adjustRightInd w:val="0"/>
              <w:snapToGrid w:val="0"/>
              <w:spacing w:line="360" w:lineRule="auto"/>
              <w:jc w:val="left"/>
              <w:textAlignment w:val="baseline"/>
              <w:rPr>
                <w:rFonts w:hint="eastAsia" w:ascii="宋体" w:hAnsi="宋体" w:cs="宋体"/>
                <w:b w:val="0"/>
                <w:bCs/>
                <w:color w:val="auto"/>
                <w:sz w:val="24"/>
                <w:szCs w:val="24"/>
                <w:u w:val="none"/>
                <w:lang w:val="en-US" w:eastAsia="zh-CN"/>
              </w:rPr>
            </w:pPr>
            <w:r>
              <w:rPr>
                <w:rFonts w:hint="eastAsia" w:ascii="宋体" w:hAnsi="宋体" w:cs="宋体"/>
                <w:b/>
                <w:bCs w:val="0"/>
                <w:color w:val="auto"/>
                <w:sz w:val="24"/>
                <w:szCs w:val="24"/>
                <w:u w:val="none"/>
                <w:lang w:val="en-US" w:eastAsia="zh-CN"/>
              </w:rPr>
              <w:t>1、大气环境影响分析</w:t>
            </w:r>
          </w:p>
          <w:p w14:paraId="427C741C">
            <w:pPr>
              <w:adjustRightInd w:val="0"/>
              <w:snapToGrid w:val="0"/>
              <w:spacing w:line="360" w:lineRule="auto"/>
              <w:ind w:firstLine="480" w:firstLineChars="20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项目施工期大气污染物包括工程建设、沙石料运输、堆放过程中产生的扬尘；施工机械和运输车辆作业期间产生的少量燃油废气；另外，施工的建筑垃圾常常堆放在现场，在有风的情况下，会使施工现场中尘土飞扬。项目在建设过程中自觉采取了一定措施，如对施工现场进行合理管理、沙料统一堆放、使用篷布遮盖堆放的物料，从而减轻了扬尘对周围环境带来的影响。</w:t>
            </w:r>
          </w:p>
          <w:p w14:paraId="3B187D6D">
            <w:pPr>
              <w:adjustRightInd w:val="0"/>
              <w:snapToGrid w:val="0"/>
              <w:spacing w:line="360" w:lineRule="auto"/>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（1）扬尘</w:t>
            </w:r>
          </w:p>
          <w:p w14:paraId="04E2C8D4">
            <w:pPr>
              <w:adjustRightInd w:val="0"/>
              <w:snapToGrid w:val="0"/>
              <w:spacing w:line="360" w:lineRule="auto"/>
              <w:ind w:firstLine="360" w:firstLineChars="15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施工产生的扬尘主要污染物为TSP， 不含有毒有害的特殊污染物质，呈无组织排放，产生量随施工强度及方式而定，会对施工环境有一定的污染。</w:t>
            </w:r>
          </w:p>
          <w:p w14:paraId="6BD9077F">
            <w:pPr>
              <w:adjustRightInd w:val="0"/>
              <w:snapToGrid w:val="0"/>
              <w:spacing w:line="360" w:lineRule="auto"/>
              <w:ind w:firstLine="360" w:firstLineChars="15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根据同类施工现场的实测资料，项目施工扬尘的影响范围集中于施工场地及下风向150m范围内。者不采取防治措施，在干燥和大风天气情况下，施工场地近地面粉尘会对施工场地周围及下风向150m范围内的大气环境产生影响。本项目150米范围内环境敏感点较多，因此施工期场尘对周围环境敏感点产生的一定的影响。为最大限度减小施工扬尘对环境敏感点及周边环境的影响，应采取下列相关防治措施:</w:t>
            </w:r>
          </w:p>
          <w:p w14:paraId="3A56061A">
            <w:pPr>
              <w:adjustRightInd w:val="0"/>
              <w:snapToGrid w:val="0"/>
              <w:spacing w:line="360" w:lineRule="auto"/>
              <w:ind w:firstLine="240" w:firstLineChars="10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①砂石料堆放点要相对集中，并采取洒水防尘措施，抑制扬尘量；混凝土搅拌影响相对封闭；</w:t>
            </w:r>
          </w:p>
          <w:p w14:paraId="40A34470">
            <w:pPr>
              <w:adjustRightInd w:val="0"/>
              <w:snapToGrid w:val="0"/>
              <w:spacing w:line="360" w:lineRule="auto"/>
              <w:ind w:firstLine="240" w:firstLineChars="10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②运输渣土、粉料车辆出场时必须采取覆盖措施，避免在运输过程中的抛洒现象；</w:t>
            </w:r>
          </w:p>
          <w:p w14:paraId="3C11FADE">
            <w:pPr>
              <w:adjustRightInd w:val="0"/>
              <w:snapToGrid w:val="0"/>
              <w:spacing w:line="360" w:lineRule="auto"/>
              <w:ind w:firstLine="240" w:firstLineChars="10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③选择对周围环境影响较小的运输路线，定时对运输路线进行清扫；</w:t>
            </w:r>
          </w:p>
          <w:p w14:paraId="6964F77A">
            <w:pPr>
              <w:adjustRightInd w:val="0"/>
              <w:snapToGrid w:val="0"/>
              <w:spacing w:line="360" w:lineRule="auto"/>
              <w:ind w:firstLine="240" w:firstLineChars="10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④在施工场地清理阶段，做到先洒水，后清扫，防止扬尘产生。</w:t>
            </w:r>
          </w:p>
          <w:p w14:paraId="64862B30">
            <w:pPr>
              <w:adjustRightInd w:val="0"/>
              <w:snapToGrid w:val="0"/>
              <w:spacing w:line="360" w:lineRule="auto"/>
              <w:ind w:firstLine="360" w:firstLineChars="15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施工方通过采取合理有效的环保措施，可最大限度地减缓扬尘等大气污染物对周围环境敏感点及周围环境空气质量的污染影响，且施工期对空气环境的影响具有断续性、短时性，随施工期的影响随之消失，严格采取上述措施，对区域空气质量影响较小。</w:t>
            </w:r>
          </w:p>
          <w:p w14:paraId="4498EC3E">
            <w:pPr>
              <w:adjustRightInd w:val="0"/>
              <w:snapToGrid w:val="0"/>
              <w:spacing w:line="360" w:lineRule="auto"/>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w:t>
            </w:r>
            <w:r>
              <w:rPr>
                <w:rFonts w:hint="eastAsia" w:ascii="宋体" w:hAnsi="宋体" w:eastAsia="宋体" w:cs="宋体"/>
                <w:color w:val="auto"/>
                <w:sz w:val="24"/>
                <w:szCs w:val="24"/>
              </w:rPr>
              <w:t>施工机械废气和运输车辆尾气</w:t>
            </w:r>
          </w:p>
          <w:p w14:paraId="6A070205">
            <w:pPr>
              <w:adjustRightInd w:val="0"/>
              <w:snapToGrid w:val="0"/>
              <w:spacing w:line="360" w:lineRule="auto"/>
              <w:ind w:firstLine="480" w:firstLineChars="200"/>
              <w:jc w:val="left"/>
              <w:textAlignment w:val="baseline"/>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施工机械和运输车辆主要使用汽油或柴油作能源，作业期间产生的尾气主要为CO、CH、NO</w:t>
            </w:r>
            <w:r>
              <w:rPr>
                <w:rFonts w:hint="eastAsia" w:ascii="宋体" w:hAnsi="宋体" w:cs="宋体"/>
                <w:b w:val="0"/>
                <w:bCs/>
                <w:color w:val="auto"/>
                <w:sz w:val="24"/>
                <w:szCs w:val="24"/>
                <w:u w:val="none"/>
                <w:vertAlign w:val="subscript"/>
                <w:lang w:val="en-US" w:eastAsia="zh-CN"/>
              </w:rPr>
              <w:t>2</w:t>
            </w:r>
            <w:r>
              <w:rPr>
                <w:rFonts w:hint="eastAsia" w:ascii="宋体" w:hAnsi="宋体" w:cs="宋体"/>
                <w:b w:val="0"/>
                <w:bCs/>
                <w:color w:val="auto"/>
                <w:sz w:val="24"/>
                <w:szCs w:val="24"/>
                <w:u w:val="none"/>
                <w:lang w:val="en-US" w:eastAsia="zh-CN"/>
              </w:rPr>
              <w:t>等，呈无组织排放，因项目施工范围不大，施工机器量少，其尾气产生量较小，在空气环境中经一定的距离自然扩散、稀释及绿化吸收后，对评价区域空气质量影响不大。</w:t>
            </w:r>
          </w:p>
          <w:p w14:paraId="16E5E698">
            <w:pPr>
              <w:adjustRightInd w:val="0"/>
              <w:snapToGrid w:val="0"/>
              <w:spacing w:line="360" w:lineRule="auto"/>
              <w:ind w:firstLine="480" w:firstLineChars="200"/>
              <w:jc w:val="left"/>
              <w:textAlignment w:val="baseline"/>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总之，施工期扬尘、尾气对环境空气的影响都属短期的、非连续性的影响。在采取相应措施后，施工场地的粉尘可以达到GB16297-96《大气污染物综合排放标准》中无组织排放的要求。项目施工期对环境空气的影响不大，随施工结束而消失。另外，部分施工机械设备产生的少量机械烟气，为无组织不连续排放，通过合理安排施工进度，缩短基础建设持续时间，采取一定的防治措施后，可有效减轻施工期对周围环境空气的不利影响。</w:t>
            </w:r>
          </w:p>
          <w:p w14:paraId="29F36485">
            <w:pPr>
              <w:adjustRightInd w:val="0"/>
              <w:snapToGrid w:val="0"/>
              <w:spacing w:line="360" w:lineRule="auto"/>
              <w:jc w:val="left"/>
              <w:textAlignment w:val="baseline"/>
              <w:rPr>
                <w:rFonts w:hint="eastAsia" w:ascii="宋体" w:hAnsi="宋体" w:cs="宋体"/>
                <w:b/>
                <w:bCs w:val="0"/>
                <w:color w:val="auto"/>
                <w:sz w:val="24"/>
                <w:szCs w:val="24"/>
                <w:u w:val="none"/>
                <w:lang w:val="en-US" w:eastAsia="zh-CN"/>
              </w:rPr>
            </w:pPr>
            <w:r>
              <w:rPr>
                <w:rFonts w:hint="eastAsia" w:ascii="宋体" w:hAnsi="宋体" w:cs="宋体"/>
                <w:b/>
                <w:bCs w:val="0"/>
                <w:color w:val="auto"/>
                <w:sz w:val="24"/>
                <w:szCs w:val="24"/>
                <w:u w:val="none"/>
                <w:lang w:val="en-US" w:eastAsia="zh-CN"/>
              </w:rPr>
              <w:t>2、水环境影响分析</w:t>
            </w:r>
          </w:p>
          <w:p w14:paraId="41926F7B">
            <w:pPr>
              <w:adjustRightInd w:val="0"/>
              <w:snapToGrid w:val="0"/>
              <w:spacing w:line="360" w:lineRule="auto"/>
              <w:ind w:firstLine="480" w:firstLineChars="200"/>
              <w:jc w:val="left"/>
              <w:textAlignment w:val="baseline"/>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由工程分析可知，项目施工工程量小、施工期短，施工期产生的生活污水量极少，经沉淀池处理后回用于项目施工场地洒水降尘。</w:t>
            </w:r>
          </w:p>
          <w:p w14:paraId="0691E285">
            <w:pPr>
              <w:adjustRightInd w:val="0"/>
              <w:snapToGrid w:val="0"/>
              <w:spacing w:line="360" w:lineRule="auto"/>
              <w:ind w:firstLine="480" w:firstLineChars="200"/>
              <w:jc w:val="left"/>
              <w:textAlignment w:val="baseline"/>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施工期施工废水主要为建筑施工废水，主要来自堆放的建筑垃圾、堆砂场被雨水冲刷产生的含泥沙污水，废水中的主要污染物为SS,废水的产生和排放为非连续，属间断排放。施工期产生的少量施工废水经沉淀处理后回用于项目区洒水降尘。另外在降水时，应用帆布遮盖水泥堆场等设施，从而减少暴雨径流的泥沙含量。</w:t>
            </w:r>
          </w:p>
          <w:p w14:paraId="3F6040D9">
            <w:pPr>
              <w:adjustRightInd w:val="0"/>
              <w:snapToGrid w:val="0"/>
              <w:spacing w:line="360" w:lineRule="auto"/>
              <w:ind w:firstLine="480" w:firstLineChars="200"/>
              <w:jc w:val="left"/>
              <w:textAlignment w:val="baseline"/>
              <w:rPr>
                <w:rFonts w:hint="eastAsia" w:ascii="宋体" w:hAnsi="宋体" w:cs="宋体"/>
                <w:b/>
                <w:bCs w:val="0"/>
                <w:color w:val="auto"/>
                <w:sz w:val="24"/>
                <w:szCs w:val="24"/>
                <w:u w:val="none"/>
                <w:lang w:val="en-US" w:eastAsia="zh-CN"/>
              </w:rPr>
            </w:pPr>
            <w:r>
              <w:rPr>
                <w:rFonts w:hint="eastAsia" w:ascii="宋体" w:hAnsi="宋体" w:cs="宋体"/>
                <w:b w:val="0"/>
                <w:bCs/>
                <w:color w:val="auto"/>
                <w:sz w:val="24"/>
                <w:szCs w:val="24"/>
                <w:u w:val="none"/>
                <w:lang w:val="en-US" w:eastAsia="zh-CN"/>
              </w:rPr>
              <w:t>由于项目工程量小，施工期短，施工影响为短期影响，随着施工结束后即可终止，因此本项目在采取了防治措施后，施工期废水不会对周围地表水体产生大的不利影响。</w:t>
            </w:r>
          </w:p>
          <w:p w14:paraId="57758217">
            <w:pPr>
              <w:numPr>
                <w:ilvl w:val="0"/>
                <w:numId w:val="10"/>
              </w:numPr>
              <w:adjustRightInd w:val="0"/>
              <w:snapToGrid w:val="0"/>
              <w:spacing w:line="360" w:lineRule="auto"/>
              <w:jc w:val="left"/>
              <w:textAlignment w:val="baseline"/>
              <w:rPr>
                <w:rFonts w:hint="eastAsia" w:ascii="宋体" w:hAnsi="宋体" w:cs="宋体"/>
                <w:b/>
                <w:bCs w:val="0"/>
                <w:color w:val="auto"/>
                <w:sz w:val="24"/>
                <w:szCs w:val="24"/>
                <w:u w:val="none"/>
                <w:lang w:val="en-US" w:eastAsia="zh-CN"/>
              </w:rPr>
            </w:pPr>
            <w:r>
              <w:rPr>
                <w:rFonts w:hint="eastAsia" w:ascii="宋体" w:hAnsi="宋体" w:cs="宋体"/>
                <w:b/>
                <w:bCs w:val="0"/>
                <w:color w:val="auto"/>
                <w:sz w:val="24"/>
                <w:szCs w:val="24"/>
                <w:u w:val="none"/>
                <w:lang w:val="en-US" w:eastAsia="zh-CN"/>
              </w:rPr>
              <w:t>声环境影响分析</w:t>
            </w:r>
          </w:p>
          <w:p w14:paraId="6A497A6F">
            <w:pPr>
              <w:numPr>
                <w:ilvl w:val="0"/>
                <w:numId w:val="0"/>
              </w:numPr>
              <w:adjustRightInd w:val="0"/>
              <w:snapToGrid w:val="0"/>
              <w:spacing w:line="360" w:lineRule="auto"/>
              <w:ind w:firstLine="480" w:firstLineChars="200"/>
              <w:jc w:val="left"/>
              <w:textAlignment w:val="baseline"/>
              <w:rPr>
                <w:rFonts w:hint="eastAsia" w:ascii="宋体" w:hAnsi="宋体" w:cs="宋体"/>
                <w:color w:val="auto"/>
                <w:sz w:val="24"/>
                <w:szCs w:val="24"/>
                <w:u w:val="none"/>
              </w:rPr>
            </w:pPr>
            <w:r>
              <w:rPr>
                <w:rFonts w:hint="eastAsia" w:ascii="宋体" w:hAnsi="宋体" w:cs="宋体"/>
                <w:color w:val="auto"/>
                <w:sz w:val="24"/>
                <w:szCs w:val="24"/>
                <w:u w:val="none"/>
              </w:rPr>
              <w:t>本项目施工噪声主要是来自施工时设备的运行噪声。</w:t>
            </w:r>
            <w:r>
              <w:rPr>
                <w:rFonts w:hint="eastAsia" w:ascii="宋体" w:hAnsi="宋体" w:cs="宋体"/>
                <w:color w:val="auto"/>
                <w:sz w:val="24"/>
                <w:szCs w:val="24"/>
                <w:u w:val="none"/>
                <w:lang w:eastAsia="zh-CN"/>
              </w:rPr>
              <w:t>噪声与各施工阶段所使用的机械类型、数量有关，施工期主要噪声源为推土机、运输车辆、铲车、电钻等；</w:t>
            </w:r>
            <w:r>
              <w:rPr>
                <w:rFonts w:hint="eastAsia" w:ascii="宋体" w:hAnsi="宋体" w:cs="宋体"/>
                <w:color w:val="auto"/>
                <w:sz w:val="24"/>
                <w:szCs w:val="24"/>
                <w:u w:val="none"/>
              </w:rPr>
              <w:t>施工</w:t>
            </w:r>
            <w:r>
              <w:rPr>
                <w:rFonts w:hint="eastAsia" w:ascii="宋体" w:hAnsi="宋体" w:cs="宋体"/>
                <w:color w:val="auto"/>
                <w:sz w:val="24"/>
                <w:szCs w:val="24"/>
                <w:u w:val="none"/>
                <w:lang w:eastAsia="zh-CN"/>
              </w:rPr>
              <w:t>期各</w:t>
            </w:r>
            <w:r>
              <w:rPr>
                <w:rFonts w:hint="eastAsia" w:ascii="宋体" w:hAnsi="宋体" w:cs="宋体"/>
                <w:color w:val="auto"/>
                <w:sz w:val="24"/>
                <w:szCs w:val="24"/>
                <w:u w:val="none"/>
              </w:rPr>
              <w:t>机械设备及噪声声级见表</w:t>
            </w:r>
            <w:r>
              <w:rPr>
                <w:rFonts w:hint="eastAsia" w:ascii="宋体" w:hAnsi="宋体" w:cs="宋体"/>
                <w:color w:val="auto"/>
                <w:sz w:val="24"/>
                <w:szCs w:val="24"/>
                <w:u w:val="none"/>
                <w:lang w:val="en-US" w:eastAsia="zh-CN"/>
              </w:rPr>
              <w:t>7-1</w:t>
            </w:r>
            <w:r>
              <w:rPr>
                <w:rFonts w:hint="eastAsia" w:ascii="宋体" w:hAnsi="宋体" w:cs="宋体"/>
                <w:color w:val="auto"/>
                <w:sz w:val="24"/>
                <w:szCs w:val="24"/>
                <w:u w:val="none"/>
              </w:rPr>
              <w:t>。</w:t>
            </w:r>
          </w:p>
          <w:p w14:paraId="01015FD9">
            <w:pPr>
              <w:spacing w:line="600" w:lineRule="exact"/>
              <w:ind w:firstLine="1446" w:firstLineChars="600"/>
              <w:jc w:val="left"/>
              <w:rPr>
                <w:rFonts w:hint="eastAsia" w:ascii="宋体" w:hAnsi="宋体" w:cs="宋体"/>
                <w:color w:val="auto"/>
                <w:sz w:val="24"/>
                <w:szCs w:val="24"/>
                <w:u w:val="none"/>
              </w:rPr>
            </w:pPr>
            <w:r>
              <w:rPr>
                <w:rFonts w:hint="eastAsia" w:ascii="宋体" w:hAnsi="宋体"/>
                <w:b/>
                <w:bCs/>
                <w:color w:val="auto"/>
                <w:sz w:val="24"/>
                <w:szCs w:val="24"/>
                <w:u w:val="none"/>
              </w:rPr>
              <w:t>表</w:t>
            </w:r>
            <w:r>
              <w:rPr>
                <w:rFonts w:hint="eastAsia" w:ascii="宋体" w:hAnsi="宋体"/>
                <w:b/>
                <w:bCs/>
                <w:color w:val="auto"/>
                <w:sz w:val="24"/>
                <w:szCs w:val="24"/>
                <w:u w:val="none"/>
                <w:lang w:val="en-US" w:eastAsia="zh-CN"/>
              </w:rPr>
              <w:t>7-1</w:t>
            </w:r>
            <w:r>
              <w:rPr>
                <w:rFonts w:hint="eastAsia" w:ascii="宋体" w:hAnsi="宋体"/>
                <w:b/>
                <w:bCs/>
                <w:color w:val="auto"/>
                <w:sz w:val="24"/>
                <w:szCs w:val="24"/>
                <w:u w:val="none"/>
              </w:rPr>
              <w:t xml:space="preserve"> 建筑施工机械噪声声源强度    单位：dB（A）</w:t>
            </w:r>
          </w:p>
          <w:tbl>
            <w:tblPr>
              <w:tblStyle w:val="2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2876"/>
              <w:gridCol w:w="2705"/>
            </w:tblGrid>
            <w:tr w14:paraId="2CD0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480" w:type="dxa"/>
                  <w:vAlign w:val="center"/>
                </w:tcPr>
                <w:p w14:paraId="59D285EB">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序号</w:t>
                  </w:r>
                </w:p>
              </w:tc>
              <w:tc>
                <w:tcPr>
                  <w:tcW w:w="2876" w:type="dxa"/>
                  <w:vAlign w:val="center"/>
                </w:tcPr>
                <w:p w14:paraId="4E216BC7">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施工机械</w:t>
                  </w:r>
                </w:p>
              </w:tc>
              <w:tc>
                <w:tcPr>
                  <w:tcW w:w="2705" w:type="dxa"/>
                  <w:vAlign w:val="center"/>
                </w:tcPr>
                <w:p w14:paraId="5AE27B68">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测量声级</w:t>
                  </w:r>
                </w:p>
              </w:tc>
            </w:tr>
            <w:tr w14:paraId="5D7D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480" w:type="dxa"/>
                  <w:vAlign w:val="center"/>
                </w:tcPr>
                <w:p w14:paraId="286D76D1">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1</w:t>
                  </w:r>
                </w:p>
              </w:tc>
              <w:tc>
                <w:tcPr>
                  <w:tcW w:w="2876" w:type="dxa"/>
                  <w:vAlign w:val="center"/>
                </w:tcPr>
                <w:p w14:paraId="647F05C8">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电钻</w:t>
                  </w:r>
                </w:p>
              </w:tc>
              <w:tc>
                <w:tcPr>
                  <w:tcW w:w="2705" w:type="dxa"/>
                  <w:vAlign w:val="center"/>
                </w:tcPr>
                <w:p w14:paraId="3814D83C">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80</w:t>
                  </w:r>
                </w:p>
              </w:tc>
            </w:tr>
            <w:tr w14:paraId="648D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80" w:type="dxa"/>
                  <w:vAlign w:val="center"/>
                </w:tcPr>
                <w:p w14:paraId="4A196B4A">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2</w:t>
                  </w:r>
                </w:p>
              </w:tc>
              <w:tc>
                <w:tcPr>
                  <w:tcW w:w="2876" w:type="dxa"/>
                  <w:vAlign w:val="center"/>
                </w:tcPr>
                <w:p w14:paraId="1D28C11D">
                  <w:pPr>
                    <w:adjustRightInd w:val="0"/>
                    <w:snapToGrid w:val="0"/>
                    <w:spacing w:line="240" w:lineRule="auto"/>
                    <w:jc w:val="center"/>
                    <w:rPr>
                      <w:rFonts w:hint="eastAsia" w:ascii="宋体" w:hAnsi="宋体" w:eastAsia="宋体"/>
                      <w:color w:val="auto"/>
                      <w:sz w:val="21"/>
                      <w:szCs w:val="21"/>
                      <w:u w:val="none"/>
                      <w:lang w:eastAsia="zh-CN"/>
                    </w:rPr>
                  </w:pPr>
                  <w:r>
                    <w:rPr>
                      <w:rFonts w:hint="eastAsia" w:ascii="宋体" w:hAnsi="宋体" w:cs="宋体"/>
                      <w:color w:val="auto"/>
                      <w:sz w:val="21"/>
                      <w:szCs w:val="21"/>
                      <w:u w:val="none"/>
                      <w:lang w:eastAsia="zh-CN"/>
                    </w:rPr>
                    <w:t>推土机</w:t>
                  </w:r>
                </w:p>
              </w:tc>
              <w:tc>
                <w:tcPr>
                  <w:tcW w:w="2705" w:type="dxa"/>
                  <w:vAlign w:val="center"/>
                </w:tcPr>
                <w:p w14:paraId="7CB6788D">
                  <w:pPr>
                    <w:adjustRightInd w:val="0"/>
                    <w:snapToGrid w:val="0"/>
                    <w:spacing w:line="240" w:lineRule="auto"/>
                    <w:jc w:val="center"/>
                    <w:rPr>
                      <w:rFonts w:hint="eastAsia" w:ascii="宋体" w:hAnsi="宋体" w:eastAsia="宋体"/>
                      <w:color w:val="auto"/>
                      <w:sz w:val="21"/>
                      <w:szCs w:val="21"/>
                      <w:u w:val="none"/>
                      <w:lang w:val="en-US" w:eastAsia="zh-CN"/>
                    </w:rPr>
                  </w:pPr>
                  <w:r>
                    <w:rPr>
                      <w:rFonts w:hint="eastAsia" w:ascii="宋体" w:hAnsi="宋体"/>
                      <w:color w:val="auto"/>
                      <w:sz w:val="21"/>
                      <w:szCs w:val="21"/>
                      <w:u w:val="none"/>
                      <w:lang w:val="en-US" w:eastAsia="zh-CN"/>
                    </w:rPr>
                    <w:t>80</w:t>
                  </w:r>
                </w:p>
              </w:tc>
            </w:tr>
            <w:tr w14:paraId="7AE5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80" w:type="dxa"/>
                  <w:vAlign w:val="center"/>
                </w:tcPr>
                <w:p w14:paraId="5AA45DD5">
                  <w:pPr>
                    <w:adjustRightInd w:val="0"/>
                    <w:snapToGrid w:val="0"/>
                    <w:spacing w:line="240" w:lineRule="auto"/>
                    <w:jc w:val="center"/>
                    <w:rPr>
                      <w:rFonts w:hint="eastAsia" w:ascii="宋体" w:hAnsi="宋体"/>
                      <w:color w:val="auto"/>
                      <w:sz w:val="21"/>
                      <w:szCs w:val="21"/>
                      <w:u w:val="none"/>
                    </w:rPr>
                  </w:pPr>
                  <w:r>
                    <w:rPr>
                      <w:rFonts w:hint="eastAsia" w:ascii="宋体" w:hAnsi="宋体"/>
                      <w:color w:val="auto"/>
                      <w:sz w:val="21"/>
                      <w:szCs w:val="21"/>
                      <w:u w:val="none"/>
                    </w:rPr>
                    <w:t>3</w:t>
                  </w:r>
                </w:p>
              </w:tc>
              <w:tc>
                <w:tcPr>
                  <w:tcW w:w="2876" w:type="dxa"/>
                  <w:vAlign w:val="center"/>
                </w:tcPr>
                <w:p w14:paraId="740F849E">
                  <w:pPr>
                    <w:adjustRightInd w:val="0"/>
                    <w:snapToGrid w:val="0"/>
                    <w:spacing w:line="240" w:lineRule="auto"/>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铲车</w:t>
                  </w:r>
                </w:p>
              </w:tc>
              <w:tc>
                <w:tcPr>
                  <w:tcW w:w="2705" w:type="dxa"/>
                  <w:vAlign w:val="center"/>
                </w:tcPr>
                <w:p w14:paraId="78801AAD">
                  <w:pPr>
                    <w:adjustRightInd w:val="0"/>
                    <w:snapToGrid w:val="0"/>
                    <w:spacing w:line="240" w:lineRule="auto"/>
                    <w:jc w:val="center"/>
                    <w:rPr>
                      <w:rFonts w:hint="eastAsia" w:ascii="宋体" w:hAnsi="宋体" w:eastAsia="宋体"/>
                      <w:color w:val="auto"/>
                      <w:sz w:val="21"/>
                      <w:szCs w:val="21"/>
                      <w:u w:val="none"/>
                      <w:lang w:val="en-US" w:eastAsia="zh-CN"/>
                    </w:rPr>
                  </w:pPr>
                  <w:r>
                    <w:rPr>
                      <w:rFonts w:hint="eastAsia" w:ascii="宋体" w:hAnsi="宋体"/>
                      <w:color w:val="auto"/>
                      <w:sz w:val="21"/>
                      <w:szCs w:val="21"/>
                      <w:u w:val="none"/>
                      <w:lang w:val="en-US" w:eastAsia="zh-CN"/>
                    </w:rPr>
                    <w:t>90</w:t>
                  </w:r>
                </w:p>
              </w:tc>
            </w:tr>
          </w:tbl>
          <w:p w14:paraId="447EA2BC">
            <w:pPr>
              <w:pStyle w:val="17"/>
              <w:spacing w:line="360" w:lineRule="auto"/>
              <w:ind w:firstLine="480" w:firstLineChars="200"/>
              <w:outlineLvl w:val="9"/>
              <w:rPr>
                <w:rFonts w:hint="eastAsia" w:ascii="宋体" w:hAnsi="宋体" w:eastAsia="宋体" w:cs="宋体"/>
                <w:b w:val="0"/>
                <w:bCs/>
                <w:color w:val="auto"/>
                <w:sz w:val="24"/>
                <w:szCs w:val="28"/>
                <w:highlight w:val="none"/>
                <w:u w:val="none" w:color="auto"/>
                <w:lang w:val="en-US" w:eastAsia="zh-CN"/>
              </w:rPr>
            </w:pPr>
            <w:r>
              <w:rPr>
                <w:rFonts w:hint="eastAsia" w:ascii="宋体" w:hAnsi="宋体" w:eastAsia="宋体" w:cs="宋体"/>
                <w:b w:val="0"/>
                <w:bCs/>
                <w:color w:val="auto"/>
                <w:sz w:val="24"/>
                <w:szCs w:val="28"/>
                <w:highlight w:val="none"/>
                <w:u w:val="none" w:color="auto"/>
              </w:rPr>
              <w:t>项目施工过程中，具体各种机械施工噪声测试结果如表7-1所示。  施工机械噪声可近似点声源处理，为了反映施工机械噪声对环境的影响，利用距</w:t>
            </w:r>
            <w:r>
              <w:rPr>
                <w:rFonts w:hint="eastAsia" w:ascii="宋体" w:hAnsi="宋体" w:eastAsia="宋体" w:cs="宋体"/>
                <w:b w:val="0"/>
                <w:bCs/>
                <w:color w:val="auto"/>
                <w:sz w:val="24"/>
                <w:szCs w:val="28"/>
                <w:highlight w:val="none"/>
                <w:u w:val="none" w:color="auto"/>
                <w:lang w:eastAsia="zh-CN"/>
              </w:rPr>
              <w:t>离</w:t>
            </w:r>
            <w:r>
              <w:rPr>
                <w:rFonts w:hint="eastAsia" w:ascii="宋体" w:hAnsi="宋体" w:eastAsia="宋体" w:cs="宋体"/>
                <w:b w:val="0"/>
                <w:bCs/>
                <w:color w:val="auto"/>
                <w:sz w:val="24"/>
                <w:szCs w:val="28"/>
                <w:highlight w:val="none"/>
                <w:u w:val="none" w:color="auto"/>
              </w:rPr>
              <w:t>传播衰减模式预测施机械噪声距离</w:t>
            </w:r>
            <w:r>
              <w:rPr>
                <w:rFonts w:hint="eastAsia" w:ascii="宋体" w:hAnsi="宋体" w:eastAsia="宋体" w:cs="宋体"/>
                <w:b w:val="0"/>
                <w:bCs/>
                <w:color w:val="auto"/>
                <w:sz w:val="24"/>
                <w:szCs w:val="28"/>
                <w:highlight w:val="none"/>
                <w:u w:val="none" w:color="auto"/>
                <w:lang w:eastAsia="zh-CN"/>
              </w:rPr>
              <w:t>厂</w:t>
            </w:r>
            <w:r>
              <w:rPr>
                <w:rFonts w:hint="eastAsia" w:ascii="宋体" w:hAnsi="宋体" w:eastAsia="宋体" w:cs="宋体"/>
                <w:b w:val="0"/>
                <w:bCs/>
                <w:color w:val="auto"/>
                <w:sz w:val="24"/>
                <w:szCs w:val="28"/>
                <w:highlight w:val="none"/>
                <w:u w:val="none" w:color="auto"/>
              </w:rPr>
              <w:t>界处的噪声值，采用预测模式计算距离传播衰减结果及叠加结果见表7</w:t>
            </w:r>
            <w:r>
              <w:rPr>
                <w:rFonts w:hint="eastAsia" w:ascii="宋体" w:hAnsi="宋体" w:eastAsia="宋体" w:cs="宋体"/>
                <w:b w:val="0"/>
                <w:bCs/>
                <w:color w:val="auto"/>
                <w:sz w:val="24"/>
                <w:szCs w:val="28"/>
                <w:highlight w:val="none"/>
                <w:u w:val="none" w:color="auto"/>
                <w:lang w:val="en-US" w:eastAsia="zh-CN"/>
              </w:rPr>
              <w:t>-</w:t>
            </w:r>
            <w:r>
              <w:rPr>
                <w:rFonts w:hint="eastAsia" w:ascii="宋体" w:hAnsi="宋体" w:eastAsia="宋体" w:cs="宋体"/>
                <w:b w:val="0"/>
                <w:bCs/>
                <w:color w:val="auto"/>
                <w:sz w:val="24"/>
                <w:szCs w:val="28"/>
                <w:highlight w:val="none"/>
                <w:u w:val="none" w:color="auto"/>
              </w:rPr>
              <w:t>2</w:t>
            </w:r>
            <w:r>
              <w:rPr>
                <w:rFonts w:hint="eastAsia" w:ascii="宋体" w:hAnsi="宋体" w:eastAsia="宋体" w:cs="宋体"/>
                <w:b w:val="0"/>
                <w:bCs/>
                <w:color w:val="auto"/>
                <w:sz w:val="24"/>
                <w:szCs w:val="28"/>
                <w:highlight w:val="none"/>
                <w:u w:val="none" w:color="auto"/>
                <w:lang w:eastAsia="zh-CN"/>
              </w:rPr>
              <w:t>。</w:t>
            </w:r>
          </w:p>
          <w:p w14:paraId="3FDB8801">
            <w:pPr>
              <w:pStyle w:val="17"/>
              <w:spacing w:line="360" w:lineRule="auto"/>
              <w:ind w:firstLine="1928" w:firstLineChars="800"/>
              <w:outlineLvl w:val="9"/>
              <w:rPr>
                <w:rFonts w:hint="eastAsia" w:ascii="宋体" w:hAnsi="宋体" w:eastAsia="宋体" w:cs="宋体"/>
                <w:b/>
                <w:color w:val="auto"/>
                <w:sz w:val="24"/>
                <w:szCs w:val="28"/>
                <w:highlight w:val="none"/>
                <w:u w:val="none" w:color="auto"/>
                <w:lang w:val="en-US" w:eastAsia="zh-CN"/>
              </w:rPr>
            </w:pPr>
            <w:r>
              <w:rPr>
                <w:rFonts w:hint="eastAsia" w:ascii="宋体" w:hAnsi="宋体" w:eastAsia="宋体" w:cs="宋体"/>
                <w:b/>
                <w:color w:val="auto"/>
                <w:sz w:val="24"/>
                <w:szCs w:val="28"/>
                <w:highlight w:val="none"/>
                <w:u w:val="none" w:color="auto"/>
                <w:lang w:eastAsia="zh-CN"/>
              </w:rPr>
              <w:t>表</w:t>
            </w:r>
            <w:r>
              <w:rPr>
                <w:rFonts w:hint="eastAsia" w:ascii="宋体" w:hAnsi="宋体" w:eastAsia="宋体" w:cs="宋体"/>
                <w:b/>
                <w:color w:val="auto"/>
                <w:sz w:val="24"/>
                <w:szCs w:val="28"/>
                <w:highlight w:val="none"/>
                <w:u w:val="none" w:color="auto"/>
                <w:lang w:val="en-US" w:eastAsia="zh-CN"/>
              </w:rPr>
              <w:t xml:space="preserve">7-2距声源不同距离出的声级  </w:t>
            </w:r>
            <w:r>
              <w:rPr>
                <w:rFonts w:hint="eastAsia" w:ascii="宋体" w:hAnsi="宋体"/>
                <w:b/>
                <w:bCs/>
                <w:color w:val="auto"/>
                <w:sz w:val="24"/>
                <w:szCs w:val="24"/>
                <w:u w:val="none"/>
              </w:rPr>
              <w:t>单位：dB（A）</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904"/>
              <w:gridCol w:w="920"/>
              <w:gridCol w:w="919"/>
              <w:gridCol w:w="906"/>
              <w:gridCol w:w="874"/>
              <w:gridCol w:w="934"/>
              <w:gridCol w:w="919"/>
              <w:gridCol w:w="834"/>
            </w:tblGrid>
            <w:tr w14:paraId="0D4C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top"/>
                </w:tcPr>
                <w:p w14:paraId="66289D59">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设备名称</w:t>
                  </w:r>
                </w:p>
              </w:tc>
              <w:tc>
                <w:tcPr>
                  <w:tcW w:w="904" w:type="dxa"/>
                  <w:vAlign w:val="top"/>
                </w:tcPr>
                <w:p w14:paraId="1988BCDE">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5m</w:t>
                  </w:r>
                </w:p>
              </w:tc>
              <w:tc>
                <w:tcPr>
                  <w:tcW w:w="920" w:type="dxa"/>
                  <w:vAlign w:val="top"/>
                </w:tcPr>
                <w:p w14:paraId="791DF206">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10m</w:t>
                  </w:r>
                </w:p>
              </w:tc>
              <w:tc>
                <w:tcPr>
                  <w:tcW w:w="919" w:type="dxa"/>
                  <w:vAlign w:val="top"/>
                </w:tcPr>
                <w:p w14:paraId="7137E2AF">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15m</w:t>
                  </w:r>
                </w:p>
              </w:tc>
              <w:tc>
                <w:tcPr>
                  <w:tcW w:w="906" w:type="dxa"/>
                  <w:vAlign w:val="top"/>
                </w:tcPr>
                <w:p w14:paraId="6C68FEB2">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20m</w:t>
                  </w:r>
                </w:p>
              </w:tc>
              <w:tc>
                <w:tcPr>
                  <w:tcW w:w="874" w:type="dxa"/>
                  <w:vAlign w:val="top"/>
                </w:tcPr>
                <w:p w14:paraId="4FE4EB97">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25m</w:t>
                  </w:r>
                </w:p>
              </w:tc>
              <w:tc>
                <w:tcPr>
                  <w:tcW w:w="934" w:type="dxa"/>
                  <w:vAlign w:val="top"/>
                </w:tcPr>
                <w:p w14:paraId="7DFBFE09">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35m</w:t>
                  </w:r>
                </w:p>
              </w:tc>
              <w:tc>
                <w:tcPr>
                  <w:tcW w:w="919" w:type="dxa"/>
                  <w:vAlign w:val="top"/>
                </w:tcPr>
                <w:p w14:paraId="33F1C207">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50m</w:t>
                  </w:r>
                </w:p>
              </w:tc>
              <w:tc>
                <w:tcPr>
                  <w:tcW w:w="834" w:type="dxa"/>
                  <w:vAlign w:val="top"/>
                </w:tcPr>
                <w:p w14:paraId="361233E9">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100m</w:t>
                  </w:r>
                </w:p>
              </w:tc>
            </w:tr>
            <w:tr w14:paraId="536E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top"/>
                </w:tcPr>
                <w:p w14:paraId="3DABC6E4">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推土机</w:t>
                  </w:r>
                </w:p>
              </w:tc>
              <w:tc>
                <w:tcPr>
                  <w:tcW w:w="904" w:type="dxa"/>
                  <w:vAlign w:val="top"/>
                </w:tcPr>
                <w:p w14:paraId="445CDCCD">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66</w:t>
                  </w:r>
                </w:p>
              </w:tc>
              <w:tc>
                <w:tcPr>
                  <w:tcW w:w="920" w:type="dxa"/>
                  <w:vAlign w:val="top"/>
                </w:tcPr>
                <w:p w14:paraId="10D79885">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60</w:t>
                  </w:r>
                </w:p>
              </w:tc>
              <w:tc>
                <w:tcPr>
                  <w:tcW w:w="919" w:type="dxa"/>
                  <w:vAlign w:val="top"/>
                </w:tcPr>
                <w:p w14:paraId="1F8AFCC8">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56</w:t>
                  </w:r>
                </w:p>
              </w:tc>
              <w:tc>
                <w:tcPr>
                  <w:tcW w:w="906" w:type="dxa"/>
                  <w:vAlign w:val="top"/>
                </w:tcPr>
                <w:p w14:paraId="6C29F331">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54</w:t>
                  </w:r>
                </w:p>
              </w:tc>
              <w:tc>
                <w:tcPr>
                  <w:tcW w:w="874" w:type="dxa"/>
                  <w:vAlign w:val="top"/>
                </w:tcPr>
                <w:p w14:paraId="48FA9AA4">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52</w:t>
                  </w:r>
                </w:p>
              </w:tc>
              <w:tc>
                <w:tcPr>
                  <w:tcW w:w="934" w:type="dxa"/>
                  <w:vAlign w:val="top"/>
                </w:tcPr>
                <w:p w14:paraId="6C43154E">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49</w:t>
                  </w:r>
                </w:p>
              </w:tc>
              <w:tc>
                <w:tcPr>
                  <w:tcW w:w="919" w:type="dxa"/>
                  <w:vAlign w:val="top"/>
                </w:tcPr>
                <w:p w14:paraId="635765DC">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46</w:t>
                  </w:r>
                </w:p>
              </w:tc>
              <w:tc>
                <w:tcPr>
                  <w:tcW w:w="834" w:type="dxa"/>
                  <w:vAlign w:val="top"/>
                </w:tcPr>
                <w:p w14:paraId="2A8B93EA">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40</w:t>
                  </w:r>
                </w:p>
              </w:tc>
            </w:tr>
            <w:tr w14:paraId="4573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top"/>
                </w:tcPr>
                <w:p w14:paraId="0C3DEC05">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铲车</w:t>
                  </w:r>
                </w:p>
              </w:tc>
              <w:tc>
                <w:tcPr>
                  <w:tcW w:w="904" w:type="dxa"/>
                  <w:vAlign w:val="top"/>
                </w:tcPr>
                <w:p w14:paraId="63087A23">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76</w:t>
                  </w:r>
                </w:p>
              </w:tc>
              <w:tc>
                <w:tcPr>
                  <w:tcW w:w="920" w:type="dxa"/>
                  <w:vAlign w:val="top"/>
                </w:tcPr>
                <w:p w14:paraId="09FF1401">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70</w:t>
                  </w:r>
                </w:p>
              </w:tc>
              <w:tc>
                <w:tcPr>
                  <w:tcW w:w="919" w:type="dxa"/>
                  <w:vAlign w:val="top"/>
                </w:tcPr>
                <w:p w14:paraId="275A6D33">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66</w:t>
                  </w:r>
                </w:p>
              </w:tc>
              <w:tc>
                <w:tcPr>
                  <w:tcW w:w="906" w:type="dxa"/>
                  <w:vAlign w:val="top"/>
                </w:tcPr>
                <w:p w14:paraId="779B1E13">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64</w:t>
                  </w:r>
                </w:p>
              </w:tc>
              <w:tc>
                <w:tcPr>
                  <w:tcW w:w="874" w:type="dxa"/>
                  <w:vAlign w:val="top"/>
                </w:tcPr>
                <w:p w14:paraId="5D6AF00C">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62</w:t>
                  </w:r>
                </w:p>
              </w:tc>
              <w:tc>
                <w:tcPr>
                  <w:tcW w:w="934" w:type="dxa"/>
                  <w:vAlign w:val="top"/>
                </w:tcPr>
                <w:p w14:paraId="435693A6">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59</w:t>
                  </w:r>
                </w:p>
              </w:tc>
              <w:tc>
                <w:tcPr>
                  <w:tcW w:w="919" w:type="dxa"/>
                  <w:vAlign w:val="top"/>
                </w:tcPr>
                <w:p w14:paraId="439EAB1A">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56</w:t>
                  </w:r>
                </w:p>
              </w:tc>
              <w:tc>
                <w:tcPr>
                  <w:tcW w:w="834" w:type="dxa"/>
                  <w:vAlign w:val="top"/>
                </w:tcPr>
                <w:p w14:paraId="40F6AE91">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50</w:t>
                  </w:r>
                </w:p>
              </w:tc>
            </w:tr>
            <w:tr w14:paraId="4D2D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851" w:type="dxa"/>
                  <w:vAlign w:val="top"/>
                </w:tcPr>
                <w:p w14:paraId="77751D61">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电钻</w:t>
                  </w:r>
                </w:p>
              </w:tc>
              <w:tc>
                <w:tcPr>
                  <w:tcW w:w="904" w:type="dxa"/>
                  <w:vAlign w:val="top"/>
                </w:tcPr>
                <w:p w14:paraId="50B3C87D">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66</w:t>
                  </w:r>
                </w:p>
              </w:tc>
              <w:tc>
                <w:tcPr>
                  <w:tcW w:w="920" w:type="dxa"/>
                  <w:vAlign w:val="top"/>
                </w:tcPr>
                <w:p w14:paraId="65FEE51F">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60</w:t>
                  </w:r>
                </w:p>
              </w:tc>
              <w:tc>
                <w:tcPr>
                  <w:tcW w:w="919" w:type="dxa"/>
                  <w:vAlign w:val="top"/>
                </w:tcPr>
                <w:p w14:paraId="4BE3E158">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56</w:t>
                  </w:r>
                </w:p>
              </w:tc>
              <w:tc>
                <w:tcPr>
                  <w:tcW w:w="906" w:type="dxa"/>
                  <w:vAlign w:val="top"/>
                </w:tcPr>
                <w:p w14:paraId="1E0F5500">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54</w:t>
                  </w:r>
                </w:p>
              </w:tc>
              <w:tc>
                <w:tcPr>
                  <w:tcW w:w="874" w:type="dxa"/>
                  <w:vAlign w:val="top"/>
                </w:tcPr>
                <w:p w14:paraId="36B2C2F3">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52</w:t>
                  </w:r>
                </w:p>
              </w:tc>
              <w:tc>
                <w:tcPr>
                  <w:tcW w:w="934" w:type="dxa"/>
                  <w:vAlign w:val="top"/>
                </w:tcPr>
                <w:p w14:paraId="08900359">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49</w:t>
                  </w:r>
                </w:p>
              </w:tc>
              <w:tc>
                <w:tcPr>
                  <w:tcW w:w="919" w:type="dxa"/>
                  <w:vAlign w:val="top"/>
                </w:tcPr>
                <w:p w14:paraId="09660A7A">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46</w:t>
                  </w:r>
                </w:p>
              </w:tc>
              <w:tc>
                <w:tcPr>
                  <w:tcW w:w="834" w:type="dxa"/>
                  <w:vAlign w:val="top"/>
                </w:tcPr>
                <w:p w14:paraId="1077CF6D">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40</w:t>
                  </w:r>
                </w:p>
              </w:tc>
            </w:tr>
            <w:tr w14:paraId="42E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top"/>
                </w:tcPr>
                <w:p w14:paraId="5DE08AFA">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多声源叠加价值</w:t>
                  </w:r>
                </w:p>
              </w:tc>
              <w:tc>
                <w:tcPr>
                  <w:tcW w:w="904" w:type="dxa"/>
                  <w:vAlign w:val="top"/>
                </w:tcPr>
                <w:p w14:paraId="37AC7FC8">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76.8</w:t>
                  </w:r>
                </w:p>
              </w:tc>
              <w:tc>
                <w:tcPr>
                  <w:tcW w:w="920" w:type="dxa"/>
                  <w:vAlign w:val="top"/>
                </w:tcPr>
                <w:p w14:paraId="0230E7E6">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70.8</w:t>
                  </w:r>
                </w:p>
              </w:tc>
              <w:tc>
                <w:tcPr>
                  <w:tcW w:w="919" w:type="dxa"/>
                  <w:vAlign w:val="top"/>
                </w:tcPr>
                <w:p w14:paraId="03208B64">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66.8</w:t>
                  </w:r>
                </w:p>
              </w:tc>
              <w:tc>
                <w:tcPr>
                  <w:tcW w:w="906" w:type="dxa"/>
                  <w:vAlign w:val="top"/>
                </w:tcPr>
                <w:p w14:paraId="67C74501">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64.8</w:t>
                  </w:r>
                </w:p>
              </w:tc>
              <w:tc>
                <w:tcPr>
                  <w:tcW w:w="874" w:type="dxa"/>
                  <w:vAlign w:val="top"/>
                </w:tcPr>
                <w:p w14:paraId="44AAF83C">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62.8</w:t>
                  </w:r>
                </w:p>
              </w:tc>
              <w:tc>
                <w:tcPr>
                  <w:tcW w:w="934" w:type="dxa"/>
                  <w:vAlign w:val="top"/>
                </w:tcPr>
                <w:p w14:paraId="55C8CA12">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59.8</w:t>
                  </w:r>
                </w:p>
              </w:tc>
              <w:tc>
                <w:tcPr>
                  <w:tcW w:w="919" w:type="dxa"/>
                  <w:vAlign w:val="top"/>
                </w:tcPr>
                <w:p w14:paraId="44A6B0D3">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56.8</w:t>
                  </w:r>
                </w:p>
              </w:tc>
              <w:tc>
                <w:tcPr>
                  <w:tcW w:w="834" w:type="dxa"/>
                  <w:vAlign w:val="top"/>
                </w:tcPr>
                <w:p w14:paraId="57DCBC25">
                  <w:pPr>
                    <w:pStyle w:val="17"/>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50.8</w:t>
                  </w:r>
                </w:p>
              </w:tc>
            </w:tr>
          </w:tbl>
          <w:p w14:paraId="400D89B9">
            <w:pPr>
              <w:keepNext w:val="0"/>
              <w:keepLines w:val="0"/>
              <w:widowControl/>
              <w:suppressLineNumbers w:val="0"/>
              <w:spacing w:line="360" w:lineRule="auto"/>
              <w:ind w:firstLine="480" w:firstLineChars="200"/>
              <w:jc w:val="left"/>
              <w:rPr>
                <w:color w:val="auto"/>
                <w:sz w:val="24"/>
                <w:szCs w:val="24"/>
                <w:u w:val="none" w:color="auto"/>
              </w:rPr>
            </w:pPr>
            <w:r>
              <w:rPr>
                <w:rFonts w:ascii="宋体" w:hAnsi="宋体" w:eastAsia="宋体" w:cs="宋体"/>
                <w:color w:val="auto"/>
                <w:kern w:val="0"/>
                <w:sz w:val="24"/>
                <w:szCs w:val="24"/>
                <w:u w:val="none" w:color="auto"/>
                <w:lang w:val="en-US" w:eastAsia="zh-CN" w:bidi="ar"/>
              </w:rPr>
              <w:t>以上施工期噪</w:t>
            </w:r>
            <w:r>
              <w:rPr>
                <w:rFonts w:hint="eastAsia" w:ascii="宋体" w:hAnsi="宋体" w:cs="宋体"/>
                <w:color w:val="auto"/>
                <w:kern w:val="0"/>
                <w:sz w:val="24"/>
                <w:szCs w:val="24"/>
                <w:u w:val="none" w:color="auto"/>
                <w:lang w:val="en-US" w:eastAsia="zh-CN" w:bidi="ar"/>
              </w:rPr>
              <w:t>声</w:t>
            </w:r>
            <w:r>
              <w:rPr>
                <w:rFonts w:ascii="宋体" w:hAnsi="宋体" w:eastAsia="宋体" w:cs="宋体"/>
                <w:color w:val="auto"/>
                <w:kern w:val="0"/>
                <w:sz w:val="24"/>
                <w:szCs w:val="24"/>
                <w:u w:val="none" w:color="auto"/>
                <w:lang w:val="en-US" w:eastAsia="zh-CN" w:bidi="ar"/>
              </w:rPr>
              <w:t>预测的施工机械噪声贡献值是在不考虑障碍物</w:t>
            </w:r>
            <w:r>
              <w:rPr>
                <w:rFonts w:hint="eastAsia" w:ascii="宋体" w:hAnsi="宋体" w:cs="宋体"/>
                <w:color w:val="auto"/>
                <w:kern w:val="0"/>
                <w:sz w:val="24"/>
                <w:szCs w:val="24"/>
                <w:u w:val="none" w:color="auto"/>
                <w:lang w:val="en-US" w:eastAsia="zh-CN" w:bidi="ar"/>
              </w:rPr>
              <w:t>遮</w:t>
            </w:r>
            <w:r>
              <w:rPr>
                <w:rFonts w:ascii="宋体" w:hAnsi="宋体" w:eastAsia="宋体" w:cs="宋体"/>
                <w:color w:val="auto"/>
                <w:kern w:val="0"/>
                <w:sz w:val="24"/>
                <w:szCs w:val="24"/>
                <w:u w:val="none" w:color="auto"/>
                <w:lang w:val="en-US" w:eastAsia="zh-CN" w:bidi="ar"/>
              </w:rPr>
              <w:t>挡、空气吸收等</w:t>
            </w:r>
            <w:r>
              <w:rPr>
                <w:rFonts w:hint="eastAsia" w:ascii="宋体" w:hAnsi="宋体" w:cs="宋体"/>
                <w:color w:val="auto"/>
                <w:kern w:val="0"/>
                <w:sz w:val="24"/>
                <w:szCs w:val="24"/>
                <w:u w:val="none" w:color="auto"/>
                <w:lang w:val="en-US" w:eastAsia="zh-CN" w:bidi="ar"/>
              </w:rPr>
              <w:t>对</w:t>
            </w:r>
            <w:r>
              <w:rPr>
                <w:rFonts w:ascii="宋体" w:hAnsi="宋体" w:eastAsia="宋体" w:cs="宋体"/>
                <w:color w:val="auto"/>
                <w:kern w:val="0"/>
                <w:sz w:val="24"/>
                <w:szCs w:val="24"/>
                <w:u w:val="none" w:color="auto"/>
                <w:lang w:val="en-US" w:eastAsia="zh-CN" w:bidi="ar"/>
              </w:rPr>
              <w:t>噪声的吸收</w:t>
            </w:r>
            <w:r>
              <w:rPr>
                <w:rFonts w:hint="eastAsia" w:ascii="宋体" w:hAnsi="宋体" w:cs="宋体"/>
                <w:color w:val="auto"/>
                <w:kern w:val="0"/>
                <w:sz w:val="24"/>
                <w:szCs w:val="24"/>
                <w:u w:val="none" w:color="auto"/>
                <w:lang w:val="en-US" w:eastAsia="zh-CN" w:bidi="ar"/>
              </w:rPr>
              <w:t>衰减</w:t>
            </w:r>
            <w:r>
              <w:rPr>
                <w:rFonts w:ascii="宋体" w:hAnsi="宋体" w:eastAsia="宋体" w:cs="宋体"/>
                <w:color w:val="auto"/>
                <w:kern w:val="0"/>
                <w:sz w:val="24"/>
                <w:szCs w:val="24"/>
                <w:u w:val="none" w:color="auto"/>
                <w:lang w:val="en-US" w:eastAsia="zh-CN" w:bidi="ar"/>
              </w:rPr>
              <w:t>情况下的噪声值，若考虑障碍物遮挡、空气吸收等对噪声的吸收</w:t>
            </w:r>
            <w:r>
              <w:rPr>
                <w:rFonts w:hint="eastAsia" w:ascii="宋体" w:hAnsi="宋体" w:cs="宋体"/>
                <w:color w:val="auto"/>
                <w:kern w:val="0"/>
                <w:sz w:val="24"/>
                <w:szCs w:val="24"/>
                <w:u w:val="none" w:color="auto"/>
                <w:lang w:val="en-US" w:eastAsia="zh-CN" w:bidi="ar"/>
              </w:rPr>
              <w:t>衰减</w:t>
            </w:r>
            <w:r>
              <w:rPr>
                <w:rFonts w:ascii="宋体" w:hAnsi="宋体" w:eastAsia="宋体" w:cs="宋体"/>
                <w:color w:val="auto"/>
                <w:kern w:val="0"/>
                <w:sz w:val="24"/>
                <w:szCs w:val="24"/>
                <w:u w:val="none" w:color="auto"/>
                <w:lang w:val="en-US" w:eastAsia="zh-CN" w:bidi="ar"/>
              </w:rPr>
              <w:t>，吸收衰</w:t>
            </w:r>
            <w:r>
              <w:rPr>
                <w:rFonts w:hint="eastAsia" w:ascii="宋体" w:hAnsi="宋体" w:cs="宋体"/>
                <w:color w:val="auto"/>
                <w:kern w:val="0"/>
                <w:sz w:val="24"/>
                <w:szCs w:val="24"/>
                <w:u w:val="none" w:color="auto"/>
                <w:lang w:val="en-US" w:eastAsia="zh-CN" w:bidi="ar"/>
              </w:rPr>
              <w:t>减</w:t>
            </w:r>
            <w:r>
              <w:rPr>
                <w:rFonts w:ascii="宋体" w:hAnsi="宋体" w:eastAsia="宋体" w:cs="宋体"/>
                <w:color w:val="auto"/>
                <w:kern w:val="0"/>
                <w:sz w:val="24"/>
                <w:szCs w:val="24"/>
                <w:u w:val="none" w:color="auto"/>
                <w:lang w:val="en-US" w:eastAsia="zh-CN" w:bidi="ar"/>
              </w:rPr>
              <w:t>值大概为10dB</w:t>
            </w:r>
            <w:r>
              <w:rPr>
                <w:rFonts w:hint="eastAsia" w:ascii="宋体" w:hAnsi="宋体" w:cs="宋体"/>
                <w:color w:val="auto"/>
                <w:kern w:val="0"/>
                <w:sz w:val="24"/>
                <w:szCs w:val="24"/>
                <w:u w:val="none" w:color="auto"/>
                <w:lang w:val="en-US" w:eastAsia="zh-CN" w:bidi="ar"/>
              </w:rPr>
              <w:t>~</w:t>
            </w:r>
            <w:r>
              <w:rPr>
                <w:rFonts w:ascii="宋体" w:hAnsi="宋体" w:eastAsia="宋体" w:cs="宋体"/>
                <w:color w:val="auto"/>
                <w:kern w:val="0"/>
                <w:sz w:val="24"/>
                <w:szCs w:val="24"/>
                <w:u w:val="none" w:color="auto"/>
                <w:lang w:val="en-US" w:eastAsia="zh-CN" w:bidi="ar"/>
              </w:rPr>
              <w:t>20dB</w:t>
            </w:r>
            <w:r>
              <w:rPr>
                <w:rFonts w:hint="eastAsia" w:ascii="宋体" w:hAnsi="宋体" w:cs="宋体"/>
                <w:color w:val="auto"/>
                <w:kern w:val="0"/>
                <w:sz w:val="24"/>
                <w:szCs w:val="24"/>
                <w:u w:val="none" w:color="auto"/>
                <w:lang w:val="en-US" w:eastAsia="zh-CN" w:bidi="ar"/>
              </w:rPr>
              <w:t>。</w:t>
            </w:r>
            <w:r>
              <w:rPr>
                <w:rFonts w:ascii="宋体" w:hAnsi="宋体" w:eastAsia="宋体" w:cs="宋体"/>
                <w:color w:val="auto"/>
                <w:kern w:val="0"/>
                <w:sz w:val="24"/>
                <w:szCs w:val="24"/>
                <w:u w:val="none" w:color="auto"/>
                <w:lang w:val="en-US" w:eastAsia="zh-CN" w:bidi="ar"/>
              </w:rPr>
              <w:t>本项目取10dB</w:t>
            </w:r>
            <w:r>
              <w:rPr>
                <w:rFonts w:hint="eastAsia" w:ascii="宋体" w:hAnsi="宋体" w:cs="宋体"/>
                <w:color w:val="auto"/>
                <w:kern w:val="0"/>
                <w:sz w:val="24"/>
                <w:szCs w:val="24"/>
                <w:u w:val="none" w:color="auto"/>
                <w:lang w:val="en-US" w:eastAsia="zh-CN" w:bidi="ar"/>
              </w:rPr>
              <w:t>。</w:t>
            </w:r>
            <w:r>
              <w:rPr>
                <w:rFonts w:ascii="宋体" w:hAnsi="宋体" w:eastAsia="宋体" w:cs="宋体"/>
                <w:color w:val="auto"/>
                <w:kern w:val="0"/>
                <w:sz w:val="24"/>
                <w:szCs w:val="24"/>
                <w:u w:val="none" w:color="auto"/>
                <w:lang w:val="en-US" w:eastAsia="zh-CN" w:bidi="ar"/>
              </w:rPr>
              <w:t>结合上表可以看出，本项目施工</w:t>
            </w:r>
            <w:r>
              <w:rPr>
                <w:rFonts w:hint="eastAsia" w:ascii="宋体" w:hAnsi="宋体" w:cs="宋体"/>
                <w:color w:val="auto"/>
                <w:kern w:val="0"/>
                <w:sz w:val="24"/>
                <w:szCs w:val="24"/>
                <w:u w:val="none" w:color="auto"/>
                <w:lang w:val="en-US" w:eastAsia="zh-CN" w:bidi="ar"/>
              </w:rPr>
              <w:t>期</w:t>
            </w:r>
            <w:r>
              <w:rPr>
                <w:rFonts w:ascii="宋体" w:hAnsi="宋体" w:eastAsia="宋体" w:cs="宋体"/>
                <w:color w:val="auto"/>
                <w:kern w:val="0"/>
                <w:sz w:val="24"/>
                <w:szCs w:val="24"/>
                <w:u w:val="none" w:color="auto"/>
                <w:lang w:val="en-US" w:eastAsia="zh-CN" w:bidi="ar"/>
              </w:rPr>
              <w:t>间产生的施工噪声</w:t>
            </w:r>
            <w:r>
              <w:rPr>
                <w:rFonts w:hint="eastAsia" w:ascii="宋体" w:hAnsi="宋体" w:cs="宋体"/>
                <w:color w:val="auto"/>
                <w:kern w:val="0"/>
                <w:sz w:val="24"/>
                <w:szCs w:val="24"/>
                <w:u w:val="none" w:color="auto"/>
                <w:lang w:val="en-US" w:eastAsia="zh-CN" w:bidi="ar"/>
              </w:rPr>
              <w:t>昼</w:t>
            </w:r>
            <w:r>
              <w:rPr>
                <w:rFonts w:ascii="宋体" w:hAnsi="宋体" w:eastAsia="宋体" w:cs="宋体"/>
                <w:color w:val="auto"/>
                <w:kern w:val="0"/>
                <w:sz w:val="24"/>
                <w:szCs w:val="24"/>
                <w:u w:val="none" w:color="auto"/>
                <w:lang w:val="en-US" w:eastAsia="zh-CN" w:bidi="ar"/>
              </w:rPr>
              <w:t>间在距离噪声源</w:t>
            </w:r>
            <w:r>
              <w:rPr>
                <w:rFonts w:hint="eastAsia" w:ascii="宋体" w:hAnsi="宋体" w:cs="宋体"/>
                <w:color w:val="auto"/>
                <w:kern w:val="0"/>
                <w:sz w:val="24"/>
                <w:szCs w:val="24"/>
                <w:u w:val="none" w:color="auto"/>
                <w:lang w:val="en-US" w:eastAsia="zh-CN" w:bidi="ar"/>
              </w:rPr>
              <w:t>5</w:t>
            </w:r>
            <w:r>
              <w:rPr>
                <w:rFonts w:ascii="宋体" w:hAnsi="宋体" w:eastAsia="宋体" w:cs="宋体"/>
                <w:color w:val="auto"/>
                <w:kern w:val="0"/>
                <w:sz w:val="24"/>
                <w:szCs w:val="24"/>
                <w:u w:val="none" w:color="auto"/>
                <w:lang w:val="en-US" w:eastAsia="zh-CN" w:bidi="ar"/>
              </w:rPr>
              <w:t>m处，夜间在距离噪声源</w:t>
            </w:r>
            <w:r>
              <w:rPr>
                <w:rFonts w:hint="eastAsia" w:ascii="宋体" w:hAnsi="宋体" w:cs="宋体"/>
                <w:color w:val="auto"/>
                <w:kern w:val="0"/>
                <w:sz w:val="24"/>
                <w:szCs w:val="24"/>
                <w:u w:val="none" w:color="auto"/>
                <w:lang w:val="en-US" w:eastAsia="zh-CN" w:bidi="ar"/>
              </w:rPr>
              <w:t>2</w:t>
            </w:r>
            <w:r>
              <w:rPr>
                <w:rFonts w:ascii="宋体" w:hAnsi="宋体" w:eastAsia="宋体" w:cs="宋体"/>
                <w:color w:val="auto"/>
                <w:kern w:val="0"/>
                <w:sz w:val="24"/>
                <w:szCs w:val="24"/>
                <w:u w:val="none" w:color="auto"/>
                <w:lang w:val="en-US" w:eastAsia="zh-CN" w:bidi="ar"/>
              </w:rPr>
              <w:t>0m处即可满足(建筑施工场界环境噪声排放标准》(GB12523-2011</w:t>
            </w:r>
            <w:r>
              <w:rPr>
                <w:rFonts w:hint="eastAsia" w:ascii="宋体" w:hAnsi="宋体" w:cs="宋体"/>
                <w:color w:val="auto"/>
                <w:kern w:val="0"/>
                <w:sz w:val="24"/>
                <w:szCs w:val="24"/>
                <w:u w:val="none" w:color="auto"/>
                <w:lang w:val="en-US" w:eastAsia="zh-CN" w:bidi="ar"/>
              </w:rPr>
              <w:t>）</w:t>
            </w:r>
            <w:r>
              <w:rPr>
                <w:rFonts w:ascii="宋体" w:hAnsi="宋体" w:eastAsia="宋体" w:cs="宋体"/>
                <w:color w:val="auto"/>
                <w:kern w:val="0"/>
                <w:sz w:val="24"/>
                <w:szCs w:val="24"/>
                <w:u w:val="none" w:color="auto"/>
                <w:lang w:val="en-US" w:eastAsia="zh-CN" w:bidi="ar"/>
              </w:rPr>
              <w:t>的要求</w:t>
            </w:r>
            <w:r>
              <w:rPr>
                <w:rFonts w:hint="eastAsia" w:ascii="宋体" w:hAnsi="宋体" w:eastAsia="宋体" w:cs="宋体"/>
                <w:color w:val="auto"/>
                <w:kern w:val="0"/>
                <w:sz w:val="24"/>
                <w:szCs w:val="24"/>
                <w:u w:val="none" w:color="auto"/>
                <w:lang w:val="en-US" w:eastAsia="zh-CN" w:bidi="ar"/>
              </w:rPr>
              <w:t>，而夜间不施工，距离</w:t>
            </w:r>
            <w:r>
              <w:rPr>
                <w:rFonts w:ascii="宋体" w:hAnsi="宋体" w:eastAsia="宋体" w:cs="宋体"/>
                <w:color w:val="auto"/>
                <w:kern w:val="0"/>
                <w:sz w:val="24"/>
                <w:szCs w:val="24"/>
                <w:u w:val="none" w:color="auto"/>
                <w:lang w:val="en-US" w:eastAsia="zh-CN" w:bidi="ar"/>
              </w:rPr>
              <w:t>本项目</w:t>
            </w:r>
            <w:r>
              <w:rPr>
                <w:rFonts w:hint="eastAsia" w:ascii="宋体" w:hAnsi="宋体" w:eastAsia="宋体" w:cs="宋体"/>
                <w:color w:val="auto"/>
                <w:kern w:val="0"/>
                <w:sz w:val="24"/>
                <w:szCs w:val="24"/>
                <w:u w:val="none" w:color="auto"/>
                <w:lang w:val="en-US" w:eastAsia="zh-CN" w:bidi="ar"/>
              </w:rPr>
              <w:t>最近的</w:t>
            </w:r>
            <w:r>
              <w:rPr>
                <w:rFonts w:ascii="宋体" w:hAnsi="宋体" w:eastAsia="宋体" w:cs="宋体"/>
                <w:color w:val="auto"/>
                <w:kern w:val="0"/>
                <w:sz w:val="24"/>
                <w:szCs w:val="24"/>
                <w:u w:val="none" w:color="auto"/>
                <w:lang w:val="en-US" w:eastAsia="zh-CN" w:bidi="ar"/>
              </w:rPr>
              <w:t>环境敏感点</w:t>
            </w:r>
            <w:r>
              <w:rPr>
                <w:rFonts w:hint="eastAsia" w:ascii="宋体" w:hAnsi="宋体" w:cs="宋体"/>
                <w:color w:val="auto"/>
                <w:kern w:val="0"/>
                <w:sz w:val="24"/>
                <w:szCs w:val="24"/>
                <w:u w:val="none" w:color="auto"/>
                <w:lang w:val="en-US" w:eastAsia="zh-CN" w:bidi="ar"/>
              </w:rPr>
              <w:t>为15m</w:t>
            </w:r>
            <w:r>
              <w:rPr>
                <w:rFonts w:ascii="宋体" w:hAnsi="宋体" w:eastAsia="宋体" w:cs="宋体"/>
                <w:color w:val="auto"/>
                <w:kern w:val="0"/>
                <w:sz w:val="24"/>
                <w:szCs w:val="24"/>
                <w:u w:val="none" w:color="auto"/>
                <w:lang w:val="en-US" w:eastAsia="zh-CN" w:bidi="ar"/>
              </w:rPr>
              <w:t>，项目建设施工噪声对周围环境的影响不大。但为了最大限度减少噪声对</w:t>
            </w:r>
            <w:r>
              <w:rPr>
                <w:rFonts w:hint="eastAsia" w:ascii="宋体" w:hAnsi="宋体" w:cs="宋体"/>
                <w:color w:val="auto"/>
                <w:kern w:val="0"/>
                <w:sz w:val="24"/>
                <w:szCs w:val="24"/>
                <w:u w:val="none" w:color="auto"/>
                <w:lang w:val="en-US" w:eastAsia="zh-CN" w:bidi="ar"/>
              </w:rPr>
              <w:t>周围环境</w:t>
            </w:r>
            <w:r>
              <w:rPr>
                <w:rFonts w:ascii="宋体" w:hAnsi="宋体" w:eastAsia="宋体" w:cs="宋体"/>
                <w:color w:val="auto"/>
                <w:kern w:val="0"/>
                <w:sz w:val="24"/>
                <w:szCs w:val="24"/>
                <w:u w:val="none" w:color="auto"/>
                <w:lang w:val="en-US" w:eastAsia="zh-CN" w:bidi="ar"/>
              </w:rPr>
              <w:t>的影响，建设方应采取以下措施:</w:t>
            </w:r>
            <w:r>
              <w:rPr>
                <w:rFonts w:ascii="宋体" w:hAnsi="宋体" w:eastAsia="宋体" w:cs="宋体"/>
                <w:color w:val="auto"/>
                <w:kern w:val="0"/>
                <w:sz w:val="24"/>
                <w:szCs w:val="24"/>
                <w:u w:val="none" w:color="auto"/>
                <w:lang w:val="en-US" w:eastAsia="zh-CN" w:bidi="ar"/>
              </w:rPr>
              <w:br w:type="textWrapping"/>
            </w:r>
            <w:r>
              <w:rPr>
                <w:rFonts w:hint="eastAsia" w:ascii="宋体" w:hAnsi="宋体" w:cs="宋体"/>
                <w:color w:val="auto"/>
                <w:kern w:val="0"/>
                <w:sz w:val="24"/>
                <w:szCs w:val="24"/>
                <w:u w:val="none" w:color="auto"/>
                <w:lang w:val="en-US" w:eastAsia="zh-CN" w:bidi="ar"/>
              </w:rPr>
              <w:t xml:space="preserve">  ①</w:t>
            </w:r>
            <w:r>
              <w:rPr>
                <w:rFonts w:ascii="宋体" w:hAnsi="宋体" w:eastAsia="宋体" w:cs="宋体"/>
                <w:color w:val="auto"/>
                <w:kern w:val="0"/>
                <w:sz w:val="24"/>
                <w:szCs w:val="24"/>
                <w:u w:val="none" w:color="auto"/>
                <w:lang w:val="en-US" w:eastAsia="zh-CN" w:bidi="ar"/>
              </w:rPr>
              <w:t>施工期间禁止夜间(晚</w:t>
            </w:r>
            <w:r>
              <w:rPr>
                <w:rFonts w:hint="eastAsia" w:ascii="宋体" w:hAnsi="宋体" w:cs="宋体"/>
                <w:color w:val="auto"/>
                <w:kern w:val="0"/>
                <w:sz w:val="24"/>
                <w:szCs w:val="24"/>
                <w:u w:val="none" w:color="auto"/>
                <w:lang w:val="en-US" w:eastAsia="zh-CN" w:bidi="ar"/>
              </w:rPr>
              <w:t>10</w:t>
            </w:r>
            <w:bookmarkStart w:id="18" w:name="_GoBack"/>
            <w:bookmarkEnd w:id="18"/>
            <w:r>
              <w:rPr>
                <w:rFonts w:ascii="宋体" w:hAnsi="宋体" w:eastAsia="宋体" w:cs="宋体"/>
                <w:color w:val="auto"/>
                <w:kern w:val="0"/>
                <w:sz w:val="24"/>
                <w:szCs w:val="24"/>
                <w:u w:val="none" w:color="auto"/>
                <w:lang w:val="en-US" w:eastAsia="zh-CN" w:bidi="ar"/>
              </w:rPr>
              <w:t>点至早晨6点之间)进行产生环境噪声污染的建筑施工作业。</w:t>
            </w:r>
          </w:p>
          <w:p w14:paraId="428DAFA5">
            <w:pPr>
              <w:keepNext w:val="0"/>
              <w:keepLines w:val="0"/>
              <w:widowControl/>
              <w:suppressLineNumbers w:val="0"/>
              <w:spacing w:line="360" w:lineRule="auto"/>
              <w:ind w:firstLine="240" w:firstLineChars="100"/>
              <w:jc w:val="left"/>
              <w:rPr>
                <w:rFonts w:hint="eastAsia" w:ascii="宋体" w:hAnsi="宋体" w:eastAsia="宋体" w:cs="宋体"/>
                <w:b/>
                <w:color w:val="auto"/>
                <w:sz w:val="24"/>
                <w:szCs w:val="28"/>
                <w:highlight w:val="none"/>
                <w:u w:val="none" w:color="auto"/>
                <w:lang w:val="en-US" w:eastAsia="zh-CN"/>
              </w:rPr>
            </w:pPr>
            <w:r>
              <w:rPr>
                <w:rFonts w:hint="eastAsia" w:ascii="宋体" w:hAnsi="宋体" w:cs="宋体"/>
                <w:color w:val="auto"/>
                <w:kern w:val="0"/>
                <w:sz w:val="24"/>
                <w:szCs w:val="24"/>
                <w:u w:val="none"/>
                <w:lang w:val="en-US" w:eastAsia="zh-CN" w:bidi="ar"/>
              </w:rPr>
              <w:t>②</w:t>
            </w:r>
            <w:r>
              <w:rPr>
                <w:rFonts w:ascii="宋体" w:hAnsi="宋体" w:eastAsia="宋体" w:cs="宋体"/>
                <w:color w:val="auto"/>
                <w:kern w:val="0"/>
                <w:sz w:val="24"/>
                <w:szCs w:val="24"/>
                <w:u w:val="none"/>
                <w:lang w:val="en-US" w:eastAsia="zh-CN" w:bidi="ar"/>
              </w:rPr>
              <w:t>在室内</w:t>
            </w:r>
            <w:r>
              <w:rPr>
                <w:rFonts w:hint="eastAsia" w:ascii="宋体" w:hAnsi="宋体" w:cs="宋体"/>
                <w:color w:val="auto"/>
                <w:kern w:val="0"/>
                <w:sz w:val="24"/>
                <w:szCs w:val="24"/>
                <w:u w:val="none"/>
                <w:lang w:val="en-US" w:eastAsia="zh-CN" w:bidi="ar"/>
              </w:rPr>
              <w:t>安装</w:t>
            </w:r>
            <w:r>
              <w:rPr>
                <w:rFonts w:ascii="宋体" w:hAnsi="宋体" w:eastAsia="宋体" w:cs="宋体"/>
                <w:color w:val="auto"/>
                <w:kern w:val="0"/>
                <w:sz w:val="24"/>
                <w:szCs w:val="24"/>
                <w:u w:val="none"/>
                <w:lang w:val="en-US" w:eastAsia="zh-CN" w:bidi="ar"/>
              </w:rPr>
              <w:t>时，电钻应注意关窗，避免噪声通过</w:t>
            </w:r>
            <w:r>
              <w:rPr>
                <w:rFonts w:hint="eastAsia" w:ascii="宋体" w:hAnsi="宋体" w:cs="宋体"/>
                <w:color w:val="auto"/>
                <w:kern w:val="0"/>
                <w:sz w:val="24"/>
                <w:szCs w:val="24"/>
                <w:u w:val="none"/>
                <w:lang w:val="en-US" w:eastAsia="zh-CN" w:bidi="ar"/>
              </w:rPr>
              <w:t>门</w:t>
            </w:r>
            <w:r>
              <w:rPr>
                <w:rFonts w:ascii="宋体" w:hAnsi="宋体" w:eastAsia="宋体" w:cs="宋体"/>
                <w:color w:val="auto"/>
                <w:kern w:val="0"/>
                <w:sz w:val="24"/>
                <w:szCs w:val="24"/>
                <w:u w:val="none"/>
                <w:lang w:val="en-US" w:eastAsia="zh-CN" w:bidi="ar"/>
              </w:rPr>
              <w:t>窗发散，尽量缩短使用时间，减少噪声向周围辐射。</w:t>
            </w:r>
            <w:r>
              <w:rPr>
                <w:rFonts w:ascii="宋体" w:hAnsi="宋体" w:eastAsia="宋体" w:cs="宋体"/>
                <w:color w:val="auto"/>
                <w:kern w:val="0"/>
                <w:sz w:val="24"/>
                <w:szCs w:val="24"/>
                <w:u w:val="none"/>
                <w:lang w:val="en-US" w:eastAsia="zh-CN" w:bidi="ar"/>
              </w:rPr>
              <w:br w:type="textWrapping"/>
            </w:r>
            <w:r>
              <w:rPr>
                <w:rFonts w:hint="eastAsia" w:ascii="宋体" w:hAnsi="宋体" w:cs="宋体"/>
                <w:color w:val="auto"/>
                <w:kern w:val="0"/>
                <w:sz w:val="24"/>
                <w:szCs w:val="24"/>
                <w:u w:val="none"/>
                <w:lang w:val="en-US" w:eastAsia="zh-CN" w:bidi="ar"/>
              </w:rPr>
              <w:t xml:space="preserve">  ③</w:t>
            </w:r>
            <w:r>
              <w:rPr>
                <w:rFonts w:ascii="宋体" w:hAnsi="宋体" w:eastAsia="宋体" w:cs="宋体"/>
                <w:color w:val="auto"/>
                <w:kern w:val="0"/>
                <w:sz w:val="24"/>
                <w:szCs w:val="24"/>
                <w:u w:val="none"/>
                <w:lang w:val="en-US" w:eastAsia="zh-CN" w:bidi="ar"/>
              </w:rPr>
              <w:t>合理安排施工时间，尽量避免在午休时段进行噪声较大的作业。</w:t>
            </w:r>
            <w:r>
              <w:rPr>
                <w:rFonts w:ascii="宋体" w:hAnsi="宋体" w:eastAsia="宋体" w:cs="宋体"/>
                <w:color w:val="auto"/>
                <w:kern w:val="0"/>
                <w:sz w:val="24"/>
                <w:szCs w:val="24"/>
                <w:u w:val="none"/>
                <w:lang w:val="en-US" w:eastAsia="zh-CN" w:bidi="ar"/>
              </w:rPr>
              <w:br w:type="textWrapping"/>
            </w:r>
            <w:r>
              <w:rPr>
                <w:rFonts w:hint="eastAsia" w:ascii="宋体" w:hAnsi="宋体" w:cs="宋体"/>
                <w:color w:val="auto"/>
                <w:kern w:val="0"/>
                <w:sz w:val="24"/>
                <w:szCs w:val="24"/>
                <w:u w:val="none"/>
                <w:lang w:val="en-US" w:eastAsia="zh-CN" w:bidi="ar"/>
              </w:rPr>
              <w:t xml:space="preserve">  ④</w:t>
            </w:r>
            <w:r>
              <w:rPr>
                <w:rFonts w:ascii="宋体" w:hAnsi="宋体" w:eastAsia="宋体" w:cs="宋体"/>
                <w:color w:val="auto"/>
                <w:kern w:val="0"/>
                <w:sz w:val="24"/>
                <w:szCs w:val="24"/>
                <w:u w:val="none"/>
                <w:lang w:val="en-US" w:eastAsia="zh-CN" w:bidi="ar"/>
              </w:rPr>
              <w:t>加强对施工人员的管理，做到文明施工，避免人为噪声的产生。</w:t>
            </w:r>
            <w:r>
              <w:rPr>
                <w:rFonts w:ascii="宋体" w:hAnsi="宋体" w:eastAsia="宋体" w:cs="宋体"/>
                <w:color w:val="auto"/>
                <w:kern w:val="0"/>
                <w:sz w:val="24"/>
                <w:szCs w:val="24"/>
                <w:u w:val="none"/>
                <w:lang w:val="en-US" w:eastAsia="zh-CN" w:bidi="ar"/>
              </w:rPr>
              <w:br w:type="textWrapping"/>
            </w:r>
            <w:r>
              <w:rPr>
                <w:rFonts w:hint="eastAsia" w:ascii="宋体" w:hAnsi="宋体" w:cs="宋体"/>
                <w:color w:val="auto"/>
                <w:kern w:val="0"/>
                <w:sz w:val="24"/>
                <w:szCs w:val="24"/>
                <w:u w:val="none"/>
                <w:lang w:val="en-US" w:eastAsia="zh-CN" w:bidi="ar"/>
              </w:rPr>
              <w:t xml:space="preserve">  ⑤</w:t>
            </w:r>
            <w:r>
              <w:rPr>
                <w:rFonts w:ascii="宋体" w:hAnsi="宋体" w:eastAsia="宋体" w:cs="宋体"/>
                <w:color w:val="auto"/>
                <w:kern w:val="0"/>
                <w:sz w:val="24"/>
                <w:szCs w:val="24"/>
                <w:u w:val="none"/>
                <w:lang w:val="en-US" w:eastAsia="zh-CN" w:bidi="ar"/>
              </w:rPr>
              <w:t>合理安排施工材料运输线路，尽量避开学校、居民区等噪声敏感点。</w:t>
            </w:r>
            <w:r>
              <w:rPr>
                <w:rFonts w:ascii="宋体" w:hAnsi="宋体" w:eastAsia="宋体" w:cs="宋体"/>
                <w:color w:val="auto"/>
                <w:kern w:val="0"/>
                <w:sz w:val="24"/>
                <w:szCs w:val="24"/>
                <w:u w:val="none"/>
                <w:lang w:val="en-US" w:eastAsia="zh-CN" w:bidi="ar"/>
              </w:rPr>
              <w:br w:type="textWrapping"/>
            </w:r>
            <w:r>
              <w:rPr>
                <w:rFonts w:hint="eastAsia" w:ascii="宋体" w:hAnsi="宋体" w:cs="宋体"/>
                <w:color w:val="auto"/>
                <w:kern w:val="0"/>
                <w:sz w:val="24"/>
                <w:szCs w:val="24"/>
                <w:u w:val="none"/>
                <w:lang w:val="en-US" w:eastAsia="zh-CN" w:bidi="ar"/>
              </w:rPr>
              <w:t xml:space="preserve">   </w:t>
            </w:r>
            <w:r>
              <w:rPr>
                <w:rFonts w:ascii="宋体" w:hAnsi="宋体" w:eastAsia="宋体" w:cs="宋体"/>
                <w:color w:val="auto"/>
                <w:kern w:val="0"/>
                <w:sz w:val="24"/>
                <w:szCs w:val="24"/>
                <w:u w:val="none"/>
                <w:lang w:val="en-US" w:eastAsia="zh-CN" w:bidi="ar"/>
              </w:rPr>
              <w:t>项目采取以上治理措施</w:t>
            </w:r>
            <w:r>
              <w:rPr>
                <w:rFonts w:hint="eastAsia" w:ascii="宋体" w:hAnsi="宋体" w:cs="宋体"/>
                <w:color w:val="auto"/>
                <w:kern w:val="0"/>
                <w:sz w:val="24"/>
                <w:szCs w:val="24"/>
                <w:u w:val="none"/>
                <w:lang w:val="en-US" w:eastAsia="zh-CN" w:bidi="ar"/>
              </w:rPr>
              <w:t>后</w:t>
            </w:r>
            <w:r>
              <w:rPr>
                <w:rFonts w:ascii="宋体" w:hAnsi="宋体" w:eastAsia="宋体" w:cs="宋体"/>
                <w:color w:val="auto"/>
                <w:kern w:val="0"/>
                <w:sz w:val="24"/>
                <w:szCs w:val="24"/>
                <w:u w:val="none"/>
                <w:lang w:val="en-US" w:eastAsia="zh-CN" w:bidi="ar"/>
              </w:rPr>
              <w:t>，施工噪声</w:t>
            </w:r>
            <w:r>
              <w:rPr>
                <w:rFonts w:hint="eastAsia" w:ascii="宋体" w:hAnsi="宋体" w:cs="宋体"/>
                <w:color w:val="auto"/>
                <w:kern w:val="0"/>
                <w:sz w:val="24"/>
                <w:szCs w:val="24"/>
                <w:u w:val="none"/>
                <w:lang w:val="en-US" w:eastAsia="zh-CN" w:bidi="ar"/>
              </w:rPr>
              <w:t>可</w:t>
            </w:r>
            <w:r>
              <w:rPr>
                <w:rFonts w:ascii="宋体" w:hAnsi="宋体" w:eastAsia="宋体" w:cs="宋体"/>
                <w:color w:val="auto"/>
                <w:kern w:val="0"/>
                <w:sz w:val="24"/>
                <w:szCs w:val="24"/>
                <w:u w:val="none"/>
                <w:lang w:val="en-US" w:eastAsia="zh-CN" w:bidi="ar"/>
              </w:rPr>
              <w:t>达(GB12523-2011)《建筑施工场界环境噪</w:t>
            </w:r>
            <w:r>
              <w:rPr>
                <w:rFonts w:hint="eastAsia" w:ascii="宋体" w:hAnsi="宋体" w:cs="宋体"/>
                <w:color w:val="auto"/>
                <w:kern w:val="0"/>
                <w:sz w:val="24"/>
                <w:szCs w:val="24"/>
                <w:u w:val="none"/>
                <w:lang w:val="en-US" w:eastAsia="zh-CN" w:bidi="ar"/>
              </w:rPr>
              <w:t>声</w:t>
            </w:r>
            <w:r>
              <w:rPr>
                <w:rFonts w:ascii="宋体" w:hAnsi="宋体" w:eastAsia="宋体" w:cs="宋体"/>
                <w:color w:val="auto"/>
                <w:kern w:val="0"/>
                <w:sz w:val="24"/>
                <w:szCs w:val="24"/>
                <w:u w:val="none"/>
                <w:lang w:val="en-US" w:eastAsia="zh-CN" w:bidi="ar"/>
              </w:rPr>
              <w:t>排放标准》</w:t>
            </w:r>
            <w:r>
              <w:rPr>
                <w:rFonts w:hint="eastAsia" w:ascii="宋体" w:hAnsi="宋体" w:cs="宋体"/>
                <w:color w:val="auto"/>
                <w:kern w:val="0"/>
                <w:sz w:val="24"/>
                <w:szCs w:val="24"/>
                <w:u w:val="none"/>
                <w:lang w:val="en-US" w:eastAsia="zh-CN" w:bidi="ar"/>
              </w:rPr>
              <w:t>的</w:t>
            </w:r>
            <w:r>
              <w:rPr>
                <w:rFonts w:ascii="宋体" w:hAnsi="宋体" w:eastAsia="宋体" w:cs="宋体"/>
                <w:color w:val="auto"/>
                <w:kern w:val="0"/>
                <w:sz w:val="24"/>
                <w:szCs w:val="24"/>
                <w:u w:val="none"/>
                <w:lang w:val="en-US" w:eastAsia="zh-CN" w:bidi="ar"/>
              </w:rPr>
              <w:t>规定要求，</w:t>
            </w:r>
            <w:r>
              <w:rPr>
                <w:rFonts w:hint="eastAsia" w:ascii="宋体" w:hAnsi="宋体" w:cs="宋体"/>
                <w:color w:val="auto"/>
                <w:kern w:val="0"/>
                <w:sz w:val="24"/>
                <w:szCs w:val="24"/>
                <w:u w:val="none"/>
                <w:lang w:val="en-US" w:eastAsia="zh-CN" w:bidi="ar"/>
              </w:rPr>
              <w:t>对周围环境影响较小</w:t>
            </w:r>
            <w:r>
              <w:rPr>
                <w:rFonts w:ascii="宋体" w:hAnsi="宋体" w:eastAsia="宋体" w:cs="宋体"/>
                <w:color w:val="auto"/>
                <w:kern w:val="0"/>
                <w:sz w:val="24"/>
                <w:szCs w:val="24"/>
                <w:u w:val="none"/>
                <w:lang w:val="en-US" w:eastAsia="zh-CN" w:bidi="ar"/>
              </w:rPr>
              <w:t>。</w:t>
            </w:r>
          </w:p>
          <w:p w14:paraId="5B3C991D">
            <w:pPr>
              <w:pStyle w:val="17"/>
              <w:spacing w:line="360" w:lineRule="auto"/>
              <w:outlineLvl w:val="9"/>
              <w:rPr>
                <w:rFonts w:hint="eastAsia" w:ascii="宋体" w:hAnsi="宋体" w:eastAsia="宋体" w:cs="宋体"/>
                <w:b/>
                <w:color w:val="auto"/>
                <w:sz w:val="24"/>
                <w:szCs w:val="28"/>
                <w:highlight w:val="none"/>
                <w:u w:val="none" w:color="auto"/>
                <w:lang w:eastAsia="zh-CN"/>
              </w:rPr>
            </w:pPr>
            <w:r>
              <w:rPr>
                <w:rFonts w:hint="eastAsia" w:ascii="宋体" w:hAnsi="宋体" w:eastAsia="宋体" w:cs="宋体"/>
                <w:b/>
                <w:color w:val="auto"/>
                <w:sz w:val="24"/>
                <w:szCs w:val="28"/>
                <w:highlight w:val="none"/>
                <w:u w:val="none" w:color="auto"/>
                <w:lang w:val="en-US" w:eastAsia="zh-CN"/>
              </w:rPr>
              <w:t>4、</w:t>
            </w:r>
            <w:r>
              <w:rPr>
                <w:rFonts w:hint="eastAsia" w:ascii="宋体" w:hAnsi="宋体" w:eastAsia="宋体" w:cs="宋体"/>
                <w:b/>
                <w:color w:val="auto"/>
                <w:sz w:val="24"/>
                <w:szCs w:val="28"/>
                <w:highlight w:val="none"/>
                <w:u w:val="none" w:color="auto"/>
                <w:lang w:eastAsia="zh-CN"/>
              </w:rPr>
              <w:t>固体废弃物环境影响分析</w:t>
            </w:r>
          </w:p>
          <w:p w14:paraId="44A5AC3F">
            <w:pPr>
              <w:pStyle w:val="17"/>
              <w:spacing w:line="360" w:lineRule="auto"/>
              <w:ind w:firstLine="480" w:firstLineChars="200"/>
              <w:outlineLvl w:val="9"/>
              <w:rPr>
                <w:rFonts w:hint="eastAsia" w:ascii="宋体" w:hAnsi="宋体" w:eastAsia="宋体" w:cs="宋体"/>
                <w:b w:val="0"/>
                <w:bCs/>
                <w:color w:val="auto"/>
                <w:sz w:val="24"/>
                <w:szCs w:val="28"/>
                <w:highlight w:val="none"/>
                <w:u w:val="none" w:color="auto"/>
              </w:rPr>
            </w:pPr>
            <w:r>
              <w:rPr>
                <w:rFonts w:hint="eastAsia" w:ascii="宋体" w:hAnsi="宋体" w:eastAsia="宋体" w:cs="宋体"/>
                <w:b w:val="0"/>
                <w:bCs/>
                <w:color w:val="auto"/>
                <w:sz w:val="24"/>
                <w:szCs w:val="28"/>
                <w:highlight w:val="none"/>
                <w:u w:val="none" w:color="auto"/>
              </w:rPr>
              <w:t>本项目施工期产生的少量土石方可全部回填，不产生多余弃方，因此项目施工期固体废物主要为施工产生的建筑垃圾及施工人员产生的生活垃圾。</w:t>
            </w:r>
          </w:p>
          <w:p w14:paraId="3A8C129D">
            <w:pPr>
              <w:pStyle w:val="17"/>
              <w:spacing w:line="360" w:lineRule="auto"/>
              <w:outlineLvl w:val="9"/>
              <w:rPr>
                <w:rFonts w:hint="eastAsia" w:ascii="宋体" w:hAnsi="宋体" w:eastAsia="宋体" w:cs="宋体"/>
                <w:b w:val="0"/>
                <w:bCs/>
                <w:color w:val="auto"/>
                <w:sz w:val="24"/>
                <w:szCs w:val="28"/>
                <w:highlight w:val="none"/>
                <w:u w:val="none" w:color="auto"/>
              </w:rPr>
            </w:pPr>
            <w:r>
              <w:rPr>
                <w:rFonts w:hint="eastAsia" w:ascii="宋体" w:hAnsi="宋体" w:eastAsia="宋体" w:cs="宋体"/>
                <w:b w:val="0"/>
                <w:bCs/>
                <w:color w:val="auto"/>
                <w:sz w:val="24"/>
                <w:szCs w:val="28"/>
                <w:highlight w:val="none"/>
                <w:u w:val="none" w:color="auto"/>
              </w:rPr>
              <w:t>(1)建筑垃圾</w:t>
            </w:r>
          </w:p>
          <w:p w14:paraId="5A190F78">
            <w:pPr>
              <w:pStyle w:val="17"/>
              <w:spacing w:line="360" w:lineRule="auto"/>
              <w:ind w:firstLine="480" w:firstLineChars="200"/>
              <w:outlineLvl w:val="9"/>
              <w:rPr>
                <w:rFonts w:hint="eastAsia" w:ascii="宋体" w:hAnsi="宋体" w:eastAsia="宋体" w:cs="宋体"/>
                <w:b w:val="0"/>
                <w:bCs/>
                <w:color w:val="auto"/>
                <w:sz w:val="24"/>
                <w:szCs w:val="28"/>
                <w:highlight w:val="none"/>
                <w:u w:val="none" w:color="auto"/>
              </w:rPr>
            </w:pPr>
            <w:r>
              <w:rPr>
                <w:rFonts w:hint="eastAsia" w:ascii="宋体" w:hAnsi="宋体" w:eastAsia="宋体" w:cs="宋体"/>
                <w:b w:val="0"/>
                <w:bCs/>
                <w:color w:val="auto"/>
                <w:sz w:val="24"/>
                <w:szCs w:val="28"/>
                <w:highlight w:val="none"/>
                <w:u w:val="none" w:color="auto"/>
              </w:rPr>
              <w:t>建筑垃圾包括废弃砖石、水泥凝结废渣等，</w:t>
            </w:r>
            <w:r>
              <w:rPr>
                <w:rFonts w:hint="eastAsia" w:ascii="宋体" w:hAnsi="宋体" w:eastAsia="宋体" w:cs="宋体"/>
                <w:color w:val="auto"/>
                <w:sz w:val="24"/>
                <w:u w:val="none"/>
              </w:rPr>
              <w:t>建筑垃圾及时清运，项目应对其进行分类集中堆存，能再生利用的部分，交回收商进行收购处置，再生利用；不可再生利用的部分，加强管理，及时收集，统一清运至指定的地点妥善堆放，禁止与生活垃圾混合处置，禁止随意丢弃。</w:t>
            </w:r>
          </w:p>
          <w:p w14:paraId="5B91FEF4">
            <w:pPr>
              <w:pStyle w:val="17"/>
              <w:spacing w:line="360" w:lineRule="auto"/>
              <w:outlineLvl w:val="9"/>
              <w:rPr>
                <w:rFonts w:hint="eastAsia" w:ascii="宋体" w:hAnsi="宋体" w:eastAsia="宋体" w:cs="宋体"/>
                <w:b w:val="0"/>
                <w:bCs/>
                <w:color w:val="auto"/>
                <w:sz w:val="24"/>
                <w:szCs w:val="28"/>
                <w:highlight w:val="none"/>
                <w:u w:val="none" w:color="auto"/>
              </w:rPr>
            </w:pPr>
            <w:r>
              <w:rPr>
                <w:rFonts w:hint="eastAsia" w:ascii="宋体" w:hAnsi="宋体" w:eastAsia="宋体" w:cs="宋体"/>
                <w:b w:val="0"/>
                <w:bCs/>
                <w:color w:val="auto"/>
                <w:sz w:val="24"/>
                <w:szCs w:val="28"/>
                <w:highlight w:val="none"/>
                <w:u w:val="none" w:color="auto"/>
              </w:rPr>
              <w:t>(</w:t>
            </w:r>
            <w:r>
              <w:rPr>
                <w:rFonts w:hint="eastAsia" w:ascii="宋体" w:hAnsi="宋体" w:eastAsia="宋体" w:cs="宋体"/>
                <w:b w:val="0"/>
                <w:bCs/>
                <w:color w:val="auto"/>
                <w:sz w:val="24"/>
                <w:szCs w:val="28"/>
                <w:highlight w:val="none"/>
                <w:u w:val="none" w:color="auto"/>
                <w:lang w:val="en-US" w:eastAsia="zh-CN"/>
              </w:rPr>
              <w:t>2</w:t>
            </w:r>
            <w:r>
              <w:rPr>
                <w:rFonts w:hint="eastAsia" w:ascii="宋体" w:hAnsi="宋体" w:eastAsia="宋体" w:cs="宋体"/>
                <w:b w:val="0"/>
                <w:bCs/>
                <w:color w:val="auto"/>
                <w:sz w:val="24"/>
                <w:szCs w:val="28"/>
                <w:highlight w:val="none"/>
                <w:u w:val="none" w:color="auto"/>
              </w:rPr>
              <w:t>)生活垃圾</w:t>
            </w:r>
          </w:p>
          <w:p w14:paraId="754ECDC1">
            <w:pPr>
              <w:pStyle w:val="17"/>
              <w:spacing w:line="360" w:lineRule="auto"/>
              <w:ind w:firstLine="480" w:firstLineChars="200"/>
              <w:outlineLvl w:val="9"/>
              <w:rPr>
                <w:rFonts w:hint="eastAsia" w:ascii="宋体" w:hAnsi="宋体" w:eastAsia="宋体" w:cs="宋体"/>
                <w:b/>
                <w:color w:val="auto"/>
                <w:sz w:val="24"/>
                <w:szCs w:val="28"/>
                <w:highlight w:val="none"/>
                <w:u w:val="none" w:color="auto"/>
                <w:lang w:val="en-US" w:eastAsia="zh-CN"/>
              </w:rPr>
            </w:pPr>
            <w:r>
              <w:rPr>
                <w:rFonts w:hint="eastAsia" w:ascii="宋体" w:hAnsi="宋体" w:eastAsia="宋体" w:cs="宋体"/>
                <w:b w:val="0"/>
                <w:bCs/>
                <w:color w:val="auto"/>
                <w:sz w:val="24"/>
                <w:szCs w:val="28"/>
                <w:highlight w:val="none"/>
                <w:u w:val="none" w:color="auto"/>
                <w:lang w:eastAsia="zh-CN"/>
              </w:rPr>
              <w:t>施工期</w:t>
            </w:r>
            <w:r>
              <w:rPr>
                <w:rFonts w:hint="eastAsia" w:ascii="宋体" w:hAnsi="宋体" w:eastAsia="宋体" w:cs="宋体"/>
                <w:b w:val="0"/>
                <w:bCs/>
                <w:color w:val="auto"/>
                <w:sz w:val="24"/>
                <w:szCs w:val="28"/>
                <w:highlight w:val="none"/>
                <w:u w:val="none" w:color="auto"/>
              </w:rPr>
              <w:t>施工人员约</w:t>
            </w:r>
            <w:r>
              <w:rPr>
                <w:rFonts w:hint="eastAsia" w:ascii="宋体" w:hAnsi="宋体" w:eastAsia="宋体" w:cs="宋体"/>
                <w:b w:val="0"/>
                <w:bCs/>
                <w:color w:val="auto"/>
                <w:sz w:val="24"/>
                <w:szCs w:val="28"/>
                <w:highlight w:val="none"/>
                <w:u w:val="none" w:color="auto"/>
                <w:lang w:val="en-US" w:eastAsia="zh-CN"/>
              </w:rPr>
              <w:t>4</w:t>
            </w:r>
            <w:r>
              <w:rPr>
                <w:rFonts w:hint="eastAsia" w:ascii="宋体" w:hAnsi="宋体" w:eastAsia="宋体" w:cs="宋体"/>
                <w:b w:val="0"/>
                <w:bCs/>
                <w:color w:val="auto"/>
                <w:sz w:val="24"/>
                <w:szCs w:val="28"/>
                <w:highlight w:val="none"/>
                <w:u w:val="none" w:color="auto"/>
              </w:rPr>
              <w:t>人，工地生活垃圾按0.5kg/d人计，产生量为</w:t>
            </w:r>
            <w:r>
              <w:rPr>
                <w:rFonts w:hint="eastAsia" w:ascii="宋体" w:hAnsi="宋体" w:eastAsia="宋体" w:cs="宋体"/>
                <w:b w:val="0"/>
                <w:bCs/>
                <w:color w:val="auto"/>
                <w:sz w:val="24"/>
                <w:szCs w:val="28"/>
                <w:highlight w:val="none"/>
                <w:u w:val="none" w:color="auto"/>
                <w:lang w:val="en-US" w:eastAsia="zh-CN"/>
              </w:rPr>
              <w:t>2</w:t>
            </w:r>
            <w:r>
              <w:rPr>
                <w:rFonts w:hint="eastAsia" w:ascii="宋体" w:hAnsi="宋体" w:eastAsia="宋体" w:cs="宋体"/>
                <w:b w:val="0"/>
                <w:bCs/>
                <w:color w:val="auto"/>
                <w:sz w:val="24"/>
                <w:szCs w:val="28"/>
                <w:highlight w:val="none"/>
                <w:u w:val="none" w:color="auto"/>
              </w:rPr>
              <w:t>kg</w:t>
            </w:r>
            <w:r>
              <w:rPr>
                <w:rFonts w:hint="eastAsia" w:ascii="宋体" w:hAnsi="宋体" w:eastAsia="宋体" w:cs="宋体"/>
                <w:b w:val="0"/>
                <w:bCs/>
                <w:color w:val="auto"/>
                <w:sz w:val="24"/>
                <w:szCs w:val="28"/>
                <w:highlight w:val="none"/>
                <w:u w:val="none" w:color="auto"/>
                <w:lang w:val="en-US" w:eastAsia="zh-CN"/>
              </w:rPr>
              <w:t>/</w:t>
            </w:r>
            <w:r>
              <w:rPr>
                <w:rFonts w:hint="eastAsia" w:ascii="宋体" w:hAnsi="宋体" w:eastAsia="宋体" w:cs="宋体"/>
                <w:b w:val="0"/>
                <w:bCs/>
                <w:color w:val="auto"/>
                <w:sz w:val="24"/>
                <w:szCs w:val="28"/>
                <w:highlight w:val="none"/>
                <w:u w:val="none" w:color="auto"/>
              </w:rPr>
              <w:t>d;生活垃圾</w:t>
            </w:r>
            <w:r>
              <w:rPr>
                <w:rFonts w:hint="eastAsia" w:ascii="宋体" w:hAnsi="宋体" w:eastAsia="宋体" w:cs="宋体"/>
                <w:b w:val="0"/>
                <w:bCs/>
                <w:color w:val="auto"/>
                <w:sz w:val="24"/>
                <w:szCs w:val="28"/>
                <w:highlight w:val="none"/>
                <w:u w:val="none" w:color="auto"/>
                <w:lang w:eastAsia="zh-CN"/>
              </w:rPr>
              <w:t>收集后运至</w:t>
            </w:r>
            <w:r>
              <w:rPr>
                <w:rFonts w:hint="eastAsia" w:ascii="宋体" w:hAnsi="宋体" w:eastAsia="宋体" w:cs="宋体"/>
                <w:color w:val="auto"/>
                <w:sz w:val="24"/>
                <w:highlight w:val="none"/>
                <w:u w:val="none" w:color="auto"/>
                <w:lang w:eastAsia="zh-CN"/>
              </w:rPr>
              <w:t>垃圾堆放点堆放</w:t>
            </w:r>
            <w:r>
              <w:rPr>
                <w:rFonts w:hint="eastAsia" w:ascii="宋体" w:hAnsi="宋体" w:eastAsia="宋体" w:cs="宋体"/>
                <w:b w:val="0"/>
                <w:bCs/>
                <w:color w:val="auto"/>
                <w:sz w:val="24"/>
                <w:szCs w:val="28"/>
                <w:highlight w:val="none"/>
                <w:u w:val="none" w:color="auto"/>
              </w:rPr>
              <w:t>，委托当地环卫部门定期统一清运、处置。</w:t>
            </w:r>
          </w:p>
          <w:p w14:paraId="02C12B13">
            <w:pPr>
              <w:pStyle w:val="17"/>
              <w:spacing w:line="360" w:lineRule="auto"/>
              <w:ind w:firstLine="480" w:firstLineChars="200"/>
              <w:outlineLvl w:val="9"/>
              <w:rPr>
                <w:rFonts w:hint="eastAsia" w:ascii="Times New Roman" w:hAnsi="Times New Roman"/>
                <w:b/>
                <w:color w:val="auto"/>
                <w:kern w:val="0"/>
                <w:sz w:val="24"/>
                <w:szCs w:val="24"/>
                <w:lang w:eastAsia="zh-CN"/>
              </w:rPr>
            </w:pPr>
            <w:r>
              <w:rPr>
                <w:rFonts w:hint="eastAsia" w:ascii="宋体" w:hAnsi="宋体" w:eastAsia="宋体" w:cs="宋体"/>
                <w:b w:val="0"/>
                <w:bCs/>
                <w:color w:val="auto"/>
                <w:sz w:val="24"/>
                <w:szCs w:val="28"/>
                <w:highlight w:val="none"/>
                <w:u w:val="none" w:color="auto"/>
                <w:lang w:eastAsia="zh-CN"/>
              </w:rPr>
              <w:t>因此，只要项目加强管理，按要求妥善处置施工期固体废物，则项目施工期固体废物不会对环境造成较大影响。</w:t>
            </w:r>
          </w:p>
          <w:p w14:paraId="5AE872E7">
            <w:pPr>
              <w:spacing w:line="360" w:lineRule="auto"/>
              <w:jc w:val="lef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二</w:t>
            </w:r>
            <w:r>
              <w:rPr>
                <w:rFonts w:hint="eastAsia" w:ascii="Times New Roman" w:hAnsi="Times New Roman"/>
                <w:b/>
                <w:color w:val="auto"/>
                <w:kern w:val="0"/>
                <w:sz w:val="24"/>
                <w:szCs w:val="24"/>
              </w:rPr>
              <w:t>、</w:t>
            </w:r>
            <w:r>
              <w:rPr>
                <w:rFonts w:ascii="Times New Roman" w:hAnsi="Times New Roman"/>
                <w:b/>
                <w:color w:val="auto"/>
                <w:kern w:val="0"/>
                <w:sz w:val="24"/>
                <w:szCs w:val="24"/>
              </w:rPr>
              <w:t>运营期环境影响分析</w:t>
            </w:r>
          </w:p>
          <w:p w14:paraId="1098B1E2">
            <w:pPr>
              <w:spacing w:line="360" w:lineRule="auto"/>
              <w:rPr>
                <w:rFonts w:hint="eastAsia" w:ascii="Times New Roman" w:hAnsi="Times New Roman"/>
                <w:b/>
                <w:bCs/>
                <w:color w:val="auto"/>
                <w:spacing w:val="-6"/>
                <w:sz w:val="24"/>
                <w:szCs w:val="24"/>
              </w:rPr>
            </w:pPr>
            <w:r>
              <w:rPr>
                <w:rFonts w:hint="eastAsia" w:ascii="Times New Roman" w:hAnsi="Times New Roman"/>
                <w:b/>
                <w:bCs/>
                <w:color w:val="auto"/>
                <w:spacing w:val="-6"/>
                <w:sz w:val="24"/>
                <w:szCs w:val="24"/>
              </w:rPr>
              <w:t>1、废气</w:t>
            </w:r>
          </w:p>
          <w:p w14:paraId="696F3169">
            <w:pPr>
              <w:spacing w:before="156" w:beforeLines="50" w:after="156" w:afterLines="50" w:line="360" w:lineRule="auto"/>
              <w:ind w:firstLine="480" w:firstLineChars="200"/>
              <w:outlineLvl w:val="3"/>
              <w:rPr>
                <w:rFonts w:hint="eastAsia" w:ascii="Times New Roman" w:hAnsi="Times New Roman"/>
                <w:b/>
                <w:color w:val="auto"/>
                <w:sz w:val="24"/>
              </w:rPr>
            </w:pPr>
            <w:r>
              <w:rPr>
                <w:rFonts w:ascii="Times New Roman" w:hAnsi="Times New Roman"/>
                <w:color w:val="auto"/>
                <w:sz w:val="24"/>
              </w:rPr>
              <w:t>项目运营过程中产生的废气主要来源于</w:t>
            </w:r>
            <w:r>
              <w:rPr>
                <w:rFonts w:hint="eastAsia" w:ascii="Times New Roman" w:hAnsi="Times New Roman"/>
                <w:color w:val="auto"/>
                <w:sz w:val="24"/>
                <w:lang w:eastAsia="zh-CN"/>
              </w:rPr>
              <w:t>热风炉废气、茶叶在加工过程产生的茶叶粉尘、茶香，厨房产生的油烟以及化粪池异味</w:t>
            </w:r>
            <w:r>
              <w:rPr>
                <w:rFonts w:hint="eastAsia" w:ascii="Times New Roman" w:hAnsi="Times New Roman"/>
                <w:color w:val="auto"/>
                <w:sz w:val="24"/>
              </w:rPr>
              <w:t>。</w:t>
            </w:r>
          </w:p>
          <w:p w14:paraId="4C7AA4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Cs/>
                <w:color w:val="auto"/>
                <w:sz w:val="24"/>
                <w:lang w:val="en-US" w:eastAsia="zh-CN"/>
              </w:rPr>
            </w:pPr>
            <w:r>
              <w:rPr>
                <w:rFonts w:hint="eastAsia" w:ascii="Times New Roman" w:hAnsi="Times New Roman"/>
                <w:bCs/>
                <w:color w:val="auto"/>
                <w:sz w:val="24"/>
                <w:lang w:val="en-US" w:eastAsia="zh-CN"/>
              </w:rPr>
              <w:t>（1）热风炉烟气</w:t>
            </w:r>
          </w:p>
          <w:p w14:paraId="788500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项目使用3台热风炉，根据前面工程分析，项目热风炉烟气中，氮氧化物和二氧化硫的排放浓度在未采取任何措施的情况下，氮氧化物的排放浓度为</w:t>
            </w:r>
            <w:r>
              <w:rPr>
                <w:rFonts w:hint="eastAsia" w:ascii="宋体" w:hAnsi="宋体" w:cs="宋体"/>
                <w:bCs/>
                <w:color w:val="auto"/>
                <w:sz w:val="24"/>
                <w:lang w:val="en-US" w:eastAsia="zh-CN"/>
              </w:rPr>
              <w:t>18.75</w:t>
            </w:r>
            <w:r>
              <w:rPr>
                <w:rFonts w:hint="eastAsia" w:ascii="宋体" w:hAnsi="宋体" w:eastAsia="宋体" w:cs="宋体"/>
                <w:bCs/>
                <w:color w:val="auto"/>
                <w:sz w:val="24"/>
                <w:lang w:val="en-US" w:eastAsia="zh-CN"/>
              </w:rPr>
              <w:t>mg/m</w:t>
            </w:r>
            <w:r>
              <w:rPr>
                <w:rFonts w:hint="eastAsia" w:ascii="宋体" w:hAnsi="宋体" w:eastAsia="宋体" w:cs="宋体"/>
                <w:bCs/>
                <w:color w:val="auto"/>
                <w:sz w:val="24"/>
                <w:vertAlign w:val="superscript"/>
                <w:lang w:val="en-US" w:eastAsia="zh-CN"/>
              </w:rPr>
              <w:t>3</w:t>
            </w:r>
            <w:r>
              <w:rPr>
                <w:rFonts w:hint="eastAsia" w:ascii="宋体" w:hAnsi="宋体" w:eastAsia="宋体" w:cs="宋体"/>
                <w:bCs/>
                <w:color w:val="auto"/>
                <w:sz w:val="24"/>
                <w:lang w:val="en-US" w:eastAsia="zh-CN"/>
              </w:rPr>
              <w:t>，二氧化硫的排放浓度为</w:t>
            </w:r>
            <w:r>
              <w:rPr>
                <w:rFonts w:hint="eastAsia" w:ascii="宋体" w:hAnsi="宋体" w:cs="宋体"/>
                <w:bCs/>
                <w:color w:val="auto"/>
                <w:sz w:val="24"/>
                <w:lang w:val="en-US" w:eastAsia="zh-CN"/>
              </w:rPr>
              <w:t>95.3</w:t>
            </w:r>
            <w:r>
              <w:rPr>
                <w:rFonts w:hint="eastAsia" w:ascii="宋体" w:hAnsi="宋体" w:eastAsia="宋体" w:cs="宋体"/>
                <w:bCs/>
                <w:color w:val="auto"/>
                <w:sz w:val="24"/>
                <w:lang w:val="en-US" w:eastAsia="zh-CN"/>
              </w:rPr>
              <w:t>mg/m</w:t>
            </w:r>
            <w:r>
              <w:rPr>
                <w:rFonts w:hint="eastAsia" w:ascii="宋体" w:hAnsi="宋体" w:eastAsia="宋体" w:cs="宋体"/>
                <w:bCs/>
                <w:color w:val="auto"/>
                <w:sz w:val="24"/>
                <w:vertAlign w:val="superscript"/>
                <w:lang w:val="en-US" w:eastAsia="zh-CN"/>
              </w:rPr>
              <w:t>3</w:t>
            </w:r>
            <w:r>
              <w:rPr>
                <w:rFonts w:hint="eastAsia" w:ascii="宋体" w:hAnsi="宋体" w:eastAsia="宋体" w:cs="宋体"/>
                <w:bCs/>
                <w:color w:val="auto"/>
                <w:sz w:val="24"/>
                <w:lang w:val="en-US" w:eastAsia="zh-CN"/>
              </w:rPr>
              <w:t>，烟尘的排放浓度在采用(旋风+布袋除尘)的措施后排放浓度为</w:t>
            </w:r>
            <w:r>
              <w:rPr>
                <w:rFonts w:hint="eastAsia" w:ascii="宋体" w:hAnsi="宋体" w:cs="宋体"/>
                <w:bCs/>
                <w:color w:val="auto"/>
                <w:sz w:val="24"/>
                <w:lang w:val="en-US" w:eastAsia="zh-CN"/>
              </w:rPr>
              <w:t>7.29</w:t>
            </w:r>
            <w:r>
              <w:rPr>
                <w:rFonts w:hint="eastAsia" w:ascii="宋体" w:hAnsi="宋体" w:eastAsia="宋体" w:cs="宋体"/>
                <w:bCs/>
                <w:color w:val="auto"/>
                <w:sz w:val="24"/>
                <w:lang w:val="en-US" w:eastAsia="zh-CN"/>
              </w:rPr>
              <w:t>mg/m</w:t>
            </w:r>
            <w:r>
              <w:rPr>
                <w:rFonts w:hint="eastAsia" w:ascii="宋体" w:hAnsi="宋体" w:eastAsia="宋体" w:cs="宋体"/>
                <w:bCs/>
                <w:color w:val="auto"/>
                <w:sz w:val="24"/>
                <w:vertAlign w:val="superscript"/>
                <w:lang w:val="en-US" w:eastAsia="zh-CN"/>
              </w:rPr>
              <w:t>3</w:t>
            </w:r>
            <w:r>
              <w:rPr>
                <w:rFonts w:hint="eastAsia" w:ascii="宋体" w:hAnsi="宋体" w:eastAsia="宋体" w:cs="宋体"/>
                <w:bCs/>
                <w:color w:val="auto"/>
                <w:sz w:val="24"/>
                <w:lang w:val="en-US" w:eastAsia="zh-CN"/>
              </w:rPr>
              <w:t>，烟尘产生的浓度满足</w:t>
            </w:r>
            <w:r>
              <w:rPr>
                <w:rFonts w:hint="eastAsia" w:ascii="宋体" w:hAnsi="宋体" w:eastAsia="宋体" w:cs="宋体"/>
                <w:color w:val="auto"/>
                <w:sz w:val="24"/>
                <w:szCs w:val="24"/>
                <w:lang w:eastAsia="zh-CN"/>
              </w:rPr>
              <w:t>《锅炉大气污染物排放标准》（</w:t>
            </w:r>
            <w:r>
              <w:rPr>
                <w:rFonts w:hint="eastAsia" w:ascii="宋体" w:hAnsi="宋体" w:eastAsia="宋体" w:cs="宋体"/>
                <w:color w:val="auto"/>
                <w:sz w:val="24"/>
                <w:szCs w:val="24"/>
                <w:lang w:val="en-US" w:eastAsia="zh-CN"/>
              </w:rPr>
              <w:t>GB12317-2014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中燃煤锅炉的标</w:t>
            </w:r>
            <w:r>
              <w:rPr>
                <w:rFonts w:hint="eastAsia" w:ascii="Times New Roman" w:hAnsi="Times New Roman"/>
                <w:color w:val="auto"/>
                <w:sz w:val="24"/>
                <w:lang w:eastAsia="zh-CN"/>
              </w:rPr>
              <w:t>准</w:t>
            </w:r>
            <w:r>
              <w:rPr>
                <w:rFonts w:hint="eastAsia" w:ascii="宋体" w:hAnsi="宋体" w:cs="宋体"/>
                <w:snapToGrid/>
                <w:color w:val="auto"/>
                <w:sz w:val="24"/>
                <w:u w:val="none" w:color="auto"/>
                <w:lang w:eastAsia="zh-CN"/>
              </w:rPr>
              <w:t>，</w:t>
            </w:r>
            <w:r>
              <w:rPr>
                <w:rFonts w:hint="eastAsia" w:ascii="宋体" w:hAnsi="宋体" w:eastAsia="宋体" w:cs="宋体"/>
                <w:bCs/>
                <w:color w:val="auto"/>
                <w:sz w:val="24"/>
                <w:lang w:val="en-US" w:eastAsia="zh-CN"/>
              </w:rPr>
              <w:t>烟尘浓度排放限值</w:t>
            </w:r>
            <w:r>
              <w:rPr>
                <w:rFonts w:hint="eastAsia" w:ascii="宋体" w:hAnsi="宋体" w:cs="宋体"/>
                <w:bCs/>
                <w:color w:val="auto"/>
                <w:sz w:val="24"/>
                <w:lang w:val="en-US" w:eastAsia="zh-CN"/>
              </w:rPr>
              <w:t>5</w:t>
            </w:r>
            <w:r>
              <w:rPr>
                <w:rFonts w:hint="eastAsia" w:ascii="宋体" w:hAnsi="宋体" w:eastAsia="宋体" w:cs="宋体"/>
                <w:bCs/>
                <w:color w:val="auto"/>
                <w:sz w:val="24"/>
                <w:lang w:val="en-US" w:eastAsia="zh-CN"/>
              </w:rPr>
              <w:t>0mg/m</w:t>
            </w:r>
            <w:r>
              <w:rPr>
                <w:rFonts w:hint="eastAsia" w:ascii="宋体" w:hAnsi="宋体" w:eastAsia="宋体" w:cs="宋体"/>
                <w:bCs/>
                <w:color w:val="auto"/>
                <w:sz w:val="24"/>
                <w:vertAlign w:val="superscript"/>
                <w:lang w:val="en-US" w:eastAsia="zh-CN"/>
              </w:rPr>
              <w:t>3</w:t>
            </w:r>
            <w:r>
              <w:rPr>
                <w:rFonts w:hint="eastAsia" w:ascii="宋体" w:hAnsi="宋体" w:eastAsia="宋体" w:cs="宋体"/>
                <w:bCs/>
                <w:color w:val="auto"/>
                <w:sz w:val="24"/>
                <w:lang w:val="en-US" w:eastAsia="zh-CN"/>
              </w:rPr>
              <w:t>。</w:t>
            </w:r>
          </w:p>
          <w:p w14:paraId="4A9D48B4">
            <w:pPr>
              <w:spacing w:line="360" w:lineRule="auto"/>
              <w:ind w:firstLine="48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w:t>
            </w:r>
            <w:r>
              <w:rPr>
                <w:rFonts w:hint="eastAsia" w:ascii="宋体" w:hAnsi="宋体" w:eastAsia="宋体" w:cs="宋体"/>
                <w:color w:val="auto"/>
                <w:sz w:val="24"/>
                <w:szCs w:val="24"/>
              </w:rPr>
              <w:t>《环境影响评价技术导则 大气环境》(HJ2.2-2018)要求，选择附录A中推荐模式中估算模型进行计算污染源的最大环境影响，再按评价工作分级进行分级。采用AERSCREEN估算模式进行计算</w:t>
            </w:r>
            <w:r>
              <w:rPr>
                <w:rFonts w:hint="eastAsia" w:ascii="宋体" w:hAnsi="宋体" w:eastAsia="宋体" w:cs="宋体"/>
                <w:bCs/>
                <w:color w:val="auto"/>
                <w:sz w:val="24"/>
                <w:szCs w:val="24"/>
                <w:lang w:val="en-US" w:eastAsia="zh-CN"/>
              </w:rPr>
              <w:t>分别对污染源三种污染物进行计算，并计算相应浓度的占标率，结果见表7-3。</w:t>
            </w:r>
          </w:p>
          <w:p w14:paraId="534015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891" w:firstLineChars="1200"/>
              <w:jc w:val="both"/>
              <w:textAlignment w:val="auto"/>
              <w:outlineLvl w:val="9"/>
              <w:rPr>
                <w:rFonts w:hint="eastAsia" w:ascii="Times New Roman" w:hAnsi="Times New Roman"/>
                <w:b/>
                <w:bCs w:val="0"/>
                <w:color w:val="auto"/>
                <w:sz w:val="24"/>
                <w:lang w:val="en-US" w:eastAsia="zh-CN"/>
              </w:rPr>
            </w:pPr>
            <w:r>
              <w:rPr>
                <w:rFonts w:hint="eastAsia" w:ascii="Times New Roman" w:hAnsi="Times New Roman"/>
                <w:b/>
                <w:bCs w:val="0"/>
                <w:color w:val="auto"/>
                <w:sz w:val="24"/>
                <w:lang w:val="en-US" w:eastAsia="zh-CN"/>
              </w:rPr>
              <w:t>表7-</w:t>
            </w:r>
            <w:r>
              <w:rPr>
                <w:rFonts w:hint="eastAsia"/>
                <w:b/>
                <w:bCs w:val="0"/>
                <w:color w:val="auto"/>
                <w:sz w:val="24"/>
                <w:lang w:val="en-US" w:eastAsia="zh-CN"/>
              </w:rPr>
              <w:t>3</w:t>
            </w:r>
            <w:r>
              <w:rPr>
                <w:rFonts w:hint="eastAsia" w:ascii="Times New Roman" w:hAnsi="Times New Roman"/>
                <w:b/>
                <w:bCs w:val="0"/>
                <w:color w:val="auto"/>
                <w:sz w:val="24"/>
                <w:lang w:val="en-US" w:eastAsia="zh-CN"/>
              </w:rPr>
              <w:t>热风炉烟气排放估算结果</w:t>
            </w:r>
          </w:p>
          <w:tbl>
            <w:tblPr>
              <w:tblStyle w:val="2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368"/>
              <w:gridCol w:w="1295"/>
              <w:gridCol w:w="1294"/>
              <w:gridCol w:w="1295"/>
              <w:gridCol w:w="1295"/>
              <w:gridCol w:w="1295"/>
            </w:tblGrid>
            <w:tr w14:paraId="0D28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Merge w:val="restart"/>
                  <w:vAlign w:val="top"/>
                </w:tcPr>
                <w:p w14:paraId="72C3A35F">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下方向距离</w:t>
                  </w:r>
                  <w:r>
                    <w:rPr>
                      <w:rFonts w:hint="eastAsia" w:ascii="宋体" w:hAnsi="宋体" w:eastAsia="宋体" w:cs="宋体"/>
                      <w:color w:val="auto"/>
                      <w:sz w:val="21"/>
                      <w:szCs w:val="21"/>
                      <w:lang w:val="en-US" w:eastAsia="zh-CN"/>
                    </w:rPr>
                    <w:t>D（m）</w:t>
                  </w:r>
                </w:p>
              </w:tc>
              <w:tc>
                <w:tcPr>
                  <w:tcW w:w="2663" w:type="dxa"/>
                  <w:gridSpan w:val="2"/>
                  <w:vAlign w:val="top"/>
                </w:tcPr>
                <w:p w14:paraId="579C579A">
                  <w:pPr>
                    <w:spacing w:line="240" w:lineRule="auto"/>
                    <w:ind w:firstLine="630" w:firstLineChars="30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SO</w:t>
                  </w:r>
                  <w:r>
                    <w:rPr>
                      <w:rFonts w:hint="eastAsia" w:ascii="宋体" w:hAnsi="宋体" w:eastAsia="宋体" w:cs="宋体"/>
                      <w:color w:val="auto"/>
                      <w:sz w:val="21"/>
                      <w:szCs w:val="21"/>
                      <w:vertAlign w:val="subscript"/>
                      <w:lang w:val="en-US" w:eastAsia="zh-CN"/>
                    </w:rPr>
                    <w:t>2</w:t>
                  </w:r>
                </w:p>
              </w:tc>
              <w:tc>
                <w:tcPr>
                  <w:tcW w:w="2589" w:type="dxa"/>
                  <w:gridSpan w:val="2"/>
                  <w:vAlign w:val="top"/>
                </w:tcPr>
                <w:p w14:paraId="24C256D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NO</w:t>
                  </w:r>
                  <w:r>
                    <w:rPr>
                      <w:rFonts w:hint="eastAsia" w:ascii="宋体" w:hAnsi="宋体" w:eastAsia="宋体" w:cs="宋体"/>
                      <w:color w:val="auto"/>
                      <w:sz w:val="21"/>
                      <w:szCs w:val="21"/>
                      <w:vertAlign w:val="subscript"/>
                      <w:lang w:val="en-US" w:eastAsia="zh-CN"/>
                    </w:rPr>
                    <w:t>2</w:t>
                  </w:r>
                </w:p>
              </w:tc>
              <w:tc>
                <w:tcPr>
                  <w:tcW w:w="2590" w:type="dxa"/>
                  <w:gridSpan w:val="2"/>
                  <w:vAlign w:val="top"/>
                </w:tcPr>
                <w:p w14:paraId="0215DA15">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TSP</w:t>
                  </w:r>
                </w:p>
              </w:tc>
            </w:tr>
            <w:tr w14:paraId="756E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19" w:type="dxa"/>
                  <w:vMerge w:val="continue"/>
                  <w:vAlign w:val="top"/>
                </w:tcPr>
                <w:p w14:paraId="4372805B">
                  <w:pPr>
                    <w:spacing w:line="240" w:lineRule="auto"/>
                    <w:jc w:val="center"/>
                    <w:rPr>
                      <w:rFonts w:hint="eastAsia" w:ascii="宋体" w:hAnsi="宋体" w:eastAsia="宋体" w:cs="宋体"/>
                      <w:color w:val="auto"/>
                      <w:sz w:val="21"/>
                      <w:szCs w:val="21"/>
                    </w:rPr>
                  </w:pPr>
                </w:p>
              </w:tc>
              <w:tc>
                <w:tcPr>
                  <w:tcW w:w="1368" w:type="dxa"/>
                  <w:vAlign w:val="top"/>
                </w:tcPr>
                <w:p w14:paraId="79CD5868">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下方向预测浓度</w:t>
                  </w:r>
                </w:p>
              </w:tc>
              <w:tc>
                <w:tcPr>
                  <w:tcW w:w="1295" w:type="dxa"/>
                  <w:vAlign w:val="top"/>
                </w:tcPr>
                <w:p w14:paraId="068865EB">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占标率</w:t>
                  </w:r>
                </w:p>
              </w:tc>
              <w:tc>
                <w:tcPr>
                  <w:tcW w:w="1294" w:type="dxa"/>
                  <w:vAlign w:val="top"/>
                </w:tcPr>
                <w:p w14:paraId="11F48B2E">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下方向预测浓度</w:t>
                  </w:r>
                </w:p>
              </w:tc>
              <w:tc>
                <w:tcPr>
                  <w:tcW w:w="1295" w:type="dxa"/>
                  <w:vAlign w:val="top"/>
                </w:tcPr>
                <w:p w14:paraId="1633D7F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占标率</w:t>
                  </w:r>
                </w:p>
              </w:tc>
              <w:tc>
                <w:tcPr>
                  <w:tcW w:w="1295" w:type="dxa"/>
                  <w:vAlign w:val="top"/>
                </w:tcPr>
                <w:p w14:paraId="251B7982">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下方向预测浓度</w:t>
                  </w:r>
                </w:p>
              </w:tc>
              <w:tc>
                <w:tcPr>
                  <w:tcW w:w="1295" w:type="dxa"/>
                  <w:vAlign w:val="top"/>
                </w:tcPr>
                <w:p w14:paraId="031B4E4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占标率</w:t>
                  </w:r>
                </w:p>
              </w:tc>
            </w:tr>
            <w:tr w14:paraId="4016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9" w:type="dxa"/>
                  <w:vMerge w:val="continue"/>
                  <w:vAlign w:val="top"/>
                </w:tcPr>
                <w:p w14:paraId="65F8D727">
                  <w:pPr>
                    <w:spacing w:line="240" w:lineRule="auto"/>
                    <w:jc w:val="center"/>
                    <w:rPr>
                      <w:rFonts w:hint="eastAsia" w:ascii="宋体" w:hAnsi="宋体" w:eastAsia="宋体" w:cs="宋体"/>
                      <w:color w:val="auto"/>
                      <w:sz w:val="21"/>
                      <w:szCs w:val="21"/>
                    </w:rPr>
                  </w:pPr>
                </w:p>
              </w:tc>
              <w:tc>
                <w:tcPr>
                  <w:tcW w:w="1368" w:type="dxa"/>
                  <w:vAlign w:val="top"/>
                </w:tcPr>
                <w:p w14:paraId="263EC2FF">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Mg/m</w:t>
                  </w:r>
                  <w:r>
                    <w:rPr>
                      <w:rFonts w:hint="eastAsia" w:ascii="宋体" w:hAnsi="宋体" w:eastAsia="宋体" w:cs="宋体"/>
                      <w:color w:val="auto"/>
                      <w:sz w:val="21"/>
                      <w:szCs w:val="21"/>
                      <w:vertAlign w:val="superscript"/>
                      <w:lang w:val="en-US" w:eastAsia="zh-CN"/>
                    </w:rPr>
                    <w:t>3</w:t>
                  </w:r>
                </w:p>
              </w:tc>
              <w:tc>
                <w:tcPr>
                  <w:tcW w:w="1295" w:type="dxa"/>
                  <w:vAlign w:val="top"/>
                </w:tcPr>
                <w:p w14:paraId="4F911CF3">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294" w:type="dxa"/>
                  <w:vAlign w:val="top"/>
                </w:tcPr>
                <w:p w14:paraId="123BCA8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Mg/m</w:t>
                  </w:r>
                  <w:r>
                    <w:rPr>
                      <w:rFonts w:hint="eastAsia" w:ascii="宋体" w:hAnsi="宋体" w:eastAsia="宋体" w:cs="宋体"/>
                      <w:color w:val="auto"/>
                      <w:sz w:val="21"/>
                      <w:szCs w:val="21"/>
                      <w:vertAlign w:val="superscript"/>
                      <w:lang w:val="en-US" w:eastAsia="zh-CN"/>
                    </w:rPr>
                    <w:t>3</w:t>
                  </w:r>
                </w:p>
              </w:tc>
              <w:tc>
                <w:tcPr>
                  <w:tcW w:w="1295" w:type="dxa"/>
                  <w:vAlign w:val="top"/>
                </w:tcPr>
                <w:p w14:paraId="67C96A53">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c>
                <w:tcPr>
                  <w:tcW w:w="1295" w:type="dxa"/>
                  <w:vAlign w:val="top"/>
                </w:tcPr>
                <w:p w14:paraId="775F8809">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Mg/m</w:t>
                  </w:r>
                  <w:r>
                    <w:rPr>
                      <w:rFonts w:hint="eastAsia" w:ascii="宋体" w:hAnsi="宋体" w:eastAsia="宋体" w:cs="宋体"/>
                      <w:color w:val="auto"/>
                      <w:sz w:val="21"/>
                      <w:szCs w:val="21"/>
                      <w:vertAlign w:val="superscript"/>
                      <w:lang w:val="en-US" w:eastAsia="zh-CN"/>
                    </w:rPr>
                    <w:t>3</w:t>
                  </w:r>
                </w:p>
              </w:tc>
              <w:tc>
                <w:tcPr>
                  <w:tcW w:w="1295" w:type="dxa"/>
                  <w:vAlign w:val="top"/>
                </w:tcPr>
                <w:p w14:paraId="5C56952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tc>
            </w:tr>
            <w:tr w14:paraId="1222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219" w:type="dxa"/>
                  <w:vAlign w:val="center"/>
                </w:tcPr>
                <w:p w14:paraId="135300C5">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10</w:t>
                  </w:r>
                </w:p>
              </w:tc>
              <w:tc>
                <w:tcPr>
                  <w:tcW w:w="1368" w:type="dxa"/>
                  <w:vAlign w:val="center"/>
                </w:tcPr>
                <w:p w14:paraId="16A082EF">
                  <w:pPr>
                    <w:keepNext w:val="0"/>
                    <w:keepLines w:val="0"/>
                    <w:widowControl/>
                    <w:suppressLineNumbers w:val="0"/>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i w:val="0"/>
                      <w:color w:val="auto"/>
                      <w:kern w:val="0"/>
                      <w:sz w:val="21"/>
                      <w:szCs w:val="21"/>
                      <w:u w:val="none"/>
                      <w:lang w:val="en-US" w:eastAsia="zh-CN" w:bidi="ar"/>
                    </w:rPr>
                    <w:t>0</w:t>
                  </w:r>
                </w:p>
              </w:tc>
              <w:tc>
                <w:tcPr>
                  <w:tcW w:w="1295" w:type="dxa"/>
                  <w:vAlign w:val="center"/>
                </w:tcPr>
                <w:p w14:paraId="1F9C1C97">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0</w:t>
                  </w:r>
                </w:p>
              </w:tc>
              <w:tc>
                <w:tcPr>
                  <w:tcW w:w="1294" w:type="dxa"/>
                  <w:vAlign w:val="center"/>
                </w:tcPr>
                <w:p w14:paraId="19DD4A99">
                  <w:pPr>
                    <w:keepNext w:val="0"/>
                    <w:keepLines w:val="0"/>
                    <w:widowControl/>
                    <w:suppressLineNumbers w:val="0"/>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i w:val="0"/>
                      <w:color w:val="auto"/>
                      <w:kern w:val="0"/>
                      <w:sz w:val="21"/>
                      <w:szCs w:val="21"/>
                      <w:u w:val="none"/>
                      <w:lang w:val="en-US" w:eastAsia="zh-CN" w:bidi="ar"/>
                    </w:rPr>
                    <w:t>0</w:t>
                  </w:r>
                </w:p>
              </w:tc>
              <w:tc>
                <w:tcPr>
                  <w:tcW w:w="1295" w:type="dxa"/>
                  <w:vAlign w:val="center"/>
                </w:tcPr>
                <w:p w14:paraId="1A32B38C">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0</w:t>
                  </w:r>
                </w:p>
              </w:tc>
              <w:tc>
                <w:tcPr>
                  <w:tcW w:w="1295" w:type="dxa"/>
                  <w:vAlign w:val="center"/>
                </w:tcPr>
                <w:p w14:paraId="0D2CFE76">
                  <w:pPr>
                    <w:keepNext w:val="0"/>
                    <w:keepLines w:val="0"/>
                    <w:widowControl/>
                    <w:suppressLineNumbers w:val="0"/>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i w:val="0"/>
                      <w:color w:val="auto"/>
                      <w:kern w:val="0"/>
                      <w:sz w:val="21"/>
                      <w:szCs w:val="21"/>
                      <w:u w:val="none"/>
                      <w:lang w:val="en-US" w:eastAsia="zh-CN" w:bidi="ar"/>
                    </w:rPr>
                    <w:t>0</w:t>
                  </w:r>
                </w:p>
              </w:tc>
              <w:tc>
                <w:tcPr>
                  <w:tcW w:w="1295" w:type="dxa"/>
                  <w:vAlign w:val="center"/>
                </w:tcPr>
                <w:p w14:paraId="49DB8BCC">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0</w:t>
                  </w:r>
                </w:p>
              </w:tc>
            </w:tr>
            <w:tr w14:paraId="3FA9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56FA733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100</w:t>
                  </w:r>
                </w:p>
              </w:tc>
              <w:tc>
                <w:tcPr>
                  <w:tcW w:w="1368" w:type="dxa"/>
                  <w:vAlign w:val="center"/>
                </w:tcPr>
                <w:p w14:paraId="6765958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0.001995</w:t>
                  </w:r>
                </w:p>
              </w:tc>
              <w:tc>
                <w:tcPr>
                  <w:tcW w:w="1295" w:type="dxa"/>
                  <w:vAlign w:val="center"/>
                </w:tcPr>
                <w:p w14:paraId="294B1A0C">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0.4</w:t>
                  </w:r>
                </w:p>
              </w:tc>
              <w:tc>
                <w:tcPr>
                  <w:tcW w:w="1294" w:type="dxa"/>
                  <w:vAlign w:val="center"/>
                </w:tcPr>
                <w:p w14:paraId="0CC9155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0.0003781</w:t>
                  </w:r>
                </w:p>
              </w:tc>
              <w:tc>
                <w:tcPr>
                  <w:tcW w:w="1295" w:type="dxa"/>
                  <w:vAlign w:val="center"/>
                </w:tcPr>
                <w:p w14:paraId="09FCB48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0.19</w:t>
                  </w:r>
                </w:p>
              </w:tc>
              <w:tc>
                <w:tcPr>
                  <w:tcW w:w="1295" w:type="dxa"/>
                  <w:vAlign w:val="center"/>
                </w:tcPr>
                <w:p w14:paraId="577F4D8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0.0001512</w:t>
                  </w:r>
                </w:p>
              </w:tc>
              <w:tc>
                <w:tcPr>
                  <w:tcW w:w="1295" w:type="dxa"/>
                  <w:vAlign w:val="center"/>
                </w:tcPr>
                <w:p w14:paraId="0037791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0.02</w:t>
                  </w:r>
                </w:p>
              </w:tc>
            </w:tr>
            <w:tr w14:paraId="47ED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46E7C61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200</w:t>
                  </w:r>
                </w:p>
              </w:tc>
              <w:tc>
                <w:tcPr>
                  <w:tcW w:w="1368" w:type="dxa"/>
                  <w:vAlign w:val="center"/>
                </w:tcPr>
                <w:p w14:paraId="582B928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0.01499</w:t>
                  </w:r>
                </w:p>
              </w:tc>
              <w:tc>
                <w:tcPr>
                  <w:tcW w:w="1295" w:type="dxa"/>
                  <w:vAlign w:val="center"/>
                </w:tcPr>
                <w:p w14:paraId="1A2D869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3</w:t>
                  </w:r>
                </w:p>
              </w:tc>
              <w:tc>
                <w:tcPr>
                  <w:tcW w:w="1294" w:type="dxa"/>
                  <w:vAlign w:val="center"/>
                </w:tcPr>
                <w:p w14:paraId="5819252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0.002841</w:t>
                  </w:r>
                </w:p>
              </w:tc>
              <w:tc>
                <w:tcPr>
                  <w:tcW w:w="1295" w:type="dxa"/>
                  <w:vAlign w:val="center"/>
                </w:tcPr>
                <w:p w14:paraId="0096F50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1.42</w:t>
                  </w:r>
                </w:p>
              </w:tc>
              <w:tc>
                <w:tcPr>
                  <w:tcW w:w="1295" w:type="dxa"/>
                  <w:vAlign w:val="center"/>
                </w:tcPr>
                <w:p w14:paraId="2ECA470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0.001136</w:t>
                  </w:r>
                </w:p>
              </w:tc>
              <w:tc>
                <w:tcPr>
                  <w:tcW w:w="1295" w:type="dxa"/>
                  <w:vAlign w:val="center"/>
                </w:tcPr>
                <w:p w14:paraId="17F084D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0.13</w:t>
                  </w:r>
                </w:p>
              </w:tc>
            </w:tr>
            <w:tr w14:paraId="7889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73D29D7E">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i w:val="0"/>
                      <w:color w:val="auto"/>
                      <w:kern w:val="0"/>
                      <w:sz w:val="21"/>
                      <w:szCs w:val="21"/>
                      <w:u w:val="none"/>
                      <w:lang w:val="en-US" w:eastAsia="zh-CN" w:bidi="ar"/>
                    </w:rPr>
                    <w:t>232</w:t>
                  </w:r>
                </w:p>
              </w:tc>
              <w:tc>
                <w:tcPr>
                  <w:tcW w:w="1368" w:type="dxa"/>
                  <w:vAlign w:val="center"/>
                </w:tcPr>
                <w:p w14:paraId="392B29D5">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i w:val="0"/>
                      <w:color w:val="auto"/>
                      <w:kern w:val="0"/>
                      <w:sz w:val="21"/>
                      <w:szCs w:val="21"/>
                      <w:u w:val="none"/>
                      <w:lang w:val="en-US" w:eastAsia="zh-CN" w:bidi="ar"/>
                    </w:rPr>
                    <w:t>0.01581</w:t>
                  </w:r>
                </w:p>
              </w:tc>
              <w:tc>
                <w:tcPr>
                  <w:tcW w:w="1295" w:type="dxa"/>
                  <w:vAlign w:val="center"/>
                </w:tcPr>
                <w:p w14:paraId="0B6B6B32">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i w:val="0"/>
                      <w:color w:val="auto"/>
                      <w:kern w:val="0"/>
                      <w:sz w:val="21"/>
                      <w:szCs w:val="21"/>
                      <w:u w:val="none"/>
                      <w:lang w:val="en-US" w:eastAsia="zh-CN" w:bidi="ar"/>
                    </w:rPr>
                    <w:t>3.16</w:t>
                  </w:r>
                </w:p>
              </w:tc>
              <w:tc>
                <w:tcPr>
                  <w:tcW w:w="1294" w:type="dxa"/>
                  <w:vAlign w:val="center"/>
                </w:tcPr>
                <w:p w14:paraId="22A533A2">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i w:val="0"/>
                      <w:color w:val="auto"/>
                      <w:kern w:val="0"/>
                      <w:sz w:val="21"/>
                      <w:szCs w:val="21"/>
                      <w:u w:val="none"/>
                      <w:lang w:val="en-US" w:eastAsia="zh-CN" w:bidi="ar"/>
                    </w:rPr>
                    <w:t>0.002996</w:t>
                  </w:r>
                </w:p>
              </w:tc>
              <w:tc>
                <w:tcPr>
                  <w:tcW w:w="1295" w:type="dxa"/>
                  <w:vAlign w:val="center"/>
                </w:tcPr>
                <w:p w14:paraId="40C8E8F5">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i w:val="0"/>
                      <w:color w:val="auto"/>
                      <w:kern w:val="0"/>
                      <w:sz w:val="21"/>
                      <w:szCs w:val="21"/>
                      <w:u w:val="none"/>
                      <w:lang w:val="en-US" w:eastAsia="zh-CN" w:bidi="ar"/>
                    </w:rPr>
                    <w:t>1.5</w:t>
                  </w:r>
                </w:p>
              </w:tc>
              <w:tc>
                <w:tcPr>
                  <w:tcW w:w="1295" w:type="dxa"/>
                  <w:vAlign w:val="center"/>
                </w:tcPr>
                <w:p w14:paraId="20DD6496">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i w:val="0"/>
                      <w:color w:val="auto"/>
                      <w:kern w:val="0"/>
                      <w:sz w:val="21"/>
                      <w:szCs w:val="21"/>
                      <w:u w:val="none"/>
                      <w:lang w:val="en-US" w:eastAsia="zh-CN" w:bidi="ar"/>
                    </w:rPr>
                    <w:t>0.001198</w:t>
                  </w:r>
                </w:p>
              </w:tc>
              <w:tc>
                <w:tcPr>
                  <w:tcW w:w="1295" w:type="dxa"/>
                  <w:vAlign w:val="center"/>
                </w:tcPr>
                <w:p w14:paraId="058F31FF">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i w:val="0"/>
                      <w:color w:val="auto"/>
                      <w:kern w:val="0"/>
                      <w:sz w:val="21"/>
                      <w:szCs w:val="21"/>
                      <w:u w:val="none"/>
                      <w:lang w:val="en-US" w:eastAsia="zh-CN" w:bidi="ar"/>
                    </w:rPr>
                    <w:t>0.13</w:t>
                  </w:r>
                </w:p>
              </w:tc>
            </w:tr>
            <w:tr w14:paraId="3E08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354F7569">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color w:val="auto"/>
                      <w:kern w:val="0"/>
                      <w:sz w:val="21"/>
                      <w:szCs w:val="21"/>
                      <w:u w:val="none"/>
                      <w:lang w:val="en-US" w:eastAsia="zh-CN" w:bidi="ar"/>
                    </w:rPr>
                    <w:t>300</w:t>
                  </w:r>
                </w:p>
              </w:tc>
              <w:tc>
                <w:tcPr>
                  <w:tcW w:w="1368" w:type="dxa"/>
                  <w:vAlign w:val="center"/>
                </w:tcPr>
                <w:p w14:paraId="4DB7E190">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color w:val="auto"/>
                      <w:kern w:val="0"/>
                      <w:sz w:val="21"/>
                      <w:szCs w:val="21"/>
                      <w:u w:val="none"/>
                      <w:lang w:val="en-US" w:eastAsia="zh-CN" w:bidi="ar"/>
                    </w:rPr>
                    <w:t>0.01494</w:t>
                  </w:r>
                </w:p>
              </w:tc>
              <w:tc>
                <w:tcPr>
                  <w:tcW w:w="1295" w:type="dxa"/>
                  <w:vAlign w:val="center"/>
                </w:tcPr>
                <w:p w14:paraId="4FB630F9">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color w:val="auto"/>
                      <w:kern w:val="0"/>
                      <w:sz w:val="21"/>
                      <w:szCs w:val="21"/>
                      <w:u w:val="none"/>
                      <w:lang w:val="en-US" w:eastAsia="zh-CN" w:bidi="ar"/>
                    </w:rPr>
                    <w:t>2.99</w:t>
                  </w:r>
                </w:p>
              </w:tc>
              <w:tc>
                <w:tcPr>
                  <w:tcW w:w="1294" w:type="dxa"/>
                  <w:vAlign w:val="center"/>
                </w:tcPr>
                <w:p w14:paraId="1B010346">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color w:val="auto"/>
                      <w:kern w:val="0"/>
                      <w:sz w:val="21"/>
                      <w:szCs w:val="21"/>
                      <w:u w:val="none"/>
                      <w:lang w:val="en-US" w:eastAsia="zh-CN" w:bidi="ar"/>
                    </w:rPr>
                    <w:t>0.00283</w:t>
                  </w:r>
                </w:p>
              </w:tc>
              <w:tc>
                <w:tcPr>
                  <w:tcW w:w="1295" w:type="dxa"/>
                  <w:vAlign w:val="center"/>
                </w:tcPr>
                <w:p w14:paraId="5996EDF9">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color w:val="auto"/>
                      <w:kern w:val="0"/>
                      <w:sz w:val="21"/>
                      <w:szCs w:val="21"/>
                      <w:u w:val="none"/>
                      <w:lang w:val="en-US" w:eastAsia="zh-CN" w:bidi="ar"/>
                    </w:rPr>
                    <w:t>1.41</w:t>
                  </w:r>
                </w:p>
              </w:tc>
              <w:tc>
                <w:tcPr>
                  <w:tcW w:w="1295" w:type="dxa"/>
                  <w:vAlign w:val="center"/>
                </w:tcPr>
                <w:p w14:paraId="0DAD25DC">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color w:val="auto"/>
                      <w:kern w:val="0"/>
                      <w:sz w:val="21"/>
                      <w:szCs w:val="21"/>
                      <w:u w:val="none"/>
                      <w:lang w:val="en-US" w:eastAsia="zh-CN" w:bidi="ar"/>
                    </w:rPr>
                    <w:t>0.001132</w:t>
                  </w:r>
                </w:p>
              </w:tc>
              <w:tc>
                <w:tcPr>
                  <w:tcW w:w="1295" w:type="dxa"/>
                  <w:vAlign w:val="center"/>
                </w:tcPr>
                <w:p w14:paraId="5FCCC700">
                  <w:pPr>
                    <w:keepNext w:val="0"/>
                    <w:keepLines w:val="0"/>
                    <w:widowControl/>
                    <w:suppressLineNumbers w:val="0"/>
                    <w:spacing w:line="24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color w:val="auto"/>
                      <w:kern w:val="0"/>
                      <w:sz w:val="21"/>
                      <w:szCs w:val="21"/>
                      <w:u w:val="none"/>
                      <w:lang w:val="en-US" w:eastAsia="zh-CN" w:bidi="ar"/>
                    </w:rPr>
                    <w:t>0.13</w:t>
                  </w:r>
                </w:p>
              </w:tc>
            </w:tr>
            <w:tr w14:paraId="16DD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47B00E2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400</w:t>
                  </w:r>
                </w:p>
              </w:tc>
              <w:tc>
                <w:tcPr>
                  <w:tcW w:w="1368" w:type="dxa"/>
                  <w:vAlign w:val="center"/>
                </w:tcPr>
                <w:p w14:paraId="13F634D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0.01444</w:t>
                  </w:r>
                </w:p>
              </w:tc>
              <w:tc>
                <w:tcPr>
                  <w:tcW w:w="1295" w:type="dxa"/>
                  <w:vAlign w:val="center"/>
                </w:tcPr>
                <w:p w14:paraId="6C98EDE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2.89</w:t>
                  </w:r>
                </w:p>
              </w:tc>
              <w:tc>
                <w:tcPr>
                  <w:tcW w:w="1294" w:type="dxa"/>
                  <w:vAlign w:val="center"/>
                </w:tcPr>
                <w:p w14:paraId="45BBB02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0.002736</w:t>
                  </w:r>
                </w:p>
              </w:tc>
              <w:tc>
                <w:tcPr>
                  <w:tcW w:w="1295" w:type="dxa"/>
                  <w:vAlign w:val="center"/>
                </w:tcPr>
                <w:p w14:paraId="5E2E612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1.37</w:t>
                  </w:r>
                </w:p>
              </w:tc>
              <w:tc>
                <w:tcPr>
                  <w:tcW w:w="1295" w:type="dxa"/>
                  <w:vAlign w:val="center"/>
                </w:tcPr>
                <w:p w14:paraId="262F1DE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0.001094</w:t>
                  </w:r>
                </w:p>
              </w:tc>
              <w:tc>
                <w:tcPr>
                  <w:tcW w:w="1295" w:type="dxa"/>
                  <w:vAlign w:val="center"/>
                </w:tcPr>
                <w:p w14:paraId="2BF76A1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0.12</w:t>
                  </w:r>
                </w:p>
              </w:tc>
            </w:tr>
            <w:tr w14:paraId="3C15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62E40DA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500</w:t>
                  </w:r>
                </w:p>
              </w:tc>
              <w:tc>
                <w:tcPr>
                  <w:tcW w:w="1368" w:type="dxa"/>
                  <w:vAlign w:val="center"/>
                </w:tcPr>
                <w:p w14:paraId="4F80C33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0.01529</w:t>
                  </w:r>
                </w:p>
              </w:tc>
              <w:tc>
                <w:tcPr>
                  <w:tcW w:w="1295" w:type="dxa"/>
                  <w:vAlign w:val="center"/>
                </w:tcPr>
                <w:p w14:paraId="26C045D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3.06</w:t>
                  </w:r>
                </w:p>
              </w:tc>
              <w:tc>
                <w:tcPr>
                  <w:tcW w:w="1294" w:type="dxa"/>
                  <w:vAlign w:val="center"/>
                </w:tcPr>
                <w:p w14:paraId="69A3EA2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0.002896</w:t>
                  </w:r>
                </w:p>
              </w:tc>
              <w:tc>
                <w:tcPr>
                  <w:tcW w:w="1295" w:type="dxa"/>
                  <w:vAlign w:val="center"/>
                </w:tcPr>
                <w:p w14:paraId="6FF30E2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1.45</w:t>
                  </w:r>
                </w:p>
              </w:tc>
              <w:tc>
                <w:tcPr>
                  <w:tcW w:w="1295" w:type="dxa"/>
                  <w:vAlign w:val="center"/>
                </w:tcPr>
                <w:p w14:paraId="4C910EC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0.001158</w:t>
                  </w:r>
                </w:p>
              </w:tc>
              <w:tc>
                <w:tcPr>
                  <w:tcW w:w="1295" w:type="dxa"/>
                  <w:vAlign w:val="center"/>
                </w:tcPr>
                <w:p w14:paraId="0FA9BD6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0.13</w:t>
                  </w:r>
                </w:p>
              </w:tc>
            </w:tr>
            <w:tr w14:paraId="2F17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000D3F4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600</w:t>
                  </w:r>
                </w:p>
              </w:tc>
              <w:tc>
                <w:tcPr>
                  <w:tcW w:w="1368" w:type="dxa"/>
                  <w:vAlign w:val="center"/>
                </w:tcPr>
                <w:p w14:paraId="5F71C0F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0.01453</w:t>
                  </w:r>
                </w:p>
              </w:tc>
              <w:tc>
                <w:tcPr>
                  <w:tcW w:w="1295" w:type="dxa"/>
                  <w:vAlign w:val="center"/>
                </w:tcPr>
                <w:p w14:paraId="10F00B3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2.91</w:t>
                  </w:r>
                </w:p>
              </w:tc>
              <w:tc>
                <w:tcPr>
                  <w:tcW w:w="1294" w:type="dxa"/>
                  <w:vAlign w:val="center"/>
                </w:tcPr>
                <w:p w14:paraId="29054177">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0.002753</w:t>
                  </w:r>
                </w:p>
              </w:tc>
              <w:tc>
                <w:tcPr>
                  <w:tcW w:w="1295" w:type="dxa"/>
                  <w:vAlign w:val="center"/>
                </w:tcPr>
                <w:p w14:paraId="203CBF3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1.38</w:t>
                  </w:r>
                </w:p>
              </w:tc>
              <w:tc>
                <w:tcPr>
                  <w:tcW w:w="1295" w:type="dxa"/>
                  <w:vAlign w:val="center"/>
                </w:tcPr>
                <w:p w14:paraId="61FDCE4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0.001101</w:t>
                  </w:r>
                </w:p>
              </w:tc>
              <w:tc>
                <w:tcPr>
                  <w:tcW w:w="1295" w:type="dxa"/>
                  <w:vAlign w:val="center"/>
                </w:tcPr>
                <w:p w14:paraId="4180C60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0.12</w:t>
                  </w:r>
                </w:p>
              </w:tc>
            </w:tr>
            <w:tr w14:paraId="0DAC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2D8CFAD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700</w:t>
                  </w:r>
                </w:p>
              </w:tc>
              <w:tc>
                <w:tcPr>
                  <w:tcW w:w="1368" w:type="dxa"/>
                  <w:vAlign w:val="center"/>
                </w:tcPr>
                <w:p w14:paraId="186C570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0.01307</w:t>
                  </w:r>
                </w:p>
              </w:tc>
              <w:tc>
                <w:tcPr>
                  <w:tcW w:w="1295" w:type="dxa"/>
                  <w:vAlign w:val="center"/>
                </w:tcPr>
                <w:p w14:paraId="3C19AB7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2.61</w:t>
                  </w:r>
                </w:p>
              </w:tc>
              <w:tc>
                <w:tcPr>
                  <w:tcW w:w="1294" w:type="dxa"/>
                  <w:vAlign w:val="center"/>
                </w:tcPr>
                <w:p w14:paraId="03500AE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0.002477</w:t>
                  </w:r>
                </w:p>
              </w:tc>
              <w:tc>
                <w:tcPr>
                  <w:tcW w:w="1295" w:type="dxa"/>
                  <w:vAlign w:val="center"/>
                </w:tcPr>
                <w:p w14:paraId="0C8A08D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1.24</w:t>
                  </w:r>
                </w:p>
              </w:tc>
              <w:tc>
                <w:tcPr>
                  <w:tcW w:w="1295" w:type="dxa"/>
                  <w:vAlign w:val="center"/>
                </w:tcPr>
                <w:p w14:paraId="561AB7D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0.0009909</w:t>
                  </w:r>
                </w:p>
              </w:tc>
              <w:tc>
                <w:tcPr>
                  <w:tcW w:w="1295" w:type="dxa"/>
                  <w:vAlign w:val="center"/>
                </w:tcPr>
                <w:p w14:paraId="67BCA3F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0.11</w:t>
                  </w:r>
                </w:p>
              </w:tc>
            </w:tr>
            <w:tr w14:paraId="6C0D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42E78D1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800</w:t>
                  </w:r>
                </w:p>
              </w:tc>
              <w:tc>
                <w:tcPr>
                  <w:tcW w:w="1368" w:type="dxa"/>
                  <w:vAlign w:val="center"/>
                </w:tcPr>
                <w:p w14:paraId="313C9BB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0.01152</w:t>
                  </w:r>
                </w:p>
              </w:tc>
              <w:tc>
                <w:tcPr>
                  <w:tcW w:w="1295" w:type="dxa"/>
                  <w:vAlign w:val="center"/>
                </w:tcPr>
                <w:p w14:paraId="1022129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2.3</w:t>
                  </w:r>
                </w:p>
              </w:tc>
              <w:tc>
                <w:tcPr>
                  <w:tcW w:w="1294" w:type="dxa"/>
                  <w:vAlign w:val="center"/>
                </w:tcPr>
                <w:p w14:paraId="7E360AB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0.002183</w:t>
                  </w:r>
                </w:p>
              </w:tc>
              <w:tc>
                <w:tcPr>
                  <w:tcW w:w="1295" w:type="dxa"/>
                  <w:vAlign w:val="center"/>
                </w:tcPr>
                <w:p w14:paraId="604F799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1.09</w:t>
                  </w:r>
                </w:p>
              </w:tc>
              <w:tc>
                <w:tcPr>
                  <w:tcW w:w="1295" w:type="dxa"/>
                  <w:vAlign w:val="center"/>
                </w:tcPr>
                <w:p w14:paraId="7D669BE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0.0008733</w:t>
                  </w:r>
                </w:p>
              </w:tc>
              <w:tc>
                <w:tcPr>
                  <w:tcW w:w="1295" w:type="dxa"/>
                  <w:vAlign w:val="center"/>
                </w:tcPr>
                <w:p w14:paraId="3AD6F4F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w:t>
                  </w:r>
                </w:p>
              </w:tc>
            </w:tr>
            <w:tr w14:paraId="7A92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4FBECF75">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900</w:t>
                  </w:r>
                </w:p>
              </w:tc>
              <w:tc>
                <w:tcPr>
                  <w:tcW w:w="1368" w:type="dxa"/>
                  <w:vAlign w:val="center"/>
                </w:tcPr>
                <w:p w14:paraId="7A3DB0CC">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0.01183</w:t>
                  </w:r>
                </w:p>
              </w:tc>
              <w:tc>
                <w:tcPr>
                  <w:tcW w:w="1295" w:type="dxa"/>
                  <w:vAlign w:val="center"/>
                </w:tcPr>
                <w:p w14:paraId="63277C2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2.37</w:t>
                  </w:r>
                </w:p>
              </w:tc>
              <w:tc>
                <w:tcPr>
                  <w:tcW w:w="1294" w:type="dxa"/>
                  <w:vAlign w:val="center"/>
                </w:tcPr>
                <w:p w14:paraId="3244159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0.002241</w:t>
                  </w:r>
                </w:p>
              </w:tc>
              <w:tc>
                <w:tcPr>
                  <w:tcW w:w="1295" w:type="dxa"/>
                  <w:vAlign w:val="center"/>
                </w:tcPr>
                <w:p w14:paraId="3C212D2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1.12</w:t>
                  </w:r>
                </w:p>
              </w:tc>
              <w:tc>
                <w:tcPr>
                  <w:tcW w:w="1295" w:type="dxa"/>
                  <w:vAlign w:val="center"/>
                </w:tcPr>
                <w:p w14:paraId="35AE0FA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0.0008965</w:t>
                  </w:r>
                </w:p>
              </w:tc>
              <w:tc>
                <w:tcPr>
                  <w:tcW w:w="1295" w:type="dxa"/>
                  <w:vAlign w:val="center"/>
                </w:tcPr>
                <w:p w14:paraId="4D1123E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w:t>
                  </w:r>
                </w:p>
              </w:tc>
            </w:tr>
            <w:tr w14:paraId="18FD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12E0696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1000</w:t>
                  </w:r>
                </w:p>
              </w:tc>
              <w:tc>
                <w:tcPr>
                  <w:tcW w:w="1368" w:type="dxa"/>
                  <w:vAlign w:val="center"/>
                </w:tcPr>
                <w:p w14:paraId="71136BE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0.01184</w:t>
                  </w:r>
                </w:p>
              </w:tc>
              <w:tc>
                <w:tcPr>
                  <w:tcW w:w="1295" w:type="dxa"/>
                  <w:vAlign w:val="center"/>
                </w:tcPr>
                <w:p w14:paraId="2F89CB3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2.37</w:t>
                  </w:r>
                </w:p>
              </w:tc>
              <w:tc>
                <w:tcPr>
                  <w:tcW w:w="1294" w:type="dxa"/>
                  <w:vAlign w:val="center"/>
                </w:tcPr>
                <w:p w14:paraId="3B01C4E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0.002243</w:t>
                  </w:r>
                </w:p>
              </w:tc>
              <w:tc>
                <w:tcPr>
                  <w:tcW w:w="1295" w:type="dxa"/>
                  <w:vAlign w:val="center"/>
                </w:tcPr>
                <w:p w14:paraId="1C2ADC9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1.12</w:t>
                  </w:r>
                </w:p>
              </w:tc>
              <w:tc>
                <w:tcPr>
                  <w:tcW w:w="1295" w:type="dxa"/>
                  <w:vAlign w:val="center"/>
                </w:tcPr>
                <w:p w14:paraId="5117BA5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0.0008973</w:t>
                  </w:r>
                </w:p>
              </w:tc>
              <w:tc>
                <w:tcPr>
                  <w:tcW w:w="1295" w:type="dxa"/>
                  <w:vAlign w:val="center"/>
                </w:tcPr>
                <w:p w14:paraId="753B60A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w:t>
                  </w:r>
                </w:p>
              </w:tc>
            </w:tr>
            <w:tr w14:paraId="029B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05EBD3C5">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1100</w:t>
                  </w:r>
                </w:p>
              </w:tc>
              <w:tc>
                <w:tcPr>
                  <w:tcW w:w="1368" w:type="dxa"/>
                  <w:vAlign w:val="center"/>
                </w:tcPr>
                <w:p w14:paraId="641D756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0.01143</w:t>
                  </w:r>
                </w:p>
              </w:tc>
              <w:tc>
                <w:tcPr>
                  <w:tcW w:w="1295" w:type="dxa"/>
                  <w:vAlign w:val="center"/>
                </w:tcPr>
                <w:p w14:paraId="06BBF86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2.29</w:t>
                  </w:r>
                </w:p>
              </w:tc>
              <w:tc>
                <w:tcPr>
                  <w:tcW w:w="1294" w:type="dxa"/>
                  <w:vAlign w:val="center"/>
                </w:tcPr>
                <w:p w14:paraId="4898C525">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0.002166</w:t>
                  </w:r>
                </w:p>
              </w:tc>
              <w:tc>
                <w:tcPr>
                  <w:tcW w:w="1295" w:type="dxa"/>
                  <w:vAlign w:val="center"/>
                </w:tcPr>
                <w:p w14:paraId="4B3026A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1.08</w:t>
                  </w:r>
                </w:p>
              </w:tc>
              <w:tc>
                <w:tcPr>
                  <w:tcW w:w="1295" w:type="dxa"/>
                  <w:vAlign w:val="center"/>
                </w:tcPr>
                <w:p w14:paraId="37297CAC">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0.0008666</w:t>
                  </w:r>
                </w:p>
              </w:tc>
              <w:tc>
                <w:tcPr>
                  <w:tcW w:w="1295" w:type="dxa"/>
                  <w:vAlign w:val="center"/>
                </w:tcPr>
                <w:p w14:paraId="0DF78E8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0.1</w:t>
                  </w:r>
                </w:p>
              </w:tc>
            </w:tr>
            <w:tr w14:paraId="54D5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23C2C5E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1200</w:t>
                  </w:r>
                </w:p>
              </w:tc>
              <w:tc>
                <w:tcPr>
                  <w:tcW w:w="1368" w:type="dxa"/>
                  <w:vAlign w:val="center"/>
                </w:tcPr>
                <w:p w14:paraId="6224B917">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0.01095</w:t>
                  </w:r>
                </w:p>
              </w:tc>
              <w:tc>
                <w:tcPr>
                  <w:tcW w:w="1295" w:type="dxa"/>
                  <w:vAlign w:val="center"/>
                </w:tcPr>
                <w:p w14:paraId="60DF873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2.19</w:t>
                  </w:r>
                </w:p>
              </w:tc>
              <w:tc>
                <w:tcPr>
                  <w:tcW w:w="1294" w:type="dxa"/>
                  <w:vAlign w:val="center"/>
                </w:tcPr>
                <w:p w14:paraId="389684C7">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0.002075</w:t>
                  </w:r>
                </w:p>
              </w:tc>
              <w:tc>
                <w:tcPr>
                  <w:tcW w:w="1295" w:type="dxa"/>
                  <w:vAlign w:val="center"/>
                </w:tcPr>
                <w:p w14:paraId="74371D5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1.04</w:t>
                  </w:r>
                </w:p>
              </w:tc>
              <w:tc>
                <w:tcPr>
                  <w:tcW w:w="1295" w:type="dxa"/>
                  <w:vAlign w:val="center"/>
                </w:tcPr>
                <w:p w14:paraId="303F2B2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0.00083</w:t>
                  </w:r>
                </w:p>
              </w:tc>
              <w:tc>
                <w:tcPr>
                  <w:tcW w:w="1295" w:type="dxa"/>
                  <w:vAlign w:val="center"/>
                </w:tcPr>
                <w:p w14:paraId="2FD9524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0.09</w:t>
                  </w:r>
                </w:p>
              </w:tc>
            </w:tr>
            <w:tr w14:paraId="6D9F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563C64F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1300</w:t>
                  </w:r>
                </w:p>
              </w:tc>
              <w:tc>
                <w:tcPr>
                  <w:tcW w:w="1368" w:type="dxa"/>
                  <w:vAlign w:val="center"/>
                </w:tcPr>
                <w:p w14:paraId="0DBA970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0.01044</w:t>
                  </w:r>
                </w:p>
              </w:tc>
              <w:tc>
                <w:tcPr>
                  <w:tcW w:w="1295" w:type="dxa"/>
                  <w:vAlign w:val="center"/>
                </w:tcPr>
                <w:p w14:paraId="6A4FDF2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2.09</w:t>
                  </w:r>
                </w:p>
              </w:tc>
              <w:tc>
                <w:tcPr>
                  <w:tcW w:w="1294" w:type="dxa"/>
                  <w:vAlign w:val="center"/>
                </w:tcPr>
                <w:p w14:paraId="27DBAF7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0.001978</w:t>
                  </w:r>
                </w:p>
              </w:tc>
              <w:tc>
                <w:tcPr>
                  <w:tcW w:w="1295" w:type="dxa"/>
                  <w:vAlign w:val="center"/>
                </w:tcPr>
                <w:p w14:paraId="20D32E3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0.99</w:t>
                  </w:r>
                </w:p>
              </w:tc>
              <w:tc>
                <w:tcPr>
                  <w:tcW w:w="1295" w:type="dxa"/>
                  <w:vAlign w:val="center"/>
                </w:tcPr>
                <w:p w14:paraId="24646ED7">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0.0007911</w:t>
                  </w:r>
                </w:p>
              </w:tc>
              <w:tc>
                <w:tcPr>
                  <w:tcW w:w="1295" w:type="dxa"/>
                  <w:vAlign w:val="center"/>
                </w:tcPr>
                <w:p w14:paraId="1DD379C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0.09</w:t>
                  </w:r>
                </w:p>
              </w:tc>
            </w:tr>
            <w:tr w14:paraId="2075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28815B8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1400</w:t>
                  </w:r>
                </w:p>
              </w:tc>
              <w:tc>
                <w:tcPr>
                  <w:tcW w:w="1368" w:type="dxa"/>
                  <w:vAlign w:val="center"/>
                </w:tcPr>
                <w:p w14:paraId="0A8CFC1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0.009918</w:t>
                  </w:r>
                </w:p>
              </w:tc>
              <w:tc>
                <w:tcPr>
                  <w:tcW w:w="1295" w:type="dxa"/>
                  <w:vAlign w:val="center"/>
                </w:tcPr>
                <w:p w14:paraId="4623713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1.98</w:t>
                  </w:r>
                </w:p>
              </w:tc>
              <w:tc>
                <w:tcPr>
                  <w:tcW w:w="1294" w:type="dxa"/>
                  <w:vAlign w:val="center"/>
                </w:tcPr>
                <w:p w14:paraId="259DAD6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0.001879</w:t>
                  </w:r>
                </w:p>
              </w:tc>
              <w:tc>
                <w:tcPr>
                  <w:tcW w:w="1295" w:type="dxa"/>
                  <w:vAlign w:val="center"/>
                </w:tcPr>
                <w:p w14:paraId="6D904C0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0.94</w:t>
                  </w:r>
                </w:p>
              </w:tc>
              <w:tc>
                <w:tcPr>
                  <w:tcW w:w="1295" w:type="dxa"/>
                  <w:vAlign w:val="center"/>
                </w:tcPr>
                <w:p w14:paraId="0854AA5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0.0007517</w:t>
                  </w:r>
                </w:p>
              </w:tc>
              <w:tc>
                <w:tcPr>
                  <w:tcW w:w="1295" w:type="dxa"/>
                  <w:vAlign w:val="center"/>
                </w:tcPr>
                <w:p w14:paraId="39DBA61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0.08</w:t>
                  </w:r>
                </w:p>
              </w:tc>
            </w:tr>
            <w:tr w14:paraId="2241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56A69CE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1500</w:t>
                  </w:r>
                </w:p>
              </w:tc>
              <w:tc>
                <w:tcPr>
                  <w:tcW w:w="1368" w:type="dxa"/>
                  <w:vAlign w:val="center"/>
                </w:tcPr>
                <w:p w14:paraId="7CEB6DA5">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0.009408</w:t>
                  </w:r>
                </w:p>
              </w:tc>
              <w:tc>
                <w:tcPr>
                  <w:tcW w:w="1295" w:type="dxa"/>
                  <w:vAlign w:val="center"/>
                </w:tcPr>
                <w:p w14:paraId="3E2AADA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1.88</w:t>
                  </w:r>
                </w:p>
              </w:tc>
              <w:tc>
                <w:tcPr>
                  <w:tcW w:w="1294" w:type="dxa"/>
                  <w:vAlign w:val="center"/>
                </w:tcPr>
                <w:p w14:paraId="61EADC4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0.001783</w:t>
                  </w:r>
                </w:p>
              </w:tc>
              <w:tc>
                <w:tcPr>
                  <w:tcW w:w="1295" w:type="dxa"/>
                  <w:vAlign w:val="center"/>
                </w:tcPr>
                <w:p w14:paraId="5E23D74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0.89</w:t>
                  </w:r>
                </w:p>
              </w:tc>
              <w:tc>
                <w:tcPr>
                  <w:tcW w:w="1295" w:type="dxa"/>
                  <w:vAlign w:val="center"/>
                </w:tcPr>
                <w:p w14:paraId="705D1C8C">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0.000713</w:t>
                  </w:r>
                </w:p>
              </w:tc>
              <w:tc>
                <w:tcPr>
                  <w:tcW w:w="1295" w:type="dxa"/>
                  <w:vAlign w:val="center"/>
                </w:tcPr>
                <w:p w14:paraId="3113B96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0.08</w:t>
                  </w:r>
                </w:p>
              </w:tc>
            </w:tr>
            <w:tr w14:paraId="4B4B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530348A5">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1600</w:t>
                  </w:r>
                </w:p>
              </w:tc>
              <w:tc>
                <w:tcPr>
                  <w:tcW w:w="1368" w:type="dxa"/>
                  <w:vAlign w:val="center"/>
                </w:tcPr>
                <w:p w14:paraId="6B0E6A4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0.008919</w:t>
                  </w:r>
                </w:p>
              </w:tc>
              <w:tc>
                <w:tcPr>
                  <w:tcW w:w="1295" w:type="dxa"/>
                  <w:vAlign w:val="center"/>
                </w:tcPr>
                <w:p w14:paraId="072EB45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1.78</w:t>
                  </w:r>
                </w:p>
              </w:tc>
              <w:tc>
                <w:tcPr>
                  <w:tcW w:w="1294" w:type="dxa"/>
                  <w:vAlign w:val="center"/>
                </w:tcPr>
                <w:p w14:paraId="63F2822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0.00169</w:t>
                  </w:r>
                </w:p>
              </w:tc>
              <w:tc>
                <w:tcPr>
                  <w:tcW w:w="1295" w:type="dxa"/>
                  <w:vAlign w:val="center"/>
                </w:tcPr>
                <w:p w14:paraId="0EF4F40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0.84</w:t>
                  </w:r>
                </w:p>
              </w:tc>
              <w:tc>
                <w:tcPr>
                  <w:tcW w:w="1295" w:type="dxa"/>
                  <w:vAlign w:val="center"/>
                </w:tcPr>
                <w:p w14:paraId="3F4B6C8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0.0006759</w:t>
                  </w:r>
                </w:p>
              </w:tc>
              <w:tc>
                <w:tcPr>
                  <w:tcW w:w="1295" w:type="dxa"/>
                  <w:vAlign w:val="center"/>
                </w:tcPr>
                <w:p w14:paraId="42DAD13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0.08</w:t>
                  </w:r>
                </w:p>
              </w:tc>
            </w:tr>
            <w:tr w14:paraId="3E66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587AA99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1700</w:t>
                  </w:r>
                </w:p>
              </w:tc>
              <w:tc>
                <w:tcPr>
                  <w:tcW w:w="1368" w:type="dxa"/>
                  <w:vAlign w:val="center"/>
                </w:tcPr>
                <w:p w14:paraId="0B68BBB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0.008454</w:t>
                  </w:r>
                </w:p>
              </w:tc>
              <w:tc>
                <w:tcPr>
                  <w:tcW w:w="1295" w:type="dxa"/>
                  <w:vAlign w:val="center"/>
                </w:tcPr>
                <w:p w14:paraId="49E20E0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1.69</w:t>
                  </w:r>
                </w:p>
              </w:tc>
              <w:tc>
                <w:tcPr>
                  <w:tcW w:w="1294" w:type="dxa"/>
                  <w:vAlign w:val="center"/>
                </w:tcPr>
                <w:p w14:paraId="5D69BF4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0.001602</w:t>
                  </w:r>
                </w:p>
              </w:tc>
              <w:tc>
                <w:tcPr>
                  <w:tcW w:w="1295" w:type="dxa"/>
                  <w:vAlign w:val="center"/>
                </w:tcPr>
                <w:p w14:paraId="507ABEB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0.8</w:t>
                  </w:r>
                </w:p>
              </w:tc>
              <w:tc>
                <w:tcPr>
                  <w:tcW w:w="1295" w:type="dxa"/>
                  <w:vAlign w:val="center"/>
                </w:tcPr>
                <w:p w14:paraId="16EFE2C5">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0.0006407</w:t>
                  </w:r>
                </w:p>
              </w:tc>
              <w:tc>
                <w:tcPr>
                  <w:tcW w:w="1295" w:type="dxa"/>
                  <w:vAlign w:val="center"/>
                </w:tcPr>
                <w:p w14:paraId="63A1091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0.07</w:t>
                  </w:r>
                </w:p>
              </w:tc>
            </w:tr>
            <w:tr w14:paraId="6FEE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1677882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1800</w:t>
                  </w:r>
                </w:p>
              </w:tc>
              <w:tc>
                <w:tcPr>
                  <w:tcW w:w="1368" w:type="dxa"/>
                  <w:vAlign w:val="center"/>
                </w:tcPr>
                <w:p w14:paraId="4D8B387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0.008015</w:t>
                  </w:r>
                </w:p>
              </w:tc>
              <w:tc>
                <w:tcPr>
                  <w:tcW w:w="1295" w:type="dxa"/>
                  <w:vAlign w:val="center"/>
                </w:tcPr>
                <w:p w14:paraId="572DFE5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1.6</w:t>
                  </w:r>
                </w:p>
              </w:tc>
              <w:tc>
                <w:tcPr>
                  <w:tcW w:w="1294" w:type="dxa"/>
                  <w:vAlign w:val="center"/>
                </w:tcPr>
                <w:p w14:paraId="51637447">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0.001519</w:t>
                  </w:r>
                </w:p>
              </w:tc>
              <w:tc>
                <w:tcPr>
                  <w:tcW w:w="1295" w:type="dxa"/>
                  <w:vAlign w:val="center"/>
                </w:tcPr>
                <w:p w14:paraId="6BBB352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0.76</w:t>
                  </w:r>
                </w:p>
              </w:tc>
              <w:tc>
                <w:tcPr>
                  <w:tcW w:w="1295" w:type="dxa"/>
                  <w:vAlign w:val="center"/>
                </w:tcPr>
                <w:p w14:paraId="51661B1C">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0.0006075</w:t>
                  </w:r>
                </w:p>
              </w:tc>
              <w:tc>
                <w:tcPr>
                  <w:tcW w:w="1295" w:type="dxa"/>
                  <w:vAlign w:val="center"/>
                </w:tcPr>
                <w:p w14:paraId="104605ED">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0.07</w:t>
                  </w:r>
                </w:p>
              </w:tc>
            </w:tr>
            <w:tr w14:paraId="7651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58081BA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1900</w:t>
                  </w:r>
                </w:p>
              </w:tc>
              <w:tc>
                <w:tcPr>
                  <w:tcW w:w="1368" w:type="dxa"/>
                  <w:vAlign w:val="center"/>
                </w:tcPr>
                <w:p w14:paraId="79AAEAA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0.007605</w:t>
                  </w:r>
                </w:p>
              </w:tc>
              <w:tc>
                <w:tcPr>
                  <w:tcW w:w="1295" w:type="dxa"/>
                  <w:vAlign w:val="center"/>
                </w:tcPr>
                <w:p w14:paraId="1635E27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1.52</w:t>
                  </w:r>
                </w:p>
              </w:tc>
              <w:tc>
                <w:tcPr>
                  <w:tcW w:w="1294" w:type="dxa"/>
                  <w:vAlign w:val="center"/>
                </w:tcPr>
                <w:p w14:paraId="399604D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0.001441</w:t>
                  </w:r>
                </w:p>
              </w:tc>
              <w:tc>
                <w:tcPr>
                  <w:tcW w:w="1295" w:type="dxa"/>
                  <w:vAlign w:val="center"/>
                </w:tcPr>
                <w:p w14:paraId="1F97F6AB">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0.72</w:t>
                  </w:r>
                </w:p>
              </w:tc>
              <w:tc>
                <w:tcPr>
                  <w:tcW w:w="1295" w:type="dxa"/>
                  <w:vAlign w:val="center"/>
                </w:tcPr>
                <w:p w14:paraId="13BCAD3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0.0005763</w:t>
                  </w:r>
                </w:p>
              </w:tc>
              <w:tc>
                <w:tcPr>
                  <w:tcW w:w="1295" w:type="dxa"/>
                  <w:vAlign w:val="center"/>
                </w:tcPr>
                <w:p w14:paraId="3203EBC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0.06</w:t>
                  </w:r>
                </w:p>
              </w:tc>
            </w:tr>
            <w:tr w14:paraId="7050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219" w:type="dxa"/>
                  <w:vAlign w:val="center"/>
                </w:tcPr>
                <w:p w14:paraId="1BFAECF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2000</w:t>
                  </w:r>
                </w:p>
              </w:tc>
              <w:tc>
                <w:tcPr>
                  <w:tcW w:w="1368" w:type="dxa"/>
                  <w:vAlign w:val="center"/>
                </w:tcPr>
                <w:p w14:paraId="04A5540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0.00722</w:t>
                  </w:r>
                </w:p>
              </w:tc>
              <w:tc>
                <w:tcPr>
                  <w:tcW w:w="1295" w:type="dxa"/>
                  <w:vAlign w:val="center"/>
                </w:tcPr>
                <w:p w14:paraId="6E68653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1.44</w:t>
                  </w:r>
                </w:p>
              </w:tc>
              <w:tc>
                <w:tcPr>
                  <w:tcW w:w="1294" w:type="dxa"/>
                  <w:vAlign w:val="center"/>
                </w:tcPr>
                <w:p w14:paraId="3DF45D9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0.001368</w:t>
                  </w:r>
                </w:p>
              </w:tc>
              <w:tc>
                <w:tcPr>
                  <w:tcW w:w="1295" w:type="dxa"/>
                  <w:vAlign w:val="center"/>
                </w:tcPr>
                <w:p w14:paraId="647072A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0.68</w:t>
                  </w:r>
                </w:p>
              </w:tc>
              <w:tc>
                <w:tcPr>
                  <w:tcW w:w="1295" w:type="dxa"/>
                  <w:vAlign w:val="center"/>
                </w:tcPr>
                <w:p w14:paraId="5DC9BD9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0.0005472</w:t>
                  </w:r>
                </w:p>
              </w:tc>
              <w:tc>
                <w:tcPr>
                  <w:tcW w:w="1295" w:type="dxa"/>
                  <w:vAlign w:val="center"/>
                </w:tcPr>
                <w:p w14:paraId="007262C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0.06</w:t>
                  </w:r>
                </w:p>
              </w:tc>
            </w:tr>
            <w:tr w14:paraId="37DE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3B658F07">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2100</w:t>
                  </w:r>
                </w:p>
              </w:tc>
              <w:tc>
                <w:tcPr>
                  <w:tcW w:w="1368" w:type="dxa"/>
                  <w:vAlign w:val="center"/>
                </w:tcPr>
                <w:p w14:paraId="38885522">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0.006862</w:t>
                  </w:r>
                </w:p>
              </w:tc>
              <w:tc>
                <w:tcPr>
                  <w:tcW w:w="1295" w:type="dxa"/>
                  <w:vAlign w:val="center"/>
                </w:tcPr>
                <w:p w14:paraId="012E8A8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1.37</w:t>
                  </w:r>
                </w:p>
              </w:tc>
              <w:tc>
                <w:tcPr>
                  <w:tcW w:w="1294" w:type="dxa"/>
                  <w:vAlign w:val="center"/>
                </w:tcPr>
                <w:p w14:paraId="06D4618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0.0013</w:t>
                  </w:r>
                </w:p>
              </w:tc>
              <w:tc>
                <w:tcPr>
                  <w:tcW w:w="1295" w:type="dxa"/>
                  <w:vAlign w:val="center"/>
                </w:tcPr>
                <w:p w14:paraId="1483D3E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0.65</w:t>
                  </w:r>
                </w:p>
              </w:tc>
              <w:tc>
                <w:tcPr>
                  <w:tcW w:w="1295" w:type="dxa"/>
                  <w:vAlign w:val="center"/>
                </w:tcPr>
                <w:p w14:paraId="77B8451A">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0.0005201</w:t>
                  </w:r>
                </w:p>
              </w:tc>
              <w:tc>
                <w:tcPr>
                  <w:tcW w:w="1295" w:type="dxa"/>
                  <w:vAlign w:val="center"/>
                </w:tcPr>
                <w:p w14:paraId="07F399F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0.06</w:t>
                  </w:r>
                </w:p>
              </w:tc>
            </w:tr>
            <w:tr w14:paraId="744B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4BA74A6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2200</w:t>
                  </w:r>
                </w:p>
              </w:tc>
              <w:tc>
                <w:tcPr>
                  <w:tcW w:w="1368" w:type="dxa"/>
                  <w:vAlign w:val="center"/>
                </w:tcPr>
                <w:p w14:paraId="0A56F3B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0.006528</w:t>
                  </w:r>
                </w:p>
              </w:tc>
              <w:tc>
                <w:tcPr>
                  <w:tcW w:w="1295" w:type="dxa"/>
                  <w:vAlign w:val="center"/>
                </w:tcPr>
                <w:p w14:paraId="33FEADA7">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1.31</w:t>
                  </w:r>
                </w:p>
              </w:tc>
              <w:tc>
                <w:tcPr>
                  <w:tcW w:w="1294" w:type="dxa"/>
                  <w:vAlign w:val="center"/>
                </w:tcPr>
                <w:p w14:paraId="111ADD29">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0.001237</w:t>
                  </w:r>
                </w:p>
              </w:tc>
              <w:tc>
                <w:tcPr>
                  <w:tcW w:w="1295" w:type="dxa"/>
                  <w:vAlign w:val="center"/>
                </w:tcPr>
                <w:p w14:paraId="2B2335F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0.62</w:t>
                  </w:r>
                </w:p>
              </w:tc>
              <w:tc>
                <w:tcPr>
                  <w:tcW w:w="1295" w:type="dxa"/>
                  <w:vAlign w:val="center"/>
                </w:tcPr>
                <w:p w14:paraId="786B3AE5">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0.0004947</w:t>
                  </w:r>
                </w:p>
              </w:tc>
              <w:tc>
                <w:tcPr>
                  <w:tcW w:w="1295" w:type="dxa"/>
                  <w:vAlign w:val="center"/>
                </w:tcPr>
                <w:p w14:paraId="182D343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0.05</w:t>
                  </w:r>
                </w:p>
              </w:tc>
            </w:tr>
            <w:tr w14:paraId="61CF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72CC587E">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2300</w:t>
                  </w:r>
                </w:p>
              </w:tc>
              <w:tc>
                <w:tcPr>
                  <w:tcW w:w="1368" w:type="dxa"/>
                  <w:vAlign w:val="center"/>
                </w:tcPr>
                <w:p w14:paraId="15B834B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0.006216</w:t>
                  </w:r>
                </w:p>
              </w:tc>
              <w:tc>
                <w:tcPr>
                  <w:tcW w:w="1295" w:type="dxa"/>
                  <w:vAlign w:val="center"/>
                </w:tcPr>
                <w:p w14:paraId="3B1A0B7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1.24</w:t>
                  </w:r>
                </w:p>
              </w:tc>
              <w:tc>
                <w:tcPr>
                  <w:tcW w:w="1294" w:type="dxa"/>
                  <w:vAlign w:val="center"/>
                </w:tcPr>
                <w:p w14:paraId="7D32CA5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0.001178</w:t>
                  </w:r>
                </w:p>
              </w:tc>
              <w:tc>
                <w:tcPr>
                  <w:tcW w:w="1295" w:type="dxa"/>
                  <w:vAlign w:val="center"/>
                </w:tcPr>
                <w:p w14:paraId="298E5C2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0.59</w:t>
                  </w:r>
                </w:p>
              </w:tc>
              <w:tc>
                <w:tcPr>
                  <w:tcW w:w="1295" w:type="dxa"/>
                  <w:vAlign w:val="center"/>
                </w:tcPr>
                <w:p w14:paraId="09CF63B8">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0.0004711</w:t>
                  </w:r>
                </w:p>
              </w:tc>
              <w:tc>
                <w:tcPr>
                  <w:tcW w:w="1295" w:type="dxa"/>
                  <w:vAlign w:val="center"/>
                </w:tcPr>
                <w:p w14:paraId="1809DDD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0.05</w:t>
                  </w:r>
                </w:p>
              </w:tc>
            </w:tr>
            <w:tr w14:paraId="134E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2E9838B9">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2400</w:t>
                  </w:r>
                </w:p>
              </w:tc>
              <w:tc>
                <w:tcPr>
                  <w:tcW w:w="1368" w:type="dxa"/>
                  <w:vAlign w:val="center"/>
                </w:tcPr>
                <w:p w14:paraId="65F1A2A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0.005926</w:t>
                  </w:r>
                </w:p>
              </w:tc>
              <w:tc>
                <w:tcPr>
                  <w:tcW w:w="1295" w:type="dxa"/>
                  <w:vAlign w:val="center"/>
                </w:tcPr>
                <w:p w14:paraId="777AD9E5">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1.19</w:t>
                  </w:r>
                </w:p>
              </w:tc>
              <w:tc>
                <w:tcPr>
                  <w:tcW w:w="1294" w:type="dxa"/>
                  <w:vAlign w:val="center"/>
                </w:tcPr>
                <w:p w14:paraId="73B45ADC">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0.001123</w:t>
                  </w:r>
                </w:p>
              </w:tc>
              <w:tc>
                <w:tcPr>
                  <w:tcW w:w="1295" w:type="dxa"/>
                  <w:vAlign w:val="center"/>
                </w:tcPr>
                <w:p w14:paraId="6B05E150">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0.56</w:t>
                  </w:r>
                </w:p>
              </w:tc>
              <w:tc>
                <w:tcPr>
                  <w:tcW w:w="1295" w:type="dxa"/>
                  <w:vAlign w:val="center"/>
                </w:tcPr>
                <w:p w14:paraId="1077712F">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0.0004491</w:t>
                  </w:r>
                </w:p>
              </w:tc>
              <w:tc>
                <w:tcPr>
                  <w:tcW w:w="1295" w:type="dxa"/>
                  <w:vAlign w:val="center"/>
                </w:tcPr>
                <w:p w14:paraId="2041D82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0.05</w:t>
                  </w:r>
                </w:p>
              </w:tc>
            </w:tr>
            <w:tr w14:paraId="3EAD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6E335F8F">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color w:val="auto"/>
                      <w:kern w:val="0"/>
                      <w:sz w:val="21"/>
                      <w:szCs w:val="21"/>
                      <w:u w:val="none"/>
                      <w:lang w:val="en-US" w:eastAsia="zh-CN" w:bidi="ar"/>
                    </w:rPr>
                    <w:t>2500</w:t>
                  </w:r>
                </w:p>
              </w:tc>
              <w:tc>
                <w:tcPr>
                  <w:tcW w:w="1368" w:type="dxa"/>
                  <w:vAlign w:val="center"/>
                </w:tcPr>
                <w:p w14:paraId="5F92DD37">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0.005655</w:t>
                  </w:r>
                </w:p>
              </w:tc>
              <w:tc>
                <w:tcPr>
                  <w:tcW w:w="1295" w:type="dxa"/>
                  <w:vAlign w:val="center"/>
                </w:tcPr>
                <w:p w14:paraId="2BCFB4DE">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1.13</w:t>
                  </w:r>
                </w:p>
              </w:tc>
              <w:tc>
                <w:tcPr>
                  <w:tcW w:w="1294" w:type="dxa"/>
                  <w:vAlign w:val="center"/>
                </w:tcPr>
                <w:p w14:paraId="5F2A8024">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0.001072</w:t>
                  </w:r>
                </w:p>
              </w:tc>
              <w:tc>
                <w:tcPr>
                  <w:tcW w:w="1295" w:type="dxa"/>
                  <w:vAlign w:val="center"/>
                </w:tcPr>
                <w:p w14:paraId="3141DEC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0.54</w:t>
                  </w:r>
                </w:p>
              </w:tc>
              <w:tc>
                <w:tcPr>
                  <w:tcW w:w="1295" w:type="dxa"/>
                  <w:vAlign w:val="center"/>
                </w:tcPr>
                <w:p w14:paraId="6C4CF0F1">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0.0004286</w:t>
                  </w:r>
                </w:p>
              </w:tc>
              <w:tc>
                <w:tcPr>
                  <w:tcW w:w="1295" w:type="dxa"/>
                  <w:vAlign w:val="center"/>
                </w:tcPr>
                <w:p w14:paraId="7F68D946">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0.05</w:t>
                  </w:r>
                </w:p>
              </w:tc>
            </w:tr>
          </w:tbl>
          <w:p w14:paraId="094F72C0">
            <w:pPr>
              <w:spacing w:line="360" w:lineRule="auto"/>
              <w:ind w:firstLine="480" w:firstLineChars="200"/>
              <w:rPr>
                <w:rFonts w:hint="eastAsia" w:ascii="Times New Roman" w:hAnsi="Times New Roman"/>
                <w:bCs/>
                <w:color w:val="auto"/>
                <w:sz w:val="24"/>
                <w:lang w:val="en-US" w:eastAsia="zh-CN"/>
              </w:rPr>
            </w:pPr>
            <w:r>
              <w:rPr>
                <w:rFonts w:hint="eastAsia" w:ascii="宋体" w:hAnsi="宋体" w:eastAsia="宋体" w:cs="宋体"/>
                <w:bCs/>
                <w:color w:val="auto"/>
                <w:sz w:val="24"/>
                <w:lang w:val="en-US" w:eastAsia="zh-CN"/>
              </w:rPr>
              <w:t>根据表7-3的计算结果，本项目建成后热风炉烟气中</w:t>
            </w:r>
            <w:r>
              <w:rPr>
                <w:rFonts w:hint="eastAsia" w:ascii="宋体" w:hAnsi="宋体" w:eastAsia="宋体" w:cs="宋体"/>
                <w:color w:val="auto"/>
                <w:sz w:val="24"/>
                <w:szCs w:val="24"/>
              </w:rPr>
              <w:t>三种污染物的最大</w:t>
            </w:r>
            <w:r>
              <w:rPr>
                <w:rFonts w:hint="eastAsia" w:ascii="宋体" w:hAnsi="宋体" w:eastAsia="宋体" w:cs="宋体"/>
                <w:color w:val="auto"/>
                <w:sz w:val="24"/>
                <w:szCs w:val="24"/>
                <w:lang w:eastAsia="zh-CN"/>
              </w:rPr>
              <w:t>地面</w:t>
            </w:r>
            <w:r>
              <w:rPr>
                <w:rFonts w:hint="eastAsia" w:ascii="宋体" w:hAnsi="宋体" w:eastAsia="宋体" w:cs="宋体"/>
                <w:color w:val="auto"/>
                <w:sz w:val="24"/>
                <w:szCs w:val="24"/>
              </w:rPr>
              <w:t>浓度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占标率</w:t>
            </w:r>
            <w:r>
              <w:rPr>
                <w:rFonts w:hint="eastAsia" w:ascii="宋体" w:hAnsi="宋体" w:eastAsia="宋体" w:cs="宋体"/>
                <w:color w:val="auto"/>
                <w:sz w:val="24"/>
                <w:szCs w:val="24"/>
                <w:lang w:eastAsia="zh-CN"/>
              </w:rPr>
              <w:t>分别为</w:t>
            </w:r>
            <w:r>
              <w:rPr>
                <w:rFonts w:hint="eastAsia" w:ascii="宋体" w:hAnsi="宋体" w:eastAsia="宋体" w:cs="宋体"/>
                <w:color w:val="auto"/>
                <w:sz w:val="24"/>
                <w:szCs w:val="24"/>
                <w:lang w:val="en-US" w:eastAsia="zh-CN"/>
              </w:rPr>
              <w:t>SO</w:t>
            </w:r>
            <w:r>
              <w:rPr>
                <w:rFonts w:hint="eastAsia" w:ascii="宋体" w:hAnsi="宋体" w:eastAsia="宋体" w:cs="宋体"/>
                <w:color w:val="auto"/>
                <w:sz w:val="24"/>
                <w:szCs w:val="24"/>
                <w:vertAlign w:val="subscript"/>
                <w:lang w:val="en-US" w:eastAsia="zh-CN"/>
              </w:rPr>
              <w:t>2</w:t>
            </w:r>
            <w:r>
              <w:rPr>
                <w:rFonts w:hint="eastAsia" w:ascii="宋体" w:hAnsi="宋体" w:eastAsia="宋体" w:cs="宋体"/>
                <w:color w:val="auto"/>
                <w:sz w:val="24"/>
                <w:szCs w:val="24"/>
              </w:rPr>
              <w:t>最大落地浓度为</w:t>
            </w:r>
            <w:r>
              <w:rPr>
                <w:rFonts w:hint="eastAsia" w:ascii="宋体" w:hAnsi="宋体" w:eastAsia="宋体" w:cs="宋体"/>
                <w:color w:val="auto"/>
                <w:sz w:val="24"/>
                <w:szCs w:val="24"/>
                <w:lang w:val="en-US" w:eastAsia="zh-CN"/>
              </w:rPr>
              <w:t>0.0</w:t>
            </w:r>
            <w:r>
              <w:rPr>
                <w:rFonts w:hint="eastAsia" w:ascii="宋体" w:hAnsi="宋体" w:cs="宋体"/>
                <w:color w:val="auto"/>
                <w:sz w:val="24"/>
                <w:szCs w:val="24"/>
                <w:lang w:val="en-US" w:eastAsia="zh-CN"/>
              </w:rPr>
              <w:t>1581</w:t>
            </w:r>
            <w:r>
              <w:rPr>
                <w:rFonts w:hint="eastAsia" w:ascii="宋体" w:hAnsi="宋体" w:eastAsia="宋体" w:cs="宋体"/>
                <w:color w:val="auto"/>
                <w:sz w:val="24"/>
                <w:szCs w:val="24"/>
                <w:lang w:val="en-US" w:eastAsia="zh-CN"/>
              </w:rPr>
              <w:t>m</w:t>
            </w:r>
            <w:r>
              <w:rPr>
                <w:rFonts w:hint="eastAsia" w:ascii="宋体" w:hAnsi="宋体" w:eastAsia="宋体" w:cs="宋体"/>
                <w:color w:val="auto"/>
                <w:sz w:val="24"/>
                <w:szCs w:val="24"/>
              </w:rPr>
              <w:t>g/m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，占标率为</w:t>
            </w:r>
            <w:r>
              <w:rPr>
                <w:rFonts w:hint="eastAsia" w:ascii="宋体" w:hAnsi="宋体" w:cs="宋体"/>
                <w:color w:val="auto"/>
                <w:sz w:val="24"/>
                <w:szCs w:val="24"/>
                <w:lang w:val="en-US" w:eastAsia="zh-CN"/>
              </w:rPr>
              <w:t>3.16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NO</w:t>
            </w:r>
            <w:r>
              <w:rPr>
                <w:rFonts w:hint="eastAsia" w:ascii="宋体" w:hAnsi="宋体" w:eastAsia="宋体" w:cs="宋体"/>
                <w:color w:val="auto"/>
                <w:sz w:val="24"/>
                <w:szCs w:val="24"/>
                <w:vertAlign w:val="subscript"/>
                <w:lang w:val="en-US" w:eastAsia="zh-CN"/>
              </w:rPr>
              <w:t>2</w:t>
            </w:r>
            <w:r>
              <w:rPr>
                <w:rFonts w:hint="eastAsia" w:ascii="宋体" w:hAnsi="宋体" w:eastAsia="宋体" w:cs="宋体"/>
                <w:color w:val="auto"/>
                <w:sz w:val="24"/>
                <w:szCs w:val="24"/>
              </w:rPr>
              <w:t>最大落地浓度为</w:t>
            </w:r>
            <w:r>
              <w:rPr>
                <w:rFonts w:hint="eastAsia" w:ascii="宋体" w:hAnsi="宋体" w:eastAsia="宋体" w:cs="宋体"/>
                <w:color w:val="auto"/>
                <w:sz w:val="24"/>
                <w:szCs w:val="24"/>
                <w:lang w:val="en-US" w:eastAsia="zh-CN"/>
              </w:rPr>
              <w:t>0.00</w:t>
            </w:r>
            <w:r>
              <w:rPr>
                <w:rFonts w:hint="eastAsia" w:ascii="宋体" w:hAnsi="宋体" w:cs="宋体"/>
                <w:color w:val="auto"/>
                <w:sz w:val="24"/>
                <w:szCs w:val="24"/>
                <w:lang w:val="en-US" w:eastAsia="zh-CN"/>
              </w:rPr>
              <w:t>2996</w:t>
            </w:r>
            <w:r>
              <w:rPr>
                <w:rFonts w:hint="eastAsia" w:ascii="宋体" w:hAnsi="宋体" w:eastAsia="宋体" w:cs="宋体"/>
                <w:color w:val="auto"/>
                <w:sz w:val="24"/>
                <w:szCs w:val="24"/>
                <w:lang w:val="en-US" w:eastAsia="zh-CN"/>
              </w:rPr>
              <w:t>m</w:t>
            </w:r>
            <w:r>
              <w:rPr>
                <w:rFonts w:hint="eastAsia" w:ascii="宋体" w:hAnsi="宋体" w:eastAsia="宋体" w:cs="宋体"/>
                <w:color w:val="auto"/>
                <w:sz w:val="24"/>
                <w:szCs w:val="24"/>
              </w:rPr>
              <w:t>g/m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，占标率为</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TSP</w:t>
            </w:r>
            <w:r>
              <w:rPr>
                <w:rFonts w:hint="eastAsia" w:ascii="宋体" w:hAnsi="宋体" w:eastAsia="宋体" w:cs="宋体"/>
                <w:color w:val="auto"/>
                <w:sz w:val="24"/>
                <w:szCs w:val="24"/>
              </w:rPr>
              <w:t>最大落地浓度为</w:t>
            </w:r>
            <w:r>
              <w:rPr>
                <w:rFonts w:hint="eastAsia" w:ascii="宋体" w:hAnsi="宋体" w:eastAsia="宋体" w:cs="宋体"/>
                <w:color w:val="auto"/>
                <w:sz w:val="24"/>
                <w:szCs w:val="24"/>
                <w:lang w:val="en-US" w:eastAsia="zh-CN"/>
              </w:rPr>
              <w:t>0.001</w:t>
            </w:r>
            <w:r>
              <w:rPr>
                <w:rFonts w:hint="eastAsia" w:ascii="宋体" w:hAnsi="宋体" w:cs="宋体"/>
                <w:color w:val="auto"/>
                <w:sz w:val="24"/>
                <w:szCs w:val="24"/>
                <w:lang w:val="en-US" w:eastAsia="zh-CN"/>
              </w:rPr>
              <w:t>198</w:t>
            </w:r>
            <w:r>
              <w:rPr>
                <w:rFonts w:hint="eastAsia" w:ascii="宋体" w:hAnsi="宋体" w:eastAsia="宋体" w:cs="宋体"/>
                <w:color w:val="auto"/>
                <w:sz w:val="24"/>
                <w:szCs w:val="24"/>
                <w:lang w:val="en-US" w:eastAsia="zh-CN"/>
              </w:rPr>
              <w:t>m</w:t>
            </w:r>
            <w:r>
              <w:rPr>
                <w:rFonts w:hint="eastAsia" w:ascii="宋体" w:hAnsi="宋体" w:eastAsia="宋体" w:cs="宋体"/>
                <w:color w:val="auto"/>
                <w:sz w:val="24"/>
                <w:szCs w:val="24"/>
              </w:rPr>
              <w:t>g/m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，占标率为</w:t>
            </w:r>
            <w:r>
              <w:rPr>
                <w:rFonts w:hint="eastAsia" w:ascii="宋体" w:hAnsi="宋体" w:eastAsia="宋体" w:cs="宋体"/>
                <w:color w:val="auto"/>
                <w:sz w:val="24"/>
                <w:szCs w:val="24"/>
                <w:lang w:val="en-US" w:eastAsia="zh-CN"/>
              </w:rPr>
              <w:t>0.1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，对周围环境空气质量影响较小</w:t>
            </w:r>
            <w:r>
              <w:rPr>
                <w:rFonts w:hint="eastAsia" w:ascii="宋体" w:hAnsi="宋体" w:eastAsia="宋体" w:cs="宋体"/>
                <w:color w:val="auto"/>
                <w:sz w:val="24"/>
                <w:szCs w:val="24"/>
                <w:lang w:val="en-US" w:eastAsia="zh-CN"/>
              </w:rPr>
              <w:t>。未超出</w:t>
            </w:r>
            <w:r>
              <w:rPr>
                <w:rFonts w:hint="eastAsia" w:ascii="宋体" w:hAnsi="宋体" w:eastAsia="宋体" w:cs="宋体"/>
                <w:color w:val="auto"/>
                <w:sz w:val="24"/>
                <w:szCs w:val="24"/>
              </w:rPr>
              <w:t>《环境空气质量标准》（GB3095-2012）二级标准要求</w:t>
            </w:r>
            <w:r>
              <w:rPr>
                <w:rFonts w:hint="eastAsia" w:ascii="宋体" w:hAnsi="宋体" w:eastAsia="宋体" w:cs="宋体"/>
                <w:color w:val="auto"/>
                <w:sz w:val="24"/>
                <w:szCs w:val="24"/>
                <w:lang w:eastAsia="zh-CN"/>
              </w:rPr>
              <w:t>，因此，项目营运期</w:t>
            </w:r>
            <w:r>
              <w:rPr>
                <w:rFonts w:hint="eastAsia" w:ascii="宋体" w:hAnsi="宋体" w:cs="宋体"/>
                <w:color w:val="auto"/>
                <w:sz w:val="24"/>
                <w:szCs w:val="24"/>
                <w:lang w:val="en-US" w:eastAsia="zh-CN"/>
              </w:rPr>
              <w:t>3台</w:t>
            </w:r>
            <w:r>
              <w:rPr>
                <w:rFonts w:hint="eastAsia" w:ascii="宋体" w:hAnsi="宋体" w:eastAsia="宋体" w:cs="宋体"/>
                <w:color w:val="auto"/>
                <w:sz w:val="24"/>
                <w:szCs w:val="24"/>
                <w:lang w:eastAsia="zh-CN"/>
              </w:rPr>
              <w:t>热风炉产生的烟尘</w:t>
            </w:r>
            <w:r>
              <w:rPr>
                <w:rFonts w:hint="eastAsia" w:ascii="宋体" w:hAnsi="宋体" w:cs="宋体"/>
                <w:color w:val="auto"/>
                <w:sz w:val="24"/>
                <w:szCs w:val="24"/>
                <w:lang w:eastAsia="zh-CN"/>
              </w:rPr>
              <w:t>统一</w:t>
            </w:r>
            <w:r>
              <w:rPr>
                <w:rFonts w:hint="eastAsia" w:ascii="宋体" w:hAnsi="宋体" w:eastAsia="宋体" w:cs="宋体"/>
                <w:color w:val="auto"/>
                <w:sz w:val="24"/>
                <w:szCs w:val="24"/>
                <w:lang w:eastAsia="zh-CN"/>
              </w:rPr>
              <w:t>经</w:t>
            </w:r>
            <w:r>
              <w:rPr>
                <w:rFonts w:hint="eastAsia" w:ascii="宋体" w:hAnsi="宋体" w:cs="宋体"/>
                <w:color w:val="auto"/>
                <w:sz w:val="24"/>
                <w:szCs w:val="24"/>
                <w:lang w:val="en-US" w:eastAsia="zh-CN"/>
              </w:rPr>
              <w:t>1套旋风+布袋</w:t>
            </w:r>
            <w:r>
              <w:rPr>
                <w:rFonts w:hint="eastAsia" w:ascii="宋体" w:hAnsi="宋体" w:eastAsia="宋体" w:cs="宋体"/>
                <w:color w:val="auto"/>
                <w:sz w:val="24"/>
                <w:szCs w:val="24"/>
                <w:lang w:eastAsia="zh-CN"/>
              </w:rPr>
              <w:t>除尘器除尘以后排放对环境保护目标及敏感点不产生影响。</w:t>
            </w:r>
          </w:p>
          <w:p w14:paraId="11E37F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）茶叶加工过程产生的粉尘</w:t>
            </w:r>
          </w:p>
          <w:p w14:paraId="7CD6DC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bCs/>
                <w:color w:val="auto"/>
                <w:sz w:val="24"/>
                <w:lang w:val="en-US" w:eastAsia="zh-CN"/>
              </w:rPr>
            </w:pPr>
            <w:r>
              <w:rPr>
                <w:rFonts w:hint="eastAsia" w:ascii="宋体" w:hAnsi="宋体" w:eastAsia="宋体" w:cs="宋体"/>
                <w:color w:val="auto"/>
                <w:sz w:val="24"/>
                <w:szCs w:val="24"/>
                <w:lang w:eastAsia="zh-CN"/>
              </w:rPr>
              <w:t>茶叶在加工过程</w:t>
            </w:r>
            <w:r>
              <w:rPr>
                <w:rFonts w:hint="eastAsia" w:ascii="宋体" w:hAnsi="宋体" w:eastAsia="宋体" w:cs="宋体"/>
                <w:color w:val="auto"/>
                <w:sz w:val="24"/>
                <w:szCs w:val="24"/>
              </w:rPr>
              <w:t>中会有一定量的</w:t>
            </w:r>
            <w:r>
              <w:rPr>
                <w:rFonts w:hint="eastAsia" w:ascii="宋体" w:hAnsi="宋体" w:eastAsia="宋体" w:cs="宋体"/>
                <w:color w:val="auto"/>
                <w:sz w:val="24"/>
                <w:szCs w:val="24"/>
                <w:lang w:eastAsia="zh-CN"/>
              </w:rPr>
              <w:t>茶</w:t>
            </w:r>
            <w:r>
              <w:rPr>
                <w:rFonts w:hint="eastAsia" w:ascii="宋体" w:hAnsi="宋体" w:eastAsia="宋体" w:cs="宋体"/>
                <w:color w:val="auto"/>
                <w:sz w:val="24"/>
                <w:szCs w:val="24"/>
              </w:rPr>
              <w:t>尘产生， 茶叶加工过程中会有一定的茶尘产生，主要成分为茶叶，根据《环境影响评价适用技术指南》，无组织茶尘产生量约为加工茶叶量的0.01%，本项目原料鲜叶年用量为</w:t>
            </w:r>
            <w:r>
              <w:rPr>
                <w:rFonts w:hint="eastAsia" w:ascii="宋体" w:hAnsi="宋体" w:eastAsia="宋体" w:cs="宋体"/>
                <w:color w:val="auto"/>
                <w:sz w:val="24"/>
                <w:szCs w:val="24"/>
                <w:lang w:val="en-US" w:eastAsia="zh-CN"/>
              </w:rPr>
              <w:t>1750</w:t>
            </w:r>
            <w:r>
              <w:rPr>
                <w:rFonts w:hint="eastAsia" w:ascii="宋体" w:hAnsi="宋体" w:eastAsia="宋体" w:cs="宋体"/>
                <w:color w:val="auto"/>
                <w:sz w:val="24"/>
                <w:szCs w:val="24"/>
              </w:rPr>
              <w:t>t/a,则茶尘年产量约为0.</w:t>
            </w:r>
            <w:r>
              <w:rPr>
                <w:rFonts w:hint="eastAsia" w:ascii="宋体" w:hAnsi="宋体" w:eastAsia="宋体" w:cs="宋体"/>
                <w:color w:val="auto"/>
                <w:sz w:val="24"/>
                <w:szCs w:val="24"/>
                <w:lang w:val="en-US" w:eastAsia="zh-CN"/>
              </w:rPr>
              <w:t>175</w:t>
            </w:r>
            <w:r>
              <w:rPr>
                <w:rFonts w:hint="eastAsia" w:ascii="宋体" w:hAnsi="宋体" w:eastAsia="宋体" w:cs="宋体"/>
                <w:color w:val="auto"/>
                <w:sz w:val="24"/>
                <w:szCs w:val="24"/>
              </w:rPr>
              <w:t>t/a</w:t>
            </w:r>
            <w:r>
              <w:rPr>
                <w:rFonts w:hint="eastAsia" w:ascii="宋体" w:hAnsi="宋体" w:eastAsia="宋体" w:cs="宋体"/>
                <w:color w:val="auto"/>
                <w:sz w:val="24"/>
                <w:szCs w:val="24"/>
                <w:lang w:eastAsia="zh-CN"/>
              </w:rPr>
              <w:t>，排放速率为</w:t>
            </w:r>
            <w:r>
              <w:rPr>
                <w:rFonts w:hint="eastAsia" w:ascii="宋体" w:hAnsi="宋体" w:eastAsia="宋体" w:cs="宋体"/>
                <w:color w:val="auto"/>
                <w:sz w:val="24"/>
                <w:szCs w:val="24"/>
                <w:lang w:val="en-US" w:eastAsia="zh-CN"/>
              </w:rPr>
              <w:t>0.091kg/h</w:t>
            </w:r>
            <w:r>
              <w:rPr>
                <w:rFonts w:hint="eastAsia" w:ascii="宋体" w:hAnsi="宋体" w:eastAsia="宋体" w:cs="宋体"/>
                <w:color w:val="auto"/>
                <w:sz w:val="24"/>
                <w:szCs w:val="24"/>
              </w:rPr>
              <w:t>。</w:t>
            </w:r>
          </w:p>
          <w:p w14:paraId="2BD860E1">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按照导则要求采用导则推荐的估算模式对</w:t>
            </w:r>
            <w:r>
              <w:rPr>
                <w:rFonts w:hint="eastAsia" w:ascii="宋体" w:hAnsi="宋体" w:eastAsia="宋体" w:cs="宋体"/>
                <w:color w:val="auto"/>
                <w:sz w:val="24"/>
                <w:highlight w:val="none"/>
                <w:u w:val="none" w:color="auto"/>
                <w:lang w:val="en-US" w:eastAsia="zh-CN"/>
              </w:rPr>
              <w:t>无组织粉尘</w:t>
            </w:r>
            <w:r>
              <w:rPr>
                <w:rFonts w:hint="eastAsia" w:ascii="宋体" w:hAnsi="宋体" w:eastAsia="宋体" w:cs="宋体"/>
                <w:color w:val="auto"/>
                <w:sz w:val="24"/>
                <w:highlight w:val="none"/>
                <w:u w:val="none" w:color="auto"/>
              </w:rPr>
              <w:t>影响作出预测分析</w:t>
            </w:r>
            <w:r>
              <w:rPr>
                <w:rFonts w:hint="eastAsia" w:ascii="宋体" w:hAnsi="宋体" w:eastAsia="宋体" w:cs="宋体"/>
                <w:color w:val="auto"/>
                <w:sz w:val="24"/>
                <w:highlight w:val="none"/>
                <w:u w:val="none" w:color="auto"/>
                <w:lang w:val="en-US" w:eastAsia="zh-CN"/>
              </w:rPr>
              <w:t>，</w:t>
            </w:r>
            <w:r>
              <w:rPr>
                <w:rFonts w:hint="eastAsia" w:ascii="宋体" w:hAnsi="宋体" w:eastAsia="宋体" w:cs="宋体"/>
                <w:color w:val="auto"/>
                <w:sz w:val="24"/>
                <w:highlight w:val="none"/>
                <w:u w:val="none" w:color="auto"/>
              </w:rPr>
              <w:t>预测参数设置情况见表</w:t>
            </w:r>
            <w:r>
              <w:rPr>
                <w:rFonts w:hint="eastAsia" w:ascii="宋体" w:hAnsi="宋体" w:eastAsia="宋体" w:cs="宋体"/>
                <w:color w:val="auto"/>
                <w:sz w:val="24"/>
                <w:highlight w:val="none"/>
                <w:u w:val="none" w:color="auto"/>
                <w:lang w:val="en-US" w:eastAsia="zh-CN"/>
              </w:rPr>
              <w:t>7</w:t>
            </w:r>
            <w:r>
              <w:rPr>
                <w:rFonts w:hint="eastAsia" w:ascii="宋体" w:hAnsi="宋体" w:eastAsia="宋体" w:cs="宋体"/>
                <w:color w:val="auto"/>
                <w:sz w:val="24"/>
                <w:highlight w:val="none"/>
                <w:u w:val="none" w:color="auto"/>
              </w:rPr>
              <w:t>-</w:t>
            </w:r>
            <w:r>
              <w:rPr>
                <w:rFonts w:hint="eastAsia" w:ascii="宋体" w:hAnsi="宋体" w:eastAsia="宋体" w:cs="宋体"/>
                <w:color w:val="auto"/>
                <w:sz w:val="24"/>
                <w:highlight w:val="none"/>
                <w:u w:val="none" w:color="auto"/>
                <w:lang w:val="en-US" w:eastAsia="zh-CN"/>
              </w:rPr>
              <w:t>4</w:t>
            </w:r>
            <w:r>
              <w:rPr>
                <w:rFonts w:hint="eastAsia" w:ascii="宋体" w:hAnsi="宋体" w:eastAsia="宋体" w:cs="宋体"/>
                <w:color w:val="auto"/>
                <w:sz w:val="24"/>
                <w:highlight w:val="none"/>
                <w:u w:val="none" w:color="auto"/>
              </w:rPr>
              <w:t>。</w:t>
            </w:r>
          </w:p>
          <w:p w14:paraId="592DAF76">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right="0" w:rightChars="0" w:firstLine="2650" w:firstLineChars="1100"/>
              <w:jc w:val="both"/>
              <w:textAlignment w:val="auto"/>
              <w:outlineLvl w:val="9"/>
              <w:rPr>
                <w:rFonts w:hint="eastAsia" w:ascii="宋体" w:hAnsi="宋体" w:eastAsia="宋体" w:cs="宋体"/>
                <w:b/>
                <w:color w:val="auto"/>
                <w:sz w:val="24"/>
                <w:highlight w:val="none"/>
                <w:u w:val="none" w:color="auto"/>
              </w:rPr>
            </w:pPr>
            <w:r>
              <w:rPr>
                <w:rFonts w:hint="eastAsia" w:ascii="宋体" w:hAnsi="宋体" w:eastAsia="宋体" w:cs="宋体"/>
                <w:b/>
                <w:color w:val="auto"/>
                <w:sz w:val="24"/>
                <w:highlight w:val="none"/>
                <w:u w:val="none" w:color="auto"/>
              </w:rPr>
              <w:t>表</w:t>
            </w:r>
            <w:r>
              <w:rPr>
                <w:rFonts w:hint="eastAsia" w:ascii="宋体" w:hAnsi="宋体" w:eastAsia="宋体" w:cs="宋体"/>
                <w:b/>
                <w:color w:val="auto"/>
                <w:sz w:val="24"/>
                <w:highlight w:val="none"/>
                <w:u w:val="none" w:color="auto"/>
                <w:lang w:val="en-US" w:eastAsia="zh-CN"/>
              </w:rPr>
              <w:t>7-4</w:t>
            </w:r>
            <w:r>
              <w:rPr>
                <w:rFonts w:hint="eastAsia" w:ascii="宋体" w:hAnsi="宋体" w:eastAsia="宋体" w:cs="宋体"/>
                <w:b/>
                <w:color w:val="auto"/>
                <w:sz w:val="24"/>
                <w:highlight w:val="none"/>
                <w:u w:val="none" w:color="auto"/>
              </w:rPr>
              <w:t xml:space="preserve"> 面源污染源排放情况</w:t>
            </w:r>
          </w:p>
          <w:tbl>
            <w:tblPr>
              <w:tblStyle w:val="2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451"/>
              <w:gridCol w:w="1235"/>
              <w:gridCol w:w="1438"/>
              <w:gridCol w:w="1385"/>
              <w:gridCol w:w="1294"/>
              <w:gridCol w:w="1295"/>
            </w:tblGrid>
            <w:tr w14:paraId="4D82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 w:type="dxa"/>
                  <w:vAlign w:val="center"/>
                </w:tcPr>
                <w:p w14:paraId="08BFE03B">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主要污染物</w:t>
                  </w:r>
                </w:p>
              </w:tc>
              <w:tc>
                <w:tcPr>
                  <w:tcW w:w="1451" w:type="dxa"/>
                  <w:vAlign w:val="center"/>
                </w:tcPr>
                <w:p w14:paraId="6947BA61">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距离厂界最近距离（m）</w:t>
                  </w:r>
                </w:p>
              </w:tc>
              <w:tc>
                <w:tcPr>
                  <w:tcW w:w="1235" w:type="dxa"/>
                  <w:vAlign w:val="center"/>
                </w:tcPr>
                <w:p w14:paraId="490D3348">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面源面积</w:t>
                  </w:r>
                </w:p>
                <w:p w14:paraId="60E8D722">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A(m</w:t>
                  </w:r>
                  <w:r>
                    <w:rPr>
                      <w:rFonts w:hint="eastAsia" w:ascii="宋体" w:hAnsi="宋体" w:eastAsia="宋体" w:cs="宋体"/>
                      <w:color w:val="auto"/>
                      <w:sz w:val="21"/>
                      <w:highlight w:val="none"/>
                      <w:u w:val="none" w:color="auto"/>
                      <w:vertAlign w:val="superscript"/>
                    </w:rPr>
                    <w:t>2</w:t>
                  </w:r>
                  <w:r>
                    <w:rPr>
                      <w:rFonts w:hint="eastAsia" w:ascii="宋体" w:hAnsi="宋体" w:eastAsia="宋体" w:cs="宋体"/>
                      <w:color w:val="auto"/>
                      <w:sz w:val="21"/>
                      <w:highlight w:val="none"/>
                      <w:u w:val="none" w:color="auto"/>
                    </w:rPr>
                    <w:t>)</w:t>
                  </w:r>
                </w:p>
              </w:tc>
              <w:tc>
                <w:tcPr>
                  <w:tcW w:w="1438" w:type="dxa"/>
                  <w:vAlign w:val="center"/>
                </w:tcPr>
                <w:p w14:paraId="1FB2C37C">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面源最大边（m）</w:t>
                  </w:r>
                </w:p>
              </w:tc>
              <w:tc>
                <w:tcPr>
                  <w:tcW w:w="1385" w:type="dxa"/>
                  <w:vAlign w:val="center"/>
                </w:tcPr>
                <w:p w14:paraId="35D20439">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面源最小边（m）</w:t>
                  </w:r>
                </w:p>
              </w:tc>
              <w:tc>
                <w:tcPr>
                  <w:tcW w:w="1294" w:type="dxa"/>
                  <w:vAlign w:val="center"/>
                </w:tcPr>
                <w:p w14:paraId="581BBB99">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排放高度</w:t>
                  </w:r>
                </w:p>
                <w:p w14:paraId="30E65523">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（m）</w:t>
                  </w:r>
                </w:p>
              </w:tc>
              <w:tc>
                <w:tcPr>
                  <w:tcW w:w="1295" w:type="dxa"/>
                  <w:vAlign w:val="center"/>
                </w:tcPr>
                <w:p w14:paraId="3095D91E">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排放速率</w:t>
                  </w:r>
                </w:p>
                <w:p w14:paraId="156DE11B">
                  <w:pPr>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w:t>
                  </w:r>
                  <w:r>
                    <w:rPr>
                      <w:rFonts w:hint="eastAsia" w:ascii="宋体" w:hAnsi="宋体" w:eastAsia="宋体" w:cs="宋体"/>
                      <w:color w:val="auto"/>
                      <w:sz w:val="21"/>
                      <w:highlight w:val="none"/>
                      <w:u w:val="none" w:color="auto"/>
                      <w:lang w:val="en-US" w:eastAsia="zh-CN"/>
                    </w:rPr>
                    <w:t>kg/h</w:t>
                  </w:r>
                  <w:r>
                    <w:rPr>
                      <w:rFonts w:hint="eastAsia" w:ascii="宋体" w:hAnsi="宋体" w:eastAsia="宋体" w:cs="宋体"/>
                      <w:color w:val="auto"/>
                      <w:sz w:val="21"/>
                      <w:highlight w:val="none"/>
                      <w:u w:val="none" w:color="auto"/>
                    </w:rPr>
                    <w:t>）</w:t>
                  </w:r>
                </w:p>
              </w:tc>
            </w:tr>
            <w:tr w14:paraId="376E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 w:type="dxa"/>
                  <w:vAlign w:val="center"/>
                </w:tcPr>
                <w:p w14:paraId="660441B5">
                  <w:pPr>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TSP</w:t>
                  </w:r>
                </w:p>
              </w:tc>
              <w:tc>
                <w:tcPr>
                  <w:tcW w:w="1451" w:type="dxa"/>
                  <w:vAlign w:val="center"/>
                </w:tcPr>
                <w:p w14:paraId="771C2CC1">
                  <w:pPr>
                    <w:jc w:val="center"/>
                    <w:outlineLvl w:val="9"/>
                    <w:rPr>
                      <w:rFonts w:hint="eastAsia" w:ascii="宋体" w:hAnsi="宋体" w:eastAsia="宋体" w:cs="宋体"/>
                      <w:color w:val="auto"/>
                      <w:sz w:val="21"/>
                      <w:highlight w:val="none"/>
                      <w:u w:val="none" w:color="auto"/>
                      <w:lang w:eastAsia="zh-CN"/>
                    </w:rPr>
                  </w:pPr>
                  <w:r>
                    <w:rPr>
                      <w:rFonts w:hint="eastAsia" w:ascii="宋体" w:hAnsi="宋体" w:eastAsia="宋体" w:cs="宋体"/>
                      <w:color w:val="auto"/>
                      <w:sz w:val="21"/>
                      <w:highlight w:val="none"/>
                      <w:u w:val="none" w:color="auto"/>
                      <w:lang w:val="en-US" w:eastAsia="zh-CN"/>
                    </w:rPr>
                    <w:t>10</w:t>
                  </w:r>
                </w:p>
              </w:tc>
              <w:tc>
                <w:tcPr>
                  <w:tcW w:w="1235" w:type="dxa"/>
                  <w:vAlign w:val="center"/>
                </w:tcPr>
                <w:p w14:paraId="3D4E97AF">
                  <w:pPr>
                    <w:jc w:val="center"/>
                    <w:outlineLvl w:val="9"/>
                    <w:rPr>
                      <w:rFonts w:hint="eastAsia" w:ascii="宋体" w:hAnsi="宋体" w:eastAsia="宋体" w:cs="宋体"/>
                      <w:color w:val="auto"/>
                      <w:sz w:val="21"/>
                      <w:highlight w:val="none"/>
                      <w:u w:val="none" w:color="auto"/>
                      <w:lang w:val="en-US"/>
                    </w:rPr>
                  </w:pPr>
                  <w:r>
                    <w:rPr>
                      <w:rFonts w:hint="eastAsia" w:ascii="宋体" w:hAnsi="宋体" w:eastAsia="宋体" w:cs="宋体"/>
                      <w:color w:val="auto"/>
                      <w:sz w:val="21"/>
                      <w:highlight w:val="none"/>
                      <w:u w:val="none" w:color="auto"/>
                      <w:lang w:val="en-US" w:eastAsia="zh-CN"/>
                    </w:rPr>
                    <w:t>1500</w:t>
                  </w:r>
                </w:p>
              </w:tc>
              <w:tc>
                <w:tcPr>
                  <w:tcW w:w="1438" w:type="dxa"/>
                  <w:vAlign w:val="center"/>
                </w:tcPr>
                <w:p w14:paraId="50AC6030">
                  <w:pPr>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50</w:t>
                  </w:r>
                </w:p>
              </w:tc>
              <w:tc>
                <w:tcPr>
                  <w:tcW w:w="1385" w:type="dxa"/>
                  <w:vAlign w:val="center"/>
                </w:tcPr>
                <w:p w14:paraId="2583DDCC">
                  <w:pPr>
                    <w:jc w:val="center"/>
                    <w:outlineLvl w:val="9"/>
                    <w:rPr>
                      <w:rFonts w:hint="eastAsia" w:ascii="宋体" w:hAnsi="宋体" w:eastAsia="宋体" w:cs="宋体"/>
                      <w:color w:val="auto"/>
                      <w:sz w:val="21"/>
                      <w:highlight w:val="none"/>
                      <w:u w:val="none" w:color="auto"/>
                      <w:lang w:val="en-US"/>
                    </w:rPr>
                  </w:pPr>
                  <w:r>
                    <w:rPr>
                      <w:rFonts w:hint="eastAsia" w:ascii="宋体" w:hAnsi="宋体" w:eastAsia="宋体" w:cs="宋体"/>
                      <w:color w:val="auto"/>
                      <w:sz w:val="21"/>
                      <w:highlight w:val="none"/>
                      <w:u w:val="none" w:color="auto"/>
                      <w:lang w:val="en-US" w:eastAsia="zh-CN"/>
                    </w:rPr>
                    <w:t>30</w:t>
                  </w:r>
                </w:p>
              </w:tc>
              <w:tc>
                <w:tcPr>
                  <w:tcW w:w="1294" w:type="dxa"/>
                  <w:vAlign w:val="center"/>
                </w:tcPr>
                <w:p w14:paraId="1FCD8B10">
                  <w:pPr>
                    <w:jc w:val="center"/>
                    <w:outlineLvl w:val="9"/>
                    <w:rPr>
                      <w:rFonts w:hint="eastAsia" w:ascii="宋体" w:hAnsi="宋体" w:eastAsia="宋体" w:cs="宋体"/>
                      <w:color w:val="auto"/>
                      <w:sz w:val="21"/>
                      <w:highlight w:val="none"/>
                      <w:u w:val="none" w:color="auto"/>
                      <w:lang w:eastAsia="zh-CN"/>
                    </w:rPr>
                  </w:pPr>
                  <w:r>
                    <w:rPr>
                      <w:rFonts w:hint="eastAsia" w:ascii="宋体" w:hAnsi="宋体" w:eastAsia="宋体" w:cs="宋体"/>
                      <w:color w:val="auto"/>
                      <w:sz w:val="21"/>
                      <w:highlight w:val="none"/>
                      <w:u w:val="none" w:color="auto"/>
                      <w:lang w:val="en-US" w:eastAsia="zh-CN"/>
                    </w:rPr>
                    <w:t>5</w:t>
                  </w:r>
                </w:p>
              </w:tc>
              <w:tc>
                <w:tcPr>
                  <w:tcW w:w="1295" w:type="dxa"/>
                  <w:vAlign w:val="center"/>
                </w:tcPr>
                <w:p w14:paraId="62ACFAAD">
                  <w:pPr>
                    <w:spacing w:line="360" w:lineRule="exact"/>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0.091</w:t>
                  </w:r>
                </w:p>
              </w:tc>
            </w:tr>
          </w:tbl>
          <w:p w14:paraId="7FCB2BD9">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u w:val="none" w:color="auto"/>
                <w:lang w:eastAsia="zh-CN"/>
              </w:rPr>
            </w:pPr>
          </w:p>
          <w:p w14:paraId="2FFA9F17">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default" w:ascii="Times New Roman" w:hAnsi="Times New Roman" w:eastAsia="宋体" w:cs="Times New Roman"/>
                <w:b/>
                <w:bCs/>
                <w:color w:val="auto"/>
                <w:sz w:val="24"/>
                <w:highlight w:val="none"/>
                <w:u w:val="none" w:color="auto"/>
              </w:rPr>
            </w:pPr>
            <w:r>
              <w:rPr>
                <w:rFonts w:hint="eastAsia" w:ascii="宋体" w:hAnsi="宋体" w:eastAsia="宋体" w:cs="宋体"/>
                <w:color w:val="auto"/>
                <w:sz w:val="24"/>
                <w:highlight w:val="none"/>
                <w:u w:val="none" w:color="auto"/>
                <w:lang w:eastAsia="zh-CN"/>
              </w:rPr>
              <w:t>项目</w:t>
            </w:r>
            <w:r>
              <w:rPr>
                <w:rFonts w:hint="eastAsia" w:ascii="宋体" w:hAnsi="宋体" w:eastAsia="宋体" w:cs="宋体"/>
                <w:color w:val="auto"/>
                <w:sz w:val="24"/>
                <w:highlight w:val="none"/>
                <w:u w:val="none" w:color="auto"/>
                <w:lang w:val="en-US" w:eastAsia="zh-CN"/>
              </w:rPr>
              <w:t>区域无</w:t>
            </w:r>
            <w:r>
              <w:rPr>
                <w:rFonts w:hint="eastAsia" w:ascii="宋体" w:hAnsi="宋体" w:eastAsia="宋体" w:cs="宋体"/>
                <w:color w:val="auto"/>
                <w:sz w:val="24"/>
                <w:highlight w:val="none"/>
                <w:u w:val="none" w:color="auto"/>
                <w:lang w:eastAsia="zh-CN"/>
              </w:rPr>
              <w:t>组织</w:t>
            </w:r>
            <w:r>
              <w:rPr>
                <w:rFonts w:hint="eastAsia" w:ascii="宋体" w:hAnsi="宋体" w:eastAsia="宋体" w:cs="宋体"/>
                <w:color w:val="auto"/>
                <w:sz w:val="24"/>
                <w:highlight w:val="none"/>
                <w:u w:val="none" w:color="auto"/>
                <w:lang w:val="en-US" w:eastAsia="zh-CN"/>
              </w:rPr>
              <w:t>粉尘</w:t>
            </w:r>
            <w:r>
              <w:rPr>
                <w:rFonts w:hint="eastAsia" w:ascii="宋体" w:hAnsi="宋体" w:eastAsia="宋体" w:cs="宋体"/>
                <w:color w:val="auto"/>
                <w:sz w:val="24"/>
                <w:highlight w:val="none"/>
                <w:u w:val="none" w:color="auto"/>
              </w:rPr>
              <w:t>环境影响预测结果见表</w:t>
            </w:r>
            <w:r>
              <w:rPr>
                <w:rFonts w:hint="eastAsia" w:ascii="宋体" w:hAnsi="宋体" w:eastAsia="宋体" w:cs="宋体"/>
                <w:color w:val="auto"/>
                <w:sz w:val="24"/>
                <w:highlight w:val="none"/>
                <w:u w:val="none" w:color="auto"/>
                <w:lang w:val="en-US" w:eastAsia="zh-CN"/>
              </w:rPr>
              <w:t>7</w:t>
            </w:r>
            <w:r>
              <w:rPr>
                <w:rFonts w:hint="eastAsia" w:ascii="宋体" w:hAnsi="宋体" w:eastAsia="宋体" w:cs="宋体"/>
                <w:color w:val="auto"/>
                <w:sz w:val="24"/>
                <w:highlight w:val="none"/>
                <w:u w:val="none" w:color="auto"/>
              </w:rPr>
              <w:t>-</w:t>
            </w:r>
            <w:r>
              <w:rPr>
                <w:rFonts w:hint="eastAsia" w:ascii="宋体" w:hAnsi="宋体" w:cs="宋体"/>
                <w:color w:val="auto"/>
                <w:sz w:val="24"/>
                <w:highlight w:val="none"/>
                <w:u w:val="none" w:color="auto"/>
                <w:lang w:val="en-US" w:eastAsia="zh-CN"/>
              </w:rPr>
              <w:t>5</w:t>
            </w:r>
            <w:r>
              <w:rPr>
                <w:rFonts w:hint="eastAsia" w:ascii="宋体" w:hAnsi="宋体" w:eastAsia="宋体" w:cs="宋体"/>
                <w:color w:val="auto"/>
                <w:sz w:val="24"/>
                <w:highlight w:val="none"/>
                <w:u w:val="none" w:color="auto"/>
              </w:rPr>
              <w:t>。</w:t>
            </w:r>
          </w:p>
          <w:p w14:paraId="609E4D13">
            <w:pPr>
              <w:adjustRightInd w:val="0"/>
              <w:snapToGrid w:val="0"/>
              <w:spacing w:line="360" w:lineRule="auto"/>
              <w:ind w:firstLine="482" w:firstLineChars="200"/>
              <w:jc w:val="center"/>
              <w:outlineLvl w:val="9"/>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表</w:t>
            </w:r>
            <w:r>
              <w:rPr>
                <w:rFonts w:hint="default" w:ascii="Times New Roman" w:hAnsi="Times New Roman" w:eastAsia="宋体" w:cs="Times New Roman"/>
                <w:b/>
                <w:bCs/>
                <w:color w:val="auto"/>
                <w:sz w:val="24"/>
                <w:highlight w:val="none"/>
                <w:u w:val="none" w:color="auto"/>
                <w:lang w:val="en-US" w:eastAsia="zh-CN"/>
              </w:rPr>
              <w:t>7</w:t>
            </w:r>
            <w:r>
              <w:rPr>
                <w:rFonts w:hint="default" w:ascii="Times New Roman" w:hAnsi="Times New Roman" w:eastAsia="宋体" w:cs="Times New Roman"/>
                <w:b/>
                <w:bCs/>
                <w:color w:val="auto"/>
                <w:sz w:val="24"/>
                <w:highlight w:val="none"/>
                <w:u w:val="none" w:color="auto"/>
              </w:rPr>
              <w:t>-</w:t>
            </w:r>
            <w:r>
              <w:rPr>
                <w:rFonts w:hint="eastAsia" w:ascii="Times New Roman" w:hAnsi="Times New Roman" w:cs="Times New Roman"/>
                <w:b/>
                <w:bCs/>
                <w:color w:val="auto"/>
                <w:sz w:val="24"/>
                <w:highlight w:val="none"/>
                <w:u w:val="none" w:color="auto"/>
                <w:lang w:val="en-US" w:eastAsia="zh-CN"/>
              </w:rPr>
              <w:t>5</w:t>
            </w:r>
            <w:r>
              <w:rPr>
                <w:rFonts w:hint="default" w:ascii="Times New Roman" w:hAnsi="Times New Roman" w:eastAsia="宋体" w:cs="Times New Roman"/>
                <w:b/>
                <w:bCs/>
                <w:color w:val="auto"/>
                <w:sz w:val="24"/>
                <w:highlight w:val="none"/>
                <w:u w:val="none" w:color="auto"/>
              </w:rPr>
              <w:t xml:space="preserve"> </w:t>
            </w:r>
            <w:r>
              <w:rPr>
                <w:rFonts w:hint="default" w:ascii="Times New Roman" w:hAnsi="Times New Roman" w:eastAsia="宋体" w:cs="Times New Roman"/>
                <w:b/>
                <w:bCs/>
                <w:color w:val="auto"/>
                <w:sz w:val="24"/>
                <w:highlight w:val="none"/>
                <w:u w:val="none" w:color="auto"/>
                <w:lang w:val="en-US" w:eastAsia="zh-CN"/>
              </w:rPr>
              <w:t>无组织粉尘</w:t>
            </w:r>
            <w:r>
              <w:rPr>
                <w:rFonts w:hint="default" w:ascii="Times New Roman" w:hAnsi="Times New Roman" w:eastAsia="宋体" w:cs="Times New Roman"/>
                <w:b/>
                <w:bCs/>
                <w:color w:val="auto"/>
                <w:sz w:val="24"/>
                <w:highlight w:val="none"/>
                <w:u w:val="none" w:color="auto"/>
              </w:rPr>
              <w:t>预测结果一览表</w:t>
            </w:r>
          </w:p>
          <w:tbl>
            <w:tblPr>
              <w:tblStyle w:val="2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3398"/>
              <w:gridCol w:w="3397"/>
            </w:tblGrid>
            <w:tr w14:paraId="245F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Merge w:val="restart"/>
                  <w:vAlign w:val="center"/>
                </w:tcPr>
                <w:p w14:paraId="27F0207D">
                  <w:pPr>
                    <w:autoSpaceDE w:val="0"/>
                    <w:autoSpaceDN w:val="0"/>
                    <w:spacing w:line="240" w:lineRule="auto"/>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距离</w:t>
                  </w:r>
                </w:p>
              </w:tc>
              <w:tc>
                <w:tcPr>
                  <w:tcW w:w="6795" w:type="dxa"/>
                  <w:gridSpan w:val="2"/>
                  <w:vAlign w:val="center"/>
                </w:tcPr>
                <w:p w14:paraId="68495680">
                  <w:pPr>
                    <w:autoSpaceDE w:val="0"/>
                    <w:autoSpaceDN w:val="0"/>
                    <w:spacing w:line="240" w:lineRule="auto"/>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TSP</w:t>
                  </w:r>
                </w:p>
              </w:tc>
            </w:tr>
            <w:tr w14:paraId="0D85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66" w:type="dxa"/>
                  <w:vMerge w:val="continue"/>
                  <w:vAlign w:val="center"/>
                </w:tcPr>
                <w:p w14:paraId="4BE9ECD8">
                  <w:pPr>
                    <w:autoSpaceDE w:val="0"/>
                    <w:autoSpaceDN w:val="0"/>
                    <w:spacing w:line="240" w:lineRule="auto"/>
                    <w:jc w:val="center"/>
                    <w:outlineLvl w:val="9"/>
                    <w:rPr>
                      <w:rFonts w:hint="eastAsia" w:ascii="宋体" w:hAnsi="宋体" w:eastAsia="宋体" w:cs="宋体"/>
                      <w:color w:val="auto"/>
                      <w:sz w:val="21"/>
                      <w:szCs w:val="21"/>
                      <w:highlight w:val="none"/>
                      <w:u w:val="none" w:color="auto"/>
                    </w:rPr>
                  </w:pPr>
                </w:p>
              </w:tc>
              <w:tc>
                <w:tcPr>
                  <w:tcW w:w="3398" w:type="dxa"/>
                  <w:vAlign w:val="center"/>
                </w:tcPr>
                <w:p w14:paraId="0569689D">
                  <w:pPr>
                    <w:autoSpaceDE w:val="0"/>
                    <w:autoSpaceDN w:val="0"/>
                    <w:spacing w:line="240" w:lineRule="auto"/>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浓度（</w:t>
                  </w:r>
                  <w:r>
                    <w:rPr>
                      <w:rFonts w:hint="eastAsia" w:ascii="宋体" w:hAnsi="宋体" w:eastAsia="宋体" w:cs="宋体"/>
                      <w:color w:val="auto"/>
                      <w:sz w:val="21"/>
                      <w:szCs w:val="21"/>
                      <w:highlight w:val="none"/>
                      <w:u w:val="none" w:color="auto"/>
                      <w:lang w:val="en-US" w:eastAsia="zh-CN"/>
                    </w:rPr>
                    <w:t>m</w:t>
                  </w:r>
                  <w:r>
                    <w:rPr>
                      <w:rFonts w:hint="eastAsia" w:ascii="宋体" w:hAnsi="宋体" w:eastAsia="宋体" w:cs="宋体"/>
                      <w:color w:val="auto"/>
                      <w:sz w:val="21"/>
                      <w:szCs w:val="21"/>
                      <w:highlight w:val="none"/>
                      <w:u w:val="none" w:color="auto"/>
                    </w:rPr>
                    <w:t>g/m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w:t>
                  </w:r>
                </w:p>
              </w:tc>
              <w:tc>
                <w:tcPr>
                  <w:tcW w:w="3397" w:type="dxa"/>
                  <w:vAlign w:val="center"/>
                </w:tcPr>
                <w:p w14:paraId="3E41976F">
                  <w:pPr>
                    <w:autoSpaceDE w:val="0"/>
                    <w:autoSpaceDN w:val="0"/>
                    <w:spacing w:line="240" w:lineRule="auto"/>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占标率（%）</w:t>
                  </w:r>
                </w:p>
              </w:tc>
            </w:tr>
            <w:tr w14:paraId="5CCF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0D70CCC4">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10</w:t>
                  </w:r>
                </w:p>
              </w:tc>
              <w:tc>
                <w:tcPr>
                  <w:tcW w:w="3398" w:type="dxa"/>
                  <w:vAlign w:val="center"/>
                </w:tcPr>
                <w:p w14:paraId="4DB4720B">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0.02656</w:t>
                  </w:r>
                </w:p>
              </w:tc>
              <w:tc>
                <w:tcPr>
                  <w:tcW w:w="3397" w:type="dxa"/>
                  <w:vAlign w:val="center"/>
                </w:tcPr>
                <w:p w14:paraId="138F107B">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lang w:eastAsia="zh-CN"/>
                    </w:rPr>
                  </w:pPr>
                  <w:r>
                    <w:rPr>
                      <w:rFonts w:hint="eastAsia" w:ascii="宋体" w:hAnsi="宋体" w:eastAsia="宋体" w:cs="宋体"/>
                      <w:i w:val="0"/>
                      <w:color w:val="auto"/>
                      <w:kern w:val="0"/>
                      <w:sz w:val="22"/>
                      <w:szCs w:val="22"/>
                      <w:u w:val="none"/>
                      <w:lang w:val="en-US" w:eastAsia="zh-CN" w:bidi="ar"/>
                    </w:rPr>
                    <w:t>2.95</w:t>
                  </w:r>
                </w:p>
              </w:tc>
            </w:tr>
            <w:tr w14:paraId="206B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799A1F1A">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100</w:t>
                  </w:r>
                </w:p>
              </w:tc>
              <w:tc>
                <w:tcPr>
                  <w:tcW w:w="3398" w:type="dxa"/>
                  <w:vAlign w:val="center"/>
                </w:tcPr>
                <w:p w14:paraId="1456162F">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0.07376</w:t>
                  </w:r>
                </w:p>
              </w:tc>
              <w:tc>
                <w:tcPr>
                  <w:tcW w:w="3397" w:type="dxa"/>
                  <w:vAlign w:val="center"/>
                </w:tcPr>
                <w:p w14:paraId="291B40E3">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8.2</w:t>
                  </w:r>
                </w:p>
              </w:tc>
            </w:tr>
            <w:tr w14:paraId="6683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392A429F">
                  <w:pPr>
                    <w:keepNext w:val="0"/>
                    <w:keepLines w:val="0"/>
                    <w:widowControl/>
                    <w:suppressLineNumbers w:val="0"/>
                    <w:jc w:val="left"/>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b/>
                      <w:bCs/>
                      <w:i w:val="0"/>
                      <w:color w:val="auto"/>
                      <w:kern w:val="0"/>
                      <w:sz w:val="22"/>
                      <w:szCs w:val="22"/>
                      <w:u w:val="none"/>
                      <w:lang w:val="en-US" w:eastAsia="zh-CN" w:bidi="ar"/>
                    </w:rPr>
                    <w:t>134</w:t>
                  </w:r>
                </w:p>
              </w:tc>
              <w:tc>
                <w:tcPr>
                  <w:tcW w:w="3398" w:type="dxa"/>
                  <w:vAlign w:val="center"/>
                </w:tcPr>
                <w:p w14:paraId="18B2470D">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b/>
                      <w:bCs/>
                      <w:i w:val="0"/>
                      <w:color w:val="auto"/>
                      <w:kern w:val="0"/>
                      <w:sz w:val="22"/>
                      <w:szCs w:val="22"/>
                      <w:u w:val="none"/>
                      <w:lang w:val="en-US" w:eastAsia="zh-CN" w:bidi="ar"/>
                    </w:rPr>
                    <w:t>0.07456</w:t>
                  </w:r>
                </w:p>
              </w:tc>
              <w:tc>
                <w:tcPr>
                  <w:tcW w:w="3397" w:type="dxa"/>
                  <w:vAlign w:val="center"/>
                </w:tcPr>
                <w:p w14:paraId="60F3081D">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b/>
                      <w:bCs/>
                      <w:i w:val="0"/>
                      <w:color w:val="auto"/>
                      <w:kern w:val="0"/>
                      <w:sz w:val="22"/>
                      <w:szCs w:val="22"/>
                      <w:u w:val="none"/>
                      <w:lang w:val="en-US" w:eastAsia="zh-CN" w:bidi="ar"/>
                    </w:rPr>
                    <w:t>8.28</w:t>
                  </w:r>
                </w:p>
              </w:tc>
            </w:tr>
            <w:tr w14:paraId="785D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3AC20B9C">
                  <w:pPr>
                    <w:keepNext w:val="0"/>
                    <w:keepLines w:val="0"/>
                    <w:widowControl/>
                    <w:suppressLineNumbers w:val="0"/>
                    <w:jc w:val="left"/>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200</w:t>
                  </w:r>
                </w:p>
              </w:tc>
              <w:tc>
                <w:tcPr>
                  <w:tcW w:w="3398" w:type="dxa"/>
                  <w:vAlign w:val="center"/>
                </w:tcPr>
                <w:p w14:paraId="28C49434">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0.07325</w:t>
                  </w:r>
                </w:p>
              </w:tc>
              <w:tc>
                <w:tcPr>
                  <w:tcW w:w="3397" w:type="dxa"/>
                  <w:vAlign w:val="center"/>
                </w:tcPr>
                <w:p w14:paraId="069C0A59">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8.14</w:t>
                  </w:r>
                </w:p>
              </w:tc>
            </w:tr>
            <w:tr w14:paraId="4FE5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57D6916F">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300</w:t>
                  </w:r>
                </w:p>
              </w:tc>
              <w:tc>
                <w:tcPr>
                  <w:tcW w:w="3398" w:type="dxa"/>
                  <w:vAlign w:val="center"/>
                </w:tcPr>
                <w:p w14:paraId="1DD4DDE7">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0.06581</w:t>
                  </w:r>
                </w:p>
              </w:tc>
              <w:tc>
                <w:tcPr>
                  <w:tcW w:w="3397" w:type="dxa"/>
                  <w:vAlign w:val="center"/>
                </w:tcPr>
                <w:p w14:paraId="6FD75F24">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7.31</w:t>
                  </w:r>
                </w:p>
              </w:tc>
            </w:tr>
            <w:tr w14:paraId="3447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6A9AD4F0">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400</w:t>
                  </w:r>
                </w:p>
              </w:tc>
              <w:tc>
                <w:tcPr>
                  <w:tcW w:w="3398" w:type="dxa"/>
                  <w:vAlign w:val="center"/>
                </w:tcPr>
                <w:p w14:paraId="6458F6E9">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0.05151</w:t>
                  </w:r>
                </w:p>
              </w:tc>
              <w:tc>
                <w:tcPr>
                  <w:tcW w:w="3397" w:type="dxa"/>
                  <w:vAlign w:val="center"/>
                </w:tcPr>
                <w:p w14:paraId="049EC6DB">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5.72</w:t>
                  </w:r>
                </w:p>
              </w:tc>
            </w:tr>
            <w:tr w14:paraId="4B20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134AD441">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500</w:t>
                  </w:r>
                </w:p>
              </w:tc>
              <w:tc>
                <w:tcPr>
                  <w:tcW w:w="3398" w:type="dxa"/>
                  <w:vAlign w:val="center"/>
                </w:tcPr>
                <w:p w14:paraId="4319E078">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0.03998</w:t>
                  </w:r>
                </w:p>
              </w:tc>
              <w:tc>
                <w:tcPr>
                  <w:tcW w:w="3397" w:type="dxa"/>
                  <w:vAlign w:val="center"/>
                </w:tcPr>
                <w:p w14:paraId="73232822">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4.44</w:t>
                  </w:r>
                </w:p>
              </w:tc>
            </w:tr>
            <w:tr w14:paraId="2A62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2744B914">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600</w:t>
                  </w:r>
                </w:p>
              </w:tc>
              <w:tc>
                <w:tcPr>
                  <w:tcW w:w="3398" w:type="dxa"/>
                  <w:vAlign w:val="center"/>
                </w:tcPr>
                <w:p w14:paraId="6FB8001C">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0.0316</w:t>
                  </w:r>
                </w:p>
              </w:tc>
              <w:tc>
                <w:tcPr>
                  <w:tcW w:w="3397" w:type="dxa"/>
                  <w:vAlign w:val="center"/>
                </w:tcPr>
                <w:p w14:paraId="724E35FF">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3.51</w:t>
                  </w:r>
                </w:p>
              </w:tc>
            </w:tr>
            <w:tr w14:paraId="1B4D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40D684FA">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700</w:t>
                  </w:r>
                </w:p>
              </w:tc>
              <w:tc>
                <w:tcPr>
                  <w:tcW w:w="3398" w:type="dxa"/>
                  <w:vAlign w:val="center"/>
                </w:tcPr>
                <w:p w14:paraId="37FC0BFC">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0.02553</w:t>
                  </w:r>
                </w:p>
              </w:tc>
              <w:tc>
                <w:tcPr>
                  <w:tcW w:w="3397" w:type="dxa"/>
                  <w:vAlign w:val="center"/>
                </w:tcPr>
                <w:p w14:paraId="62B6D0C5">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2.84</w:t>
                  </w:r>
                </w:p>
              </w:tc>
            </w:tr>
            <w:tr w14:paraId="2DAE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6B7581B2">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800</w:t>
                  </w:r>
                </w:p>
              </w:tc>
              <w:tc>
                <w:tcPr>
                  <w:tcW w:w="3398" w:type="dxa"/>
                  <w:vAlign w:val="center"/>
                </w:tcPr>
                <w:p w14:paraId="78745269">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0.02123</w:t>
                  </w:r>
                </w:p>
              </w:tc>
              <w:tc>
                <w:tcPr>
                  <w:tcW w:w="3397" w:type="dxa"/>
                  <w:vAlign w:val="center"/>
                </w:tcPr>
                <w:p w14:paraId="7B0388FF">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2.36</w:t>
                  </w:r>
                </w:p>
              </w:tc>
            </w:tr>
            <w:tr w14:paraId="7ED3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3DB2108E">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900</w:t>
                  </w:r>
                </w:p>
              </w:tc>
              <w:tc>
                <w:tcPr>
                  <w:tcW w:w="3398" w:type="dxa"/>
                  <w:vAlign w:val="center"/>
                </w:tcPr>
                <w:p w14:paraId="34EFF8AA">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0.01799</w:t>
                  </w:r>
                </w:p>
              </w:tc>
              <w:tc>
                <w:tcPr>
                  <w:tcW w:w="3397" w:type="dxa"/>
                  <w:vAlign w:val="center"/>
                </w:tcPr>
                <w:p w14:paraId="6B4021D1">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2</w:t>
                  </w:r>
                </w:p>
              </w:tc>
            </w:tr>
            <w:tr w14:paraId="1270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55AF494E">
                  <w:pPr>
                    <w:keepNext w:val="0"/>
                    <w:keepLines w:val="0"/>
                    <w:widowControl/>
                    <w:suppressLineNumbers w:val="0"/>
                    <w:jc w:val="left"/>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1000</w:t>
                  </w:r>
                </w:p>
              </w:tc>
              <w:tc>
                <w:tcPr>
                  <w:tcW w:w="3398" w:type="dxa"/>
                  <w:vAlign w:val="center"/>
                </w:tcPr>
                <w:p w14:paraId="2886DC0E">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0.01545</w:t>
                  </w:r>
                </w:p>
              </w:tc>
              <w:tc>
                <w:tcPr>
                  <w:tcW w:w="3397" w:type="dxa"/>
                  <w:vAlign w:val="center"/>
                </w:tcPr>
                <w:p w14:paraId="03E08025">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auto"/>
                      <w:kern w:val="0"/>
                      <w:sz w:val="22"/>
                      <w:szCs w:val="22"/>
                      <w:u w:val="none"/>
                      <w:lang w:val="en-US" w:eastAsia="zh-CN" w:bidi="ar"/>
                    </w:rPr>
                    <w:t>1.72</w:t>
                  </w:r>
                </w:p>
              </w:tc>
            </w:tr>
            <w:tr w14:paraId="6BE9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6" w:type="dxa"/>
                  <w:vAlign w:val="center"/>
                </w:tcPr>
                <w:p w14:paraId="6B2D393C">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2"/>
                      <w:szCs w:val="22"/>
                      <w:u w:val="none"/>
                      <w:lang w:val="en-US" w:eastAsia="zh-CN" w:bidi="ar"/>
                    </w:rPr>
                    <w:t>1100</w:t>
                  </w:r>
                </w:p>
              </w:tc>
              <w:tc>
                <w:tcPr>
                  <w:tcW w:w="3398" w:type="dxa"/>
                  <w:vAlign w:val="center"/>
                </w:tcPr>
                <w:p w14:paraId="4FD83E3F">
                  <w:pPr>
                    <w:keepNext w:val="0"/>
                    <w:keepLines w:val="0"/>
                    <w:widowControl/>
                    <w:suppressLineNumbers w:val="0"/>
                    <w:jc w:val="center"/>
                    <w:textAlignment w:val="center"/>
                    <w:rPr>
                      <w:rFonts w:hint="eastAsia" w:ascii="宋体" w:hAnsi="宋体" w:eastAsia="宋体" w:cs="宋体"/>
                      <w:b w:val="0"/>
                      <w:i w:val="0"/>
                      <w:snapToGrid/>
                      <w:color w:val="auto"/>
                      <w:sz w:val="21"/>
                      <w:szCs w:val="21"/>
                      <w:u w:val="none"/>
                      <w:lang w:eastAsia="zh-CN"/>
                    </w:rPr>
                  </w:pPr>
                  <w:r>
                    <w:rPr>
                      <w:rFonts w:hint="eastAsia" w:ascii="宋体" w:hAnsi="宋体" w:eastAsia="宋体" w:cs="宋体"/>
                      <w:i w:val="0"/>
                      <w:color w:val="auto"/>
                      <w:kern w:val="0"/>
                      <w:sz w:val="22"/>
                      <w:szCs w:val="22"/>
                      <w:u w:val="none"/>
                      <w:lang w:val="en-US" w:eastAsia="zh-CN" w:bidi="ar"/>
                    </w:rPr>
                    <w:t>0.01351</w:t>
                  </w:r>
                </w:p>
              </w:tc>
              <w:tc>
                <w:tcPr>
                  <w:tcW w:w="3397" w:type="dxa"/>
                  <w:vAlign w:val="center"/>
                </w:tcPr>
                <w:p w14:paraId="114862BA">
                  <w:pPr>
                    <w:keepNext w:val="0"/>
                    <w:keepLines w:val="0"/>
                    <w:widowControl/>
                    <w:suppressLineNumbers w:val="0"/>
                    <w:jc w:val="center"/>
                    <w:textAlignment w:val="center"/>
                    <w:rPr>
                      <w:rFonts w:hint="eastAsia" w:ascii="宋体" w:hAnsi="宋体" w:eastAsia="宋体" w:cs="宋体"/>
                      <w:b w:val="0"/>
                      <w:i w:val="0"/>
                      <w:snapToGrid/>
                      <w:color w:val="auto"/>
                      <w:sz w:val="21"/>
                      <w:szCs w:val="21"/>
                      <w:u w:val="none"/>
                      <w:lang w:eastAsia="zh-CN"/>
                    </w:rPr>
                  </w:pPr>
                  <w:r>
                    <w:rPr>
                      <w:rFonts w:hint="eastAsia" w:ascii="宋体" w:hAnsi="宋体" w:eastAsia="宋体" w:cs="宋体"/>
                      <w:i w:val="0"/>
                      <w:color w:val="auto"/>
                      <w:kern w:val="0"/>
                      <w:sz w:val="22"/>
                      <w:szCs w:val="22"/>
                      <w:u w:val="none"/>
                      <w:lang w:val="en-US" w:eastAsia="zh-CN" w:bidi="ar"/>
                    </w:rPr>
                    <w:t>1.5</w:t>
                  </w:r>
                </w:p>
              </w:tc>
            </w:tr>
          </w:tbl>
          <w:p w14:paraId="6AE29AA3">
            <w:pPr>
              <w:pStyle w:val="5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根据估算结果，项目营运期无组织排放粉尘在1</w:t>
            </w:r>
            <w:r>
              <w:rPr>
                <w:rFonts w:hint="eastAsia" w:ascii="宋体" w:hAnsi="宋体" w:eastAsia="宋体" w:cs="宋体"/>
                <w:color w:val="auto"/>
                <w:sz w:val="24"/>
                <w:highlight w:val="none"/>
                <w:u w:val="none" w:color="auto"/>
                <w:lang w:val="en-US" w:eastAsia="zh-CN"/>
              </w:rPr>
              <w:t>1</w:t>
            </w:r>
            <w:r>
              <w:rPr>
                <w:rFonts w:hint="eastAsia" w:ascii="宋体" w:hAnsi="宋体" w:eastAsia="宋体" w:cs="宋体"/>
                <w:color w:val="auto"/>
                <w:sz w:val="24"/>
                <w:highlight w:val="none"/>
                <w:u w:val="none" w:color="auto"/>
              </w:rPr>
              <w:t>00m范围内污染物浓度很小，低于标准要求，其最大落地浓度出现距离为下风向1</w:t>
            </w:r>
            <w:r>
              <w:rPr>
                <w:rFonts w:hint="eastAsia" w:ascii="宋体" w:hAnsi="宋体" w:eastAsia="宋体" w:cs="宋体"/>
                <w:color w:val="auto"/>
                <w:sz w:val="24"/>
                <w:highlight w:val="none"/>
                <w:u w:val="none" w:color="auto"/>
                <w:lang w:val="en-US" w:eastAsia="zh-CN"/>
              </w:rPr>
              <w:t>3</w:t>
            </w:r>
            <w:r>
              <w:rPr>
                <w:rFonts w:hint="eastAsia" w:ascii="宋体" w:hAnsi="宋体" w:eastAsia="宋体" w:cs="宋体"/>
                <w:color w:val="auto"/>
                <w:sz w:val="24"/>
                <w:highlight w:val="none"/>
                <w:u w:val="none" w:color="auto"/>
              </w:rPr>
              <w:t>4m处，其污染物浓度为0.0</w:t>
            </w:r>
            <w:r>
              <w:rPr>
                <w:rFonts w:hint="eastAsia" w:ascii="宋体" w:hAnsi="宋体" w:eastAsia="宋体" w:cs="宋体"/>
                <w:color w:val="auto"/>
                <w:sz w:val="24"/>
                <w:highlight w:val="none"/>
                <w:u w:val="none" w:color="auto"/>
                <w:lang w:val="en-US" w:eastAsia="zh-CN"/>
              </w:rPr>
              <w:t>7456</w:t>
            </w:r>
            <w:r>
              <w:rPr>
                <w:rFonts w:hint="eastAsia" w:ascii="宋体" w:hAnsi="宋体" w:eastAsia="宋体" w:cs="宋体"/>
                <w:color w:val="auto"/>
                <w:sz w:val="24"/>
                <w:highlight w:val="none"/>
                <w:u w:val="none" w:color="auto"/>
              </w:rPr>
              <w:t>m/m',最大占标率</w:t>
            </w:r>
            <w:r>
              <w:rPr>
                <w:rFonts w:hint="eastAsia" w:ascii="宋体" w:hAnsi="宋体" w:eastAsia="宋体" w:cs="宋体"/>
                <w:color w:val="auto"/>
                <w:sz w:val="24"/>
                <w:highlight w:val="none"/>
                <w:u w:val="none" w:color="auto"/>
                <w:lang w:val="en-US" w:eastAsia="zh-CN"/>
              </w:rPr>
              <w:t>8.28</w:t>
            </w:r>
            <w:r>
              <w:rPr>
                <w:rFonts w:hint="eastAsia" w:ascii="宋体" w:hAnsi="宋体" w:eastAsia="宋体" w:cs="宋体"/>
                <w:color w:val="auto"/>
                <w:sz w:val="24"/>
                <w:highlight w:val="none"/>
                <w:u w:val="none" w:color="auto"/>
              </w:rPr>
              <w:t>%，未超出《环境空气质量标准》(GB3095-</w:t>
            </w:r>
            <w:r>
              <w:rPr>
                <w:rFonts w:hint="eastAsia" w:ascii="宋体" w:hAnsi="宋体" w:eastAsia="宋体" w:cs="宋体"/>
                <w:color w:val="auto"/>
                <w:sz w:val="24"/>
                <w:highlight w:val="none"/>
                <w:u w:val="none" w:color="auto"/>
                <w:lang w:val="en-US" w:eastAsia="zh-CN"/>
              </w:rPr>
              <w:t>2012</w:t>
            </w:r>
            <w:r>
              <w:rPr>
                <w:rFonts w:hint="eastAsia" w:ascii="宋体" w:hAnsi="宋体" w:eastAsia="宋体" w:cs="宋体"/>
                <w:color w:val="auto"/>
                <w:sz w:val="24"/>
                <w:highlight w:val="none"/>
                <w:u w:val="none" w:color="auto"/>
              </w:rPr>
              <w:t>) 中TSP所限定的排放浓度值，1</w:t>
            </w:r>
            <w:r>
              <w:rPr>
                <w:rFonts w:hint="eastAsia" w:ascii="宋体" w:hAnsi="宋体" w:eastAsia="宋体" w:cs="宋体"/>
                <w:color w:val="auto"/>
                <w:sz w:val="24"/>
                <w:highlight w:val="none"/>
                <w:u w:val="none" w:color="auto"/>
                <w:lang w:val="en-US" w:eastAsia="zh-CN"/>
              </w:rPr>
              <w:t>1</w:t>
            </w:r>
            <w:r>
              <w:rPr>
                <w:rFonts w:hint="eastAsia" w:ascii="宋体" w:hAnsi="宋体" w:eastAsia="宋体" w:cs="宋体"/>
                <w:color w:val="auto"/>
                <w:sz w:val="24"/>
                <w:highlight w:val="none"/>
                <w:u w:val="none" w:color="auto"/>
              </w:rPr>
              <w:t>00m范围内不存在超标点，对项目所在区域内存在环境敏感点不会产生影响，无组织排放粉尘所产生的环境影响较小。</w:t>
            </w:r>
          </w:p>
          <w:p w14:paraId="3910F121">
            <w:pPr>
              <w:pStyle w:val="5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 xml:space="preserve"> 随着时间的推移，仓库和生产车间产生的无组织排放粉尘会逐步的积累，因此，项目营运期间建设单位应定期打扫生产车间，减少物料在仓库内的泼洒量，减少无组织粉尘的外排量。采取以上措施后，粉尘向外扩散量明显较少，项目产生的无组织粉尘对项目周围环境影响不大。</w:t>
            </w:r>
          </w:p>
          <w:p w14:paraId="68943CC2">
            <w:pPr>
              <w:spacing w:line="360" w:lineRule="auto"/>
              <w:ind w:firstLine="482" w:firstLineChars="200"/>
              <w:outlineLvl w:val="9"/>
              <w:rPr>
                <w:rFonts w:hint="default" w:ascii="Times New Roman" w:hAnsi="Times New Roman" w:eastAsia="宋体" w:cs="Times New Roman"/>
                <w:b/>
                <w:color w:val="auto"/>
                <w:sz w:val="24"/>
                <w:highlight w:val="none"/>
                <w:u w:val="none" w:color="auto"/>
              </w:rPr>
            </w:pPr>
            <w:r>
              <w:rPr>
                <w:rFonts w:hint="default" w:ascii="Times New Roman" w:hAnsi="Times New Roman" w:eastAsia="宋体" w:cs="Times New Roman"/>
                <w:b/>
                <w:color w:val="auto"/>
                <w:sz w:val="24"/>
                <w:highlight w:val="none"/>
                <w:u w:val="none" w:color="auto"/>
              </w:rPr>
              <w:t>大气环境防护距离确定</w:t>
            </w:r>
          </w:p>
          <w:p w14:paraId="295B23FC">
            <w:pPr>
              <w:spacing w:line="360" w:lineRule="auto"/>
              <w:ind w:firstLine="480" w:firstLineChars="200"/>
              <w:outlineLvl w:val="9"/>
              <w:rPr>
                <w:rFonts w:hint="eastAsia" w:ascii="宋体" w:hAnsi="宋体" w:eastAsia="宋体" w:cs="宋体"/>
                <w:color w:val="auto"/>
                <w:sz w:val="24"/>
                <w:highlight w:val="none"/>
                <w:u w:val="none" w:color="auto"/>
              </w:rPr>
            </w:pPr>
            <w:r>
              <w:rPr>
                <w:rFonts w:hint="eastAsia" w:ascii="宋体" w:hAnsi="宋体" w:eastAsia="宋体" w:cs="宋体"/>
                <w:color w:val="auto"/>
                <w:sz w:val="24"/>
                <w:szCs w:val="24"/>
                <w:highlight w:val="none"/>
                <w:u w:val="none" w:color="auto"/>
              </w:rPr>
              <w:t>根据</w:t>
            </w:r>
            <w:r>
              <w:rPr>
                <w:rFonts w:hint="eastAsia" w:ascii="宋体" w:hAnsi="宋体" w:eastAsia="宋体" w:cs="宋体"/>
                <w:color w:val="auto"/>
                <w:sz w:val="24"/>
                <w:szCs w:val="24"/>
              </w:rPr>
              <w:t>《环境影响评价技术导则 大气环境》(HJ2.2-2018)</w:t>
            </w:r>
            <w:r>
              <w:rPr>
                <w:rFonts w:hint="eastAsia" w:ascii="宋体" w:hAnsi="宋体" w:eastAsia="宋体" w:cs="宋体"/>
                <w:color w:val="auto"/>
                <w:sz w:val="24"/>
                <w:szCs w:val="24"/>
                <w:highlight w:val="none"/>
                <w:u w:val="none" w:color="auto"/>
              </w:rPr>
              <w:t>中的有</w:t>
            </w:r>
            <w:r>
              <w:rPr>
                <w:rFonts w:hint="eastAsia" w:ascii="宋体" w:hAnsi="宋体" w:eastAsia="宋体" w:cs="宋体"/>
                <w:color w:val="auto"/>
                <w:sz w:val="24"/>
                <w:highlight w:val="none"/>
                <w:u w:val="none" w:color="auto"/>
              </w:rPr>
              <w:t>关规定，本次评价针对</w:t>
            </w:r>
            <w:r>
              <w:rPr>
                <w:rFonts w:hint="eastAsia" w:ascii="宋体" w:hAnsi="宋体" w:eastAsia="宋体" w:cs="宋体"/>
                <w:color w:val="auto"/>
                <w:sz w:val="24"/>
                <w:highlight w:val="none"/>
                <w:u w:val="none" w:color="auto"/>
                <w:lang w:val="en-US" w:eastAsia="zh-CN"/>
              </w:rPr>
              <w:t>TSP</w:t>
            </w:r>
            <w:r>
              <w:rPr>
                <w:rFonts w:hint="eastAsia" w:ascii="宋体" w:hAnsi="宋体" w:eastAsia="宋体" w:cs="宋体"/>
                <w:color w:val="auto"/>
                <w:sz w:val="24"/>
                <w:highlight w:val="none"/>
                <w:u w:val="none" w:color="auto"/>
              </w:rPr>
              <w:t xml:space="preserve">的无组织面源排放，按照大气环境防护距离标准计算程序进行大气环境防护距离的计算，见表 </w:t>
            </w:r>
            <w:r>
              <w:rPr>
                <w:rFonts w:hint="eastAsia" w:ascii="宋体" w:hAnsi="宋体" w:eastAsia="宋体" w:cs="宋体"/>
                <w:color w:val="auto"/>
                <w:sz w:val="24"/>
                <w:highlight w:val="none"/>
                <w:u w:val="none" w:color="auto"/>
                <w:lang w:val="en-US" w:eastAsia="zh-CN"/>
              </w:rPr>
              <w:t>7</w:t>
            </w:r>
            <w:r>
              <w:rPr>
                <w:rFonts w:hint="eastAsia" w:ascii="宋体" w:hAnsi="宋体" w:eastAsia="宋体" w:cs="宋体"/>
                <w:color w:val="auto"/>
                <w:sz w:val="24"/>
                <w:highlight w:val="none"/>
                <w:u w:val="none" w:color="auto"/>
              </w:rPr>
              <w:t>-</w:t>
            </w:r>
            <w:r>
              <w:rPr>
                <w:rFonts w:hint="eastAsia" w:ascii="宋体" w:hAnsi="宋体" w:cs="宋体"/>
                <w:color w:val="auto"/>
                <w:sz w:val="24"/>
                <w:highlight w:val="none"/>
                <w:u w:val="none" w:color="auto"/>
                <w:lang w:val="en-US" w:eastAsia="zh-CN"/>
              </w:rPr>
              <w:t>6</w:t>
            </w:r>
            <w:r>
              <w:rPr>
                <w:rFonts w:hint="eastAsia" w:ascii="宋体" w:hAnsi="宋体" w:eastAsia="宋体" w:cs="宋体"/>
                <w:color w:val="auto"/>
                <w:sz w:val="24"/>
                <w:highlight w:val="none"/>
                <w:u w:val="none" w:color="auto"/>
              </w:rPr>
              <w:t>。</w:t>
            </w:r>
          </w:p>
          <w:p w14:paraId="01B4DF82">
            <w:pPr>
              <w:pStyle w:val="9"/>
              <w:spacing w:line="360" w:lineRule="auto"/>
              <w:ind w:firstLine="482" w:firstLineChars="0"/>
              <w:jc w:val="center"/>
              <w:outlineLvl w:val="9"/>
              <w:rPr>
                <w:rFonts w:hint="eastAsia" w:ascii="宋体" w:hAnsi="宋体" w:eastAsia="宋体" w:cs="宋体"/>
                <w:b/>
                <w:color w:val="auto"/>
                <w:sz w:val="24"/>
                <w:highlight w:val="none"/>
                <w:u w:val="none" w:color="auto"/>
              </w:rPr>
            </w:pPr>
          </w:p>
          <w:p w14:paraId="42696C75">
            <w:pPr>
              <w:pStyle w:val="9"/>
              <w:spacing w:line="360" w:lineRule="auto"/>
              <w:ind w:firstLine="482" w:firstLineChars="0"/>
              <w:jc w:val="center"/>
              <w:outlineLvl w:val="9"/>
              <w:rPr>
                <w:rFonts w:hint="eastAsia" w:ascii="宋体" w:hAnsi="宋体" w:eastAsia="宋体" w:cs="宋体"/>
                <w:b/>
                <w:color w:val="auto"/>
                <w:sz w:val="24"/>
                <w:highlight w:val="none"/>
                <w:u w:val="none" w:color="auto"/>
              </w:rPr>
            </w:pPr>
          </w:p>
          <w:p w14:paraId="75584855">
            <w:pPr>
              <w:pStyle w:val="9"/>
              <w:spacing w:line="360" w:lineRule="auto"/>
              <w:ind w:left="0" w:leftChars="0" w:firstLine="2650" w:firstLineChars="1100"/>
              <w:jc w:val="both"/>
              <w:outlineLvl w:val="9"/>
              <w:rPr>
                <w:rFonts w:hint="eastAsia" w:ascii="宋体" w:hAnsi="宋体" w:eastAsia="宋体" w:cs="宋体"/>
                <w:b/>
                <w:color w:val="auto"/>
                <w:sz w:val="24"/>
                <w:highlight w:val="none"/>
                <w:u w:val="none" w:color="auto"/>
              </w:rPr>
            </w:pPr>
          </w:p>
          <w:p w14:paraId="0DF072E4">
            <w:pPr>
              <w:pStyle w:val="9"/>
              <w:spacing w:line="360" w:lineRule="auto"/>
              <w:ind w:left="0" w:leftChars="0" w:firstLine="2650" w:firstLineChars="1100"/>
              <w:jc w:val="both"/>
              <w:outlineLvl w:val="9"/>
              <w:rPr>
                <w:rFonts w:hint="eastAsia" w:ascii="宋体" w:hAnsi="宋体" w:eastAsia="宋体" w:cs="宋体"/>
                <w:b/>
                <w:color w:val="auto"/>
                <w:sz w:val="24"/>
                <w:highlight w:val="none"/>
                <w:u w:val="none" w:color="auto"/>
              </w:rPr>
            </w:pPr>
            <w:r>
              <w:rPr>
                <w:rFonts w:hint="eastAsia" w:ascii="宋体" w:hAnsi="宋体" w:eastAsia="宋体" w:cs="宋体"/>
                <w:b/>
                <w:color w:val="auto"/>
                <w:sz w:val="24"/>
                <w:highlight w:val="none"/>
                <w:u w:val="none" w:color="auto"/>
              </w:rPr>
              <w:t>表</w:t>
            </w:r>
            <w:r>
              <w:rPr>
                <w:rFonts w:hint="eastAsia" w:ascii="宋体" w:hAnsi="宋体" w:eastAsia="宋体" w:cs="宋体"/>
                <w:b/>
                <w:color w:val="auto"/>
                <w:sz w:val="24"/>
                <w:highlight w:val="none"/>
                <w:u w:val="none" w:color="auto"/>
                <w:lang w:val="en-US" w:eastAsia="zh-CN"/>
              </w:rPr>
              <w:t>7</w:t>
            </w:r>
            <w:r>
              <w:rPr>
                <w:rFonts w:hint="eastAsia" w:ascii="宋体" w:hAnsi="宋体" w:eastAsia="宋体" w:cs="宋体"/>
                <w:b/>
                <w:color w:val="auto"/>
                <w:sz w:val="24"/>
                <w:highlight w:val="none"/>
                <w:u w:val="none" w:color="auto"/>
              </w:rPr>
              <w:t>-</w:t>
            </w:r>
            <w:r>
              <w:rPr>
                <w:rFonts w:hint="eastAsia" w:ascii="宋体" w:hAnsi="宋体" w:cs="宋体"/>
                <w:b/>
                <w:color w:val="auto"/>
                <w:sz w:val="24"/>
                <w:highlight w:val="none"/>
                <w:u w:val="none" w:color="auto"/>
                <w:lang w:val="en-US" w:eastAsia="zh-CN"/>
              </w:rPr>
              <w:t>6</w:t>
            </w:r>
            <w:r>
              <w:rPr>
                <w:rFonts w:hint="eastAsia" w:ascii="宋体" w:hAnsi="宋体" w:eastAsia="宋体" w:cs="宋体"/>
                <w:b/>
                <w:color w:val="auto"/>
                <w:sz w:val="24"/>
                <w:highlight w:val="none"/>
                <w:u w:val="none" w:color="auto"/>
              </w:rPr>
              <w:t xml:space="preserve">   大气环境防护距离计算表</w:t>
            </w:r>
          </w:p>
          <w:tbl>
            <w:tblPr>
              <w:tblStyle w:val="24"/>
              <w:tblW w:w="90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06"/>
              <w:gridCol w:w="4506"/>
            </w:tblGrid>
            <w:tr w14:paraId="72A6D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506" w:type="dxa"/>
                  <w:vAlign w:val="center"/>
                </w:tcPr>
                <w:p w14:paraId="1DA64BE1">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排放源</w:t>
                  </w:r>
                </w:p>
              </w:tc>
              <w:tc>
                <w:tcPr>
                  <w:tcW w:w="4506" w:type="dxa"/>
                  <w:vAlign w:val="center"/>
                </w:tcPr>
                <w:p w14:paraId="0595DEFA">
                  <w:pPr>
                    <w:autoSpaceDE w:val="0"/>
                    <w:autoSpaceDN w:val="0"/>
                    <w:adjustRightIn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面源</w:t>
                  </w:r>
                </w:p>
              </w:tc>
            </w:tr>
            <w:tr w14:paraId="5E81A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506" w:type="dxa"/>
                  <w:vAlign w:val="center"/>
                </w:tcPr>
                <w:p w14:paraId="297569B2">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污染物</w:t>
                  </w:r>
                </w:p>
              </w:tc>
              <w:tc>
                <w:tcPr>
                  <w:tcW w:w="4506" w:type="dxa"/>
                  <w:vAlign w:val="center"/>
                </w:tcPr>
                <w:p w14:paraId="428B277F">
                  <w:pPr>
                    <w:autoSpaceDE w:val="0"/>
                    <w:autoSpaceDN w:val="0"/>
                    <w:adjustRightInd w:val="0"/>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TSP</w:t>
                  </w:r>
                </w:p>
              </w:tc>
            </w:tr>
            <w:tr w14:paraId="38B4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506" w:type="dxa"/>
                  <w:vAlign w:val="center"/>
                </w:tcPr>
                <w:p w14:paraId="2AA800E7">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面源有效</w:t>
                  </w:r>
                  <w:r>
                    <w:rPr>
                      <w:rFonts w:hint="eastAsia" w:ascii="宋体" w:hAnsi="宋体" w:eastAsia="宋体" w:cs="宋体"/>
                      <w:color w:val="auto"/>
                      <w:spacing w:val="-5"/>
                      <w:kern w:val="0"/>
                      <w:sz w:val="21"/>
                      <w:highlight w:val="none"/>
                      <w:u w:val="none" w:color="auto"/>
                    </w:rPr>
                    <w:t>高</w:t>
                  </w:r>
                  <w:r>
                    <w:rPr>
                      <w:rFonts w:hint="eastAsia" w:ascii="宋体" w:hAnsi="宋体" w:eastAsia="宋体" w:cs="宋体"/>
                      <w:color w:val="auto"/>
                      <w:kern w:val="0"/>
                      <w:sz w:val="21"/>
                      <w:highlight w:val="none"/>
                      <w:u w:val="none" w:color="auto"/>
                    </w:rPr>
                    <w:t>度</w:t>
                  </w:r>
                  <w:r>
                    <w:rPr>
                      <w:rFonts w:hint="eastAsia" w:ascii="宋体" w:hAnsi="宋体" w:eastAsia="宋体" w:cs="宋体"/>
                      <w:color w:val="auto"/>
                      <w:spacing w:val="2"/>
                      <w:kern w:val="0"/>
                      <w:sz w:val="21"/>
                      <w:highlight w:val="none"/>
                      <w:u w:val="none" w:color="auto"/>
                    </w:rPr>
                    <w:t>(</w:t>
                  </w:r>
                  <w:r>
                    <w:rPr>
                      <w:rFonts w:hint="eastAsia" w:ascii="宋体" w:hAnsi="宋体" w:eastAsia="宋体" w:cs="宋体"/>
                      <w:color w:val="auto"/>
                      <w:spacing w:val="-11"/>
                      <w:kern w:val="0"/>
                      <w:sz w:val="21"/>
                      <w:highlight w:val="none"/>
                      <w:u w:val="none" w:color="auto"/>
                    </w:rPr>
                    <w:t>m</w:t>
                  </w:r>
                  <w:r>
                    <w:rPr>
                      <w:rFonts w:hint="eastAsia" w:ascii="宋体" w:hAnsi="宋体" w:eastAsia="宋体" w:cs="宋体"/>
                      <w:color w:val="auto"/>
                      <w:spacing w:val="2"/>
                      <w:kern w:val="0"/>
                      <w:sz w:val="21"/>
                      <w:highlight w:val="none"/>
                      <w:u w:val="none" w:color="auto"/>
                    </w:rPr>
                    <w:t>)</w:t>
                  </w:r>
                </w:p>
              </w:tc>
              <w:tc>
                <w:tcPr>
                  <w:tcW w:w="4506" w:type="dxa"/>
                  <w:vAlign w:val="center"/>
                </w:tcPr>
                <w:p w14:paraId="2AC030BB">
                  <w:pPr>
                    <w:autoSpaceDE w:val="0"/>
                    <w:autoSpaceDN w:val="0"/>
                    <w:adjustRightInd w:val="0"/>
                    <w:jc w:val="center"/>
                    <w:outlineLvl w:val="9"/>
                    <w:rPr>
                      <w:rFonts w:hint="eastAsia" w:ascii="宋体" w:hAnsi="宋体" w:eastAsia="宋体" w:cs="宋体"/>
                      <w:color w:val="auto"/>
                      <w:kern w:val="0"/>
                      <w:sz w:val="21"/>
                      <w:highlight w:val="none"/>
                      <w:u w:val="none" w:color="auto"/>
                      <w:lang w:eastAsia="zh-CN"/>
                    </w:rPr>
                  </w:pPr>
                  <w:r>
                    <w:rPr>
                      <w:rFonts w:hint="eastAsia" w:ascii="宋体" w:hAnsi="宋体" w:eastAsia="宋体" w:cs="宋体"/>
                      <w:color w:val="auto"/>
                      <w:kern w:val="0"/>
                      <w:sz w:val="21"/>
                      <w:highlight w:val="none"/>
                      <w:u w:val="none" w:color="auto"/>
                      <w:lang w:val="en-US" w:eastAsia="zh-CN"/>
                    </w:rPr>
                    <w:t>5</w:t>
                  </w:r>
                </w:p>
              </w:tc>
            </w:tr>
            <w:tr w14:paraId="26A7C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506" w:type="dxa"/>
                  <w:vAlign w:val="center"/>
                </w:tcPr>
                <w:p w14:paraId="481D423E">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面源宽度（</w:t>
                  </w:r>
                  <w:r>
                    <w:rPr>
                      <w:rFonts w:hint="eastAsia" w:ascii="宋体" w:hAnsi="宋体" w:eastAsia="宋体" w:cs="宋体"/>
                      <w:color w:val="auto"/>
                      <w:spacing w:val="-11"/>
                      <w:kern w:val="0"/>
                      <w:sz w:val="21"/>
                      <w:highlight w:val="none"/>
                      <w:u w:val="none" w:color="auto"/>
                    </w:rPr>
                    <w:t>m</w:t>
                  </w:r>
                  <w:r>
                    <w:rPr>
                      <w:rFonts w:hint="eastAsia" w:ascii="宋体" w:hAnsi="宋体" w:eastAsia="宋体" w:cs="宋体"/>
                      <w:color w:val="auto"/>
                      <w:kern w:val="0"/>
                      <w:sz w:val="21"/>
                      <w:highlight w:val="none"/>
                      <w:u w:val="none" w:color="auto"/>
                    </w:rPr>
                    <w:t>）</w:t>
                  </w:r>
                </w:p>
              </w:tc>
              <w:tc>
                <w:tcPr>
                  <w:tcW w:w="4506" w:type="dxa"/>
                  <w:vAlign w:val="center"/>
                </w:tcPr>
                <w:p w14:paraId="233B11C1">
                  <w:pPr>
                    <w:autoSpaceDE w:val="0"/>
                    <w:autoSpaceDN w:val="0"/>
                    <w:adjustRightInd w:val="0"/>
                    <w:jc w:val="center"/>
                    <w:outlineLvl w:val="9"/>
                    <w:rPr>
                      <w:rFonts w:hint="eastAsia" w:ascii="宋体" w:hAnsi="宋体" w:eastAsia="宋体" w:cs="宋体"/>
                      <w:color w:val="auto"/>
                      <w:kern w:val="0"/>
                      <w:sz w:val="21"/>
                      <w:highlight w:val="none"/>
                      <w:u w:val="none" w:color="auto"/>
                      <w:lang w:val="en-US" w:eastAsia="zh-CN"/>
                    </w:rPr>
                  </w:pPr>
                  <w:r>
                    <w:rPr>
                      <w:rFonts w:hint="eastAsia" w:ascii="宋体" w:hAnsi="宋体" w:eastAsia="宋体" w:cs="宋体"/>
                      <w:color w:val="auto"/>
                      <w:kern w:val="0"/>
                      <w:sz w:val="21"/>
                      <w:highlight w:val="none"/>
                      <w:u w:val="none" w:color="auto"/>
                      <w:lang w:val="en-US" w:eastAsia="zh-CN"/>
                    </w:rPr>
                    <w:t>30</w:t>
                  </w:r>
                </w:p>
              </w:tc>
            </w:tr>
            <w:tr w14:paraId="0ADA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506" w:type="dxa"/>
                  <w:vAlign w:val="center"/>
                </w:tcPr>
                <w:p w14:paraId="480A2454">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面源长度（</w:t>
                  </w:r>
                  <w:r>
                    <w:rPr>
                      <w:rFonts w:hint="eastAsia" w:ascii="宋体" w:hAnsi="宋体" w:eastAsia="宋体" w:cs="宋体"/>
                      <w:color w:val="auto"/>
                      <w:spacing w:val="-11"/>
                      <w:kern w:val="0"/>
                      <w:sz w:val="21"/>
                      <w:highlight w:val="none"/>
                      <w:u w:val="none" w:color="auto"/>
                    </w:rPr>
                    <w:t>m</w:t>
                  </w:r>
                  <w:r>
                    <w:rPr>
                      <w:rFonts w:hint="eastAsia" w:ascii="宋体" w:hAnsi="宋体" w:eastAsia="宋体" w:cs="宋体"/>
                      <w:color w:val="auto"/>
                      <w:kern w:val="0"/>
                      <w:sz w:val="21"/>
                      <w:highlight w:val="none"/>
                      <w:u w:val="none" w:color="auto"/>
                    </w:rPr>
                    <w:t>）</w:t>
                  </w:r>
                </w:p>
              </w:tc>
              <w:tc>
                <w:tcPr>
                  <w:tcW w:w="4506" w:type="dxa"/>
                  <w:vAlign w:val="center"/>
                </w:tcPr>
                <w:p w14:paraId="353AE51F">
                  <w:pPr>
                    <w:autoSpaceDE w:val="0"/>
                    <w:autoSpaceDN w:val="0"/>
                    <w:adjustRightInd w:val="0"/>
                    <w:jc w:val="center"/>
                    <w:outlineLvl w:val="9"/>
                    <w:rPr>
                      <w:rFonts w:hint="eastAsia" w:ascii="宋体" w:hAnsi="宋体" w:eastAsia="宋体" w:cs="宋体"/>
                      <w:color w:val="auto"/>
                      <w:kern w:val="0"/>
                      <w:sz w:val="21"/>
                      <w:highlight w:val="none"/>
                      <w:u w:val="none" w:color="auto"/>
                      <w:lang w:val="en-US"/>
                    </w:rPr>
                  </w:pPr>
                  <w:r>
                    <w:rPr>
                      <w:rFonts w:hint="eastAsia" w:ascii="宋体" w:hAnsi="宋体" w:eastAsia="宋体" w:cs="宋体"/>
                      <w:color w:val="auto"/>
                      <w:kern w:val="0"/>
                      <w:sz w:val="21"/>
                      <w:highlight w:val="none"/>
                      <w:u w:val="none" w:color="auto"/>
                      <w:lang w:val="en-US" w:eastAsia="zh-CN"/>
                    </w:rPr>
                    <w:t>50</w:t>
                  </w:r>
                </w:p>
              </w:tc>
            </w:tr>
            <w:tr w14:paraId="1016C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506" w:type="dxa"/>
                  <w:vAlign w:val="center"/>
                </w:tcPr>
                <w:p w14:paraId="441E8755">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污染物排</w:t>
                  </w:r>
                  <w:r>
                    <w:rPr>
                      <w:rFonts w:hint="eastAsia" w:ascii="宋体" w:hAnsi="宋体" w:eastAsia="宋体" w:cs="宋体"/>
                      <w:color w:val="auto"/>
                      <w:spacing w:val="-5"/>
                      <w:kern w:val="0"/>
                      <w:sz w:val="21"/>
                      <w:highlight w:val="none"/>
                      <w:u w:val="none" w:color="auto"/>
                    </w:rPr>
                    <w:t>放</w:t>
                  </w:r>
                  <w:r>
                    <w:rPr>
                      <w:rFonts w:hint="eastAsia" w:ascii="宋体" w:hAnsi="宋体" w:eastAsia="宋体" w:cs="宋体"/>
                      <w:color w:val="auto"/>
                      <w:kern w:val="0"/>
                      <w:sz w:val="21"/>
                      <w:highlight w:val="none"/>
                      <w:u w:val="none" w:color="auto"/>
                    </w:rPr>
                    <w:t>速率（</w:t>
                  </w:r>
                  <w:r>
                    <w:rPr>
                      <w:rFonts w:hint="eastAsia" w:ascii="宋体" w:hAnsi="宋体" w:cs="宋体"/>
                      <w:color w:val="auto"/>
                      <w:sz w:val="21"/>
                      <w:highlight w:val="none"/>
                      <w:u w:val="none" w:color="auto"/>
                      <w:lang w:val="en-US" w:eastAsia="zh-CN"/>
                    </w:rPr>
                    <w:t>kg</w:t>
                  </w:r>
                  <w:r>
                    <w:rPr>
                      <w:rFonts w:hint="eastAsia" w:ascii="宋体" w:hAnsi="宋体" w:eastAsia="宋体" w:cs="宋体"/>
                      <w:color w:val="auto"/>
                      <w:sz w:val="21"/>
                      <w:highlight w:val="none"/>
                      <w:u w:val="none" w:color="auto"/>
                      <w:lang w:val="en-US" w:eastAsia="zh-CN"/>
                    </w:rPr>
                    <w:t>/</w:t>
                  </w:r>
                  <w:r>
                    <w:rPr>
                      <w:rFonts w:hint="eastAsia" w:ascii="宋体" w:hAnsi="宋体" w:cs="宋体"/>
                      <w:color w:val="auto"/>
                      <w:sz w:val="21"/>
                      <w:highlight w:val="none"/>
                      <w:u w:val="none" w:color="auto"/>
                      <w:lang w:val="en-US" w:eastAsia="zh-CN"/>
                    </w:rPr>
                    <w:t>h</w:t>
                  </w:r>
                  <w:r>
                    <w:rPr>
                      <w:rFonts w:hint="eastAsia" w:ascii="宋体" w:hAnsi="宋体" w:eastAsia="宋体" w:cs="宋体"/>
                      <w:color w:val="auto"/>
                      <w:spacing w:val="-1"/>
                      <w:kern w:val="0"/>
                      <w:sz w:val="21"/>
                      <w:highlight w:val="none"/>
                      <w:u w:val="none" w:color="auto"/>
                    </w:rPr>
                    <w:t>）</w:t>
                  </w:r>
                </w:p>
              </w:tc>
              <w:tc>
                <w:tcPr>
                  <w:tcW w:w="4506" w:type="dxa"/>
                  <w:vAlign w:val="center"/>
                </w:tcPr>
                <w:p w14:paraId="102572A1">
                  <w:pPr>
                    <w:autoSpaceDE w:val="0"/>
                    <w:autoSpaceDN w:val="0"/>
                    <w:adjustRightInd w:val="0"/>
                    <w:jc w:val="center"/>
                    <w:outlineLvl w:val="9"/>
                    <w:rPr>
                      <w:rFonts w:hint="default" w:ascii="宋体" w:hAnsi="宋体" w:eastAsia="宋体" w:cs="宋体"/>
                      <w:color w:val="auto"/>
                      <w:kern w:val="0"/>
                      <w:sz w:val="21"/>
                      <w:highlight w:val="none"/>
                      <w:u w:val="none" w:color="auto"/>
                      <w:lang w:val="en-US" w:eastAsia="zh-CN"/>
                    </w:rPr>
                  </w:pPr>
                  <w:r>
                    <w:rPr>
                      <w:rFonts w:hint="eastAsia" w:ascii="宋体" w:hAnsi="宋体" w:eastAsia="宋体" w:cs="宋体"/>
                      <w:color w:val="auto"/>
                      <w:kern w:val="0"/>
                      <w:sz w:val="21"/>
                      <w:highlight w:val="none"/>
                      <w:u w:val="none" w:color="auto"/>
                      <w:lang w:val="en-US" w:eastAsia="zh-CN"/>
                    </w:rPr>
                    <w:t>0.0</w:t>
                  </w:r>
                  <w:r>
                    <w:rPr>
                      <w:rFonts w:hint="eastAsia" w:ascii="宋体" w:hAnsi="宋体" w:cs="宋体"/>
                      <w:color w:val="auto"/>
                      <w:kern w:val="0"/>
                      <w:sz w:val="21"/>
                      <w:highlight w:val="none"/>
                      <w:u w:val="none" w:color="auto"/>
                      <w:lang w:val="en-US" w:eastAsia="zh-CN"/>
                    </w:rPr>
                    <w:t>91</w:t>
                  </w:r>
                </w:p>
              </w:tc>
            </w:tr>
            <w:tr w14:paraId="1F15C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506" w:type="dxa"/>
                  <w:vAlign w:val="center"/>
                </w:tcPr>
                <w:p w14:paraId="0CDBEB0E">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大气环境</w:t>
                  </w:r>
                  <w:r>
                    <w:rPr>
                      <w:rFonts w:hint="eastAsia" w:ascii="宋体" w:hAnsi="宋体" w:eastAsia="宋体" w:cs="宋体"/>
                      <w:color w:val="auto"/>
                      <w:spacing w:val="-5"/>
                      <w:kern w:val="0"/>
                      <w:sz w:val="21"/>
                      <w:highlight w:val="none"/>
                      <w:u w:val="none" w:color="auto"/>
                    </w:rPr>
                    <w:t>防</w:t>
                  </w:r>
                  <w:r>
                    <w:rPr>
                      <w:rFonts w:hint="eastAsia" w:ascii="宋体" w:hAnsi="宋体" w:eastAsia="宋体" w:cs="宋体"/>
                      <w:color w:val="auto"/>
                      <w:kern w:val="0"/>
                      <w:sz w:val="21"/>
                      <w:highlight w:val="none"/>
                      <w:u w:val="none" w:color="auto"/>
                    </w:rPr>
                    <w:t>护距离（</w:t>
                  </w:r>
                  <w:r>
                    <w:rPr>
                      <w:rFonts w:hint="eastAsia" w:ascii="宋体" w:hAnsi="宋体" w:eastAsia="宋体" w:cs="宋体"/>
                      <w:color w:val="auto"/>
                      <w:spacing w:val="-11"/>
                      <w:kern w:val="0"/>
                      <w:sz w:val="21"/>
                      <w:highlight w:val="none"/>
                      <w:u w:val="none" w:color="auto"/>
                    </w:rPr>
                    <w:t>m</w:t>
                  </w:r>
                  <w:r>
                    <w:rPr>
                      <w:rFonts w:hint="eastAsia" w:ascii="宋体" w:hAnsi="宋体" w:eastAsia="宋体" w:cs="宋体"/>
                      <w:color w:val="auto"/>
                      <w:kern w:val="0"/>
                      <w:sz w:val="21"/>
                      <w:highlight w:val="none"/>
                      <w:u w:val="none" w:color="auto"/>
                    </w:rPr>
                    <w:t>）</w:t>
                  </w:r>
                </w:p>
              </w:tc>
              <w:tc>
                <w:tcPr>
                  <w:tcW w:w="4506" w:type="dxa"/>
                  <w:vAlign w:val="center"/>
                </w:tcPr>
                <w:p w14:paraId="13D7FEDB">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无超标点</w:t>
                  </w:r>
                </w:p>
              </w:tc>
            </w:tr>
            <w:tr w14:paraId="78AD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506" w:type="dxa"/>
                  <w:vAlign w:val="center"/>
                </w:tcPr>
                <w:p w14:paraId="5838DE57">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备注</w:t>
                  </w:r>
                </w:p>
              </w:tc>
              <w:tc>
                <w:tcPr>
                  <w:tcW w:w="4506" w:type="dxa"/>
                  <w:vAlign w:val="center"/>
                </w:tcPr>
                <w:p w14:paraId="18EAE0C8">
                  <w:pPr>
                    <w:autoSpaceDE w:val="0"/>
                    <w:autoSpaceDN w:val="0"/>
                    <w:adjustRightIn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不设大气环境防护距离</w:t>
                  </w:r>
                </w:p>
              </w:tc>
            </w:tr>
          </w:tbl>
          <w:p w14:paraId="55B66EC0">
            <w:pPr>
              <w:spacing w:line="360" w:lineRule="auto"/>
              <w:ind w:firstLine="480" w:firstLineChars="200"/>
              <w:outlineLvl w:val="9"/>
              <w:rPr>
                <w:rFonts w:hint="default" w:ascii="Times New Roman" w:hAnsi="Times New Roman" w:eastAsia="宋体" w:cs="Times New Roman"/>
                <w:color w:val="auto"/>
                <w:sz w:val="24"/>
                <w:szCs w:val="24"/>
                <w:highlight w:val="none"/>
                <w:u w:val="none" w:color="auto"/>
              </w:rPr>
            </w:pPr>
            <w:r>
              <w:rPr>
                <w:rFonts w:hint="eastAsia" w:ascii="宋体" w:hAnsi="宋体" w:eastAsia="宋体" w:cs="宋体"/>
                <w:color w:val="auto"/>
                <w:sz w:val="24"/>
                <w:szCs w:val="24"/>
                <w:highlight w:val="none"/>
                <w:u w:val="none" w:color="auto"/>
              </w:rPr>
              <w:t>根据</w:t>
            </w:r>
            <w:r>
              <w:rPr>
                <w:rFonts w:hint="eastAsia" w:ascii="宋体" w:hAnsi="宋体" w:eastAsia="宋体" w:cs="宋体"/>
                <w:color w:val="auto"/>
                <w:sz w:val="24"/>
                <w:szCs w:val="24"/>
              </w:rPr>
              <w:t>《环境影响评价技术导则 大气环境》(HJ2.2-2018)</w:t>
            </w:r>
            <w:r>
              <w:rPr>
                <w:rFonts w:hint="eastAsia" w:ascii="宋体" w:hAnsi="宋体" w:eastAsia="宋体" w:cs="宋体"/>
                <w:color w:val="auto"/>
                <w:sz w:val="24"/>
                <w:szCs w:val="24"/>
                <w:highlight w:val="none"/>
                <w:u w:val="none" w:color="auto"/>
              </w:rPr>
              <w:t>，</w:t>
            </w:r>
            <w:r>
              <w:rPr>
                <w:rFonts w:hint="eastAsia" w:ascii="宋体" w:hAnsi="宋体" w:eastAsia="宋体" w:cs="宋体"/>
                <w:color w:val="auto"/>
                <w:sz w:val="24"/>
                <w:highlight w:val="none"/>
                <w:u w:val="none" w:color="auto"/>
              </w:rPr>
              <w:t>采用推荐模式中的大气环境防护距离模式计算无组织排放源的大气环境防护距离。根据计算结果，本项目无组</w:t>
            </w:r>
            <w:r>
              <w:rPr>
                <w:rFonts w:hint="eastAsia" w:ascii="宋体" w:hAnsi="宋体" w:eastAsia="宋体" w:cs="宋体"/>
                <w:color w:val="auto"/>
                <w:sz w:val="24"/>
                <w:szCs w:val="24"/>
                <w:highlight w:val="none"/>
                <w:u w:val="none" w:color="auto"/>
              </w:rPr>
              <w:t>织</w:t>
            </w:r>
            <w:r>
              <w:rPr>
                <w:rFonts w:hint="eastAsia" w:ascii="宋体" w:hAnsi="宋体" w:eastAsia="宋体" w:cs="宋体"/>
                <w:color w:val="auto"/>
                <w:sz w:val="24"/>
                <w:szCs w:val="24"/>
                <w:highlight w:val="none"/>
                <w:u w:val="none" w:color="auto"/>
                <w:lang w:val="en-US" w:eastAsia="zh-CN"/>
              </w:rPr>
              <w:t>TSP</w:t>
            </w:r>
            <w:r>
              <w:rPr>
                <w:rFonts w:hint="eastAsia" w:ascii="宋体" w:hAnsi="宋体" w:eastAsia="宋体" w:cs="宋体"/>
                <w:color w:val="auto"/>
                <w:sz w:val="24"/>
                <w:szCs w:val="24"/>
                <w:highlight w:val="none"/>
                <w:u w:val="none" w:color="auto"/>
              </w:rPr>
              <w:t>厂界无组织排放无需设置大气环境防护距离。</w:t>
            </w:r>
          </w:p>
          <w:p w14:paraId="248683D6">
            <w:pPr>
              <w:pStyle w:val="16"/>
              <w:spacing w:line="360" w:lineRule="auto"/>
              <w:ind w:firstLine="482" w:firstLineChars="200"/>
              <w:rPr>
                <w:rFonts w:hint="eastAsia" w:eastAsia="宋体"/>
                <w:b/>
                <w:bCs/>
                <w:color w:val="auto"/>
                <w:sz w:val="24"/>
                <w:szCs w:val="24"/>
                <w:lang w:eastAsia="zh-CN"/>
              </w:rPr>
            </w:pPr>
            <w:r>
              <w:rPr>
                <w:rFonts w:hint="eastAsia" w:hAnsi="宋体" w:cs="宋体"/>
                <w:b/>
                <w:bCs/>
                <w:color w:val="auto"/>
                <w:sz w:val="24"/>
                <w:szCs w:val="24"/>
                <w:highlight w:val="none"/>
                <w:u w:val="none" w:color="auto"/>
                <w:lang w:eastAsia="zh-CN"/>
              </w:rPr>
              <w:t>卫生</w:t>
            </w:r>
            <w:r>
              <w:rPr>
                <w:rFonts w:hint="eastAsia" w:ascii="宋体" w:hAnsi="宋体" w:eastAsia="宋体" w:cs="宋体"/>
                <w:b/>
                <w:bCs/>
                <w:color w:val="auto"/>
                <w:sz w:val="24"/>
                <w:szCs w:val="24"/>
                <w:highlight w:val="none"/>
                <w:u w:val="none" w:color="auto"/>
              </w:rPr>
              <w:t>防护距离</w:t>
            </w:r>
            <w:r>
              <w:rPr>
                <w:rFonts w:hint="eastAsia" w:hAnsi="宋体" w:cs="宋体"/>
                <w:b/>
                <w:bCs/>
                <w:color w:val="auto"/>
                <w:sz w:val="24"/>
                <w:szCs w:val="24"/>
                <w:highlight w:val="none"/>
                <w:u w:val="none" w:color="auto"/>
                <w:lang w:eastAsia="zh-CN"/>
              </w:rPr>
              <w:t>确定</w:t>
            </w:r>
          </w:p>
          <w:p w14:paraId="126A1A66">
            <w:pPr>
              <w:keepNext w:val="0"/>
              <w:keepLines w:val="0"/>
              <w:widowControl/>
              <w:suppressLineNumbers w:val="0"/>
              <w:spacing w:after="240" w:afterAutospacing="0" w:line="360" w:lineRule="auto"/>
              <w:jc w:val="left"/>
              <w:rPr>
                <w:rFonts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 xml:space="preserve">    </w:t>
            </w:r>
            <w:r>
              <w:rPr>
                <w:rFonts w:ascii="宋体" w:hAnsi="宋体" w:eastAsia="宋体" w:cs="宋体"/>
                <w:color w:val="auto"/>
                <w:kern w:val="0"/>
                <w:sz w:val="24"/>
                <w:szCs w:val="24"/>
                <w:lang w:val="en-US" w:eastAsia="zh-CN" w:bidi="ar"/>
              </w:rPr>
              <w:t>根据(GB3840-91)《制定 地方大气污染物排放标准的技术方法》第7条有害气体无组织排放控制与工业企业卫生防护距离标准的制定方法中，无组织排放的有害气体进入呼吸带大层时，其浓度如未超过GB3095-1996《环境空气质量标准》与TJ36-79(工业企业设计卫生标准》规定的居住区容许浓度限值，则无组织排放源所产生的生产单元(生产区、车间或工段)与居住区之间可不设置卫生防护距离。通过预测可知，项目运营期TSP浓度没有超过最高允许浓度标准限值，因此，本项目不设置卫生防护距离。</w:t>
            </w:r>
          </w:p>
          <w:p w14:paraId="322F52FC">
            <w:pPr>
              <w:keepNext w:val="0"/>
              <w:keepLines w:val="0"/>
              <w:widowControl/>
              <w:suppressLineNumbers w:val="0"/>
              <w:spacing w:after="240" w:afterAutospacing="0" w:line="24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（3）茶香</w:t>
            </w:r>
          </w:p>
          <w:p w14:paraId="384F3DC3">
            <w:pPr>
              <w:adjustRightInd w:val="0"/>
              <w:snapToGrid w:val="0"/>
              <w:spacing w:line="360" w:lineRule="auto"/>
              <w:ind w:firstLine="480"/>
              <w:rPr>
                <w:rFonts w:hint="eastAsia" w:ascii="Times New Roman" w:hAnsi="Times New Roman"/>
                <w:bCs/>
                <w:color w:val="auto"/>
                <w:sz w:val="24"/>
                <w:lang w:val="en-US" w:eastAsia="zh-CN"/>
              </w:rPr>
            </w:pPr>
            <w:r>
              <w:rPr>
                <w:rFonts w:hint="eastAsia" w:ascii="Times New Roman" w:hAnsi="Times New Roman"/>
                <w:color w:val="auto"/>
                <w:sz w:val="24"/>
                <w:szCs w:val="24"/>
              </w:rPr>
              <w:t>本项目茶叶加工采用的鲜叶为可食用的物质，在发酵过程中，鲜叶会挥发出茶香，其对人体无害，产生量较少，通过门窗阻隔和空气稀释后，项目发酵产生的异味后较难逸出到厂房外，对周围环境影响较小。。</w:t>
            </w:r>
          </w:p>
          <w:p w14:paraId="6C312E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bCs/>
                <w:color w:val="auto"/>
                <w:sz w:val="24"/>
                <w:lang w:val="en-US" w:eastAsia="zh-CN"/>
              </w:rPr>
            </w:pPr>
            <w:r>
              <w:rPr>
                <w:rFonts w:hint="eastAsia" w:ascii="Times New Roman" w:hAnsi="Times New Roman"/>
                <w:bCs/>
                <w:color w:val="auto"/>
                <w:sz w:val="24"/>
                <w:lang w:val="en-US" w:eastAsia="zh-CN"/>
              </w:rPr>
              <w:t>（4）厨房油烟</w:t>
            </w:r>
          </w:p>
          <w:p w14:paraId="55DE8BF1">
            <w:pPr>
              <w:keepNext w:val="0"/>
              <w:keepLines w:val="0"/>
              <w:pageBreakBefore w:val="0"/>
              <w:widowControl/>
              <w:kinsoku/>
              <w:wordWrap/>
              <w:overflowPunct/>
              <w:topLinePunct w:val="0"/>
              <w:autoSpaceDE/>
              <w:autoSpaceDN/>
              <w:bidi w:val="0"/>
              <w:snapToGrid/>
              <w:spacing w:before="0" w:beforeLines="0" w:after="0" w:afterLines="0" w:line="360" w:lineRule="auto"/>
              <w:ind w:left="0" w:leftChars="0" w:right="0" w:rightChars="0" w:firstLine="480" w:firstLineChars="200"/>
              <w:textAlignment w:val="auto"/>
              <w:outlineLvl w:val="9"/>
              <w:rPr>
                <w:rFonts w:ascii="Times New Roman" w:hAnsi="Times New Roman"/>
                <w:color w:val="auto"/>
                <w:sz w:val="24"/>
                <w:szCs w:val="24"/>
              </w:rPr>
            </w:pPr>
            <w:r>
              <w:rPr>
                <w:rFonts w:hint="eastAsia" w:ascii="宋体" w:hAnsi="宋体" w:eastAsia="宋体" w:cs="宋体"/>
                <w:b w:val="0"/>
                <w:bCs/>
                <w:color w:val="auto"/>
                <w:sz w:val="24"/>
                <w:szCs w:val="24"/>
                <w:highlight w:val="none"/>
                <w:u w:val="none" w:color="auto"/>
                <w:lang w:val="en-US" w:eastAsia="zh-CN"/>
              </w:rPr>
              <w:t>据工程分析，项目食堂</w:t>
            </w:r>
            <w:r>
              <w:rPr>
                <w:rFonts w:hint="eastAsia" w:ascii="宋体" w:hAnsi="宋体" w:eastAsia="宋体" w:cs="宋体"/>
                <w:color w:val="auto"/>
                <w:kern w:val="0"/>
                <w:sz w:val="24"/>
                <w:szCs w:val="24"/>
                <w:highlight w:val="none"/>
                <w:u w:val="none" w:color="auto"/>
              </w:rPr>
              <w:t>使用清洁能源电能和液化气，产生的污染物主要为食物在烹调、加工过程中将挥发出油脂、有机质及热分解或裂解产物，从而产生的油烟废气。</w:t>
            </w:r>
            <w:r>
              <w:rPr>
                <w:rFonts w:hint="eastAsia" w:ascii="宋体" w:hAnsi="宋体" w:eastAsia="宋体" w:cs="宋体"/>
                <w:color w:val="auto"/>
                <w:kern w:val="0"/>
                <w:sz w:val="24"/>
                <w:szCs w:val="24"/>
                <w:highlight w:val="none"/>
                <w:u w:val="none" w:color="auto"/>
                <w:lang w:val="en-US" w:eastAsia="zh-CN"/>
              </w:rPr>
              <w:t>项目油烟产生量为产生量为6.0g/d</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1.44</w:t>
            </w:r>
            <w:r>
              <w:rPr>
                <w:rFonts w:hint="eastAsia" w:ascii="宋体" w:hAnsi="宋体" w:eastAsia="宋体" w:cs="宋体"/>
                <w:color w:val="auto"/>
                <w:kern w:val="0"/>
                <w:sz w:val="24"/>
                <w:szCs w:val="24"/>
                <w:highlight w:val="none"/>
                <w:u w:val="none" w:color="auto"/>
              </w:rPr>
              <w:t>kg</w:t>
            </w:r>
            <w:r>
              <w:rPr>
                <w:rFonts w:hint="eastAsia" w:ascii="宋体" w:hAnsi="宋体" w:eastAsia="宋体" w:cs="宋体"/>
                <w:color w:val="auto"/>
                <w:kern w:val="0"/>
                <w:sz w:val="24"/>
                <w:szCs w:val="24"/>
                <w:highlight w:val="none"/>
                <w:u w:val="none" w:color="auto"/>
                <w:lang w:val="en-US" w:eastAsia="zh-CN"/>
              </w:rPr>
              <w:t>/a</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产生浓度为2.5</w:t>
            </w:r>
            <w:r>
              <w:rPr>
                <w:rFonts w:hint="eastAsia" w:ascii="宋体" w:hAnsi="宋体" w:eastAsia="宋体" w:cs="宋体"/>
                <w:color w:val="auto"/>
                <w:kern w:val="0"/>
                <w:sz w:val="24"/>
                <w:szCs w:val="24"/>
                <w:highlight w:val="none"/>
                <w:u w:val="none" w:color="auto"/>
              </w:rPr>
              <w:t>mg/m</w:t>
            </w:r>
            <w:r>
              <w:rPr>
                <w:rFonts w:hint="eastAsia" w:ascii="宋体" w:hAnsi="宋体" w:eastAsia="宋体" w:cs="宋体"/>
                <w:color w:val="auto"/>
                <w:kern w:val="0"/>
                <w:sz w:val="24"/>
                <w:szCs w:val="24"/>
                <w:highlight w:val="none"/>
                <w:u w:val="none" w:color="auto"/>
                <w:vertAlign w:val="superscript"/>
              </w:rPr>
              <w:t>3</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油烟排放量为2.4g/d</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0.576</w:t>
            </w:r>
            <w:r>
              <w:rPr>
                <w:rFonts w:hint="eastAsia" w:ascii="宋体" w:hAnsi="宋体" w:eastAsia="宋体" w:cs="宋体"/>
                <w:color w:val="auto"/>
                <w:kern w:val="0"/>
                <w:sz w:val="24"/>
                <w:szCs w:val="24"/>
                <w:highlight w:val="none"/>
                <w:u w:val="none" w:color="auto"/>
              </w:rPr>
              <w:t>kg</w:t>
            </w:r>
            <w:r>
              <w:rPr>
                <w:rFonts w:hint="eastAsia" w:ascii="宋体" w:hAnsi="宋体" w:eastAsia="宋体" w:cs="宋体"/>
                <w:color w:val="auto"/>
                <w:kern w:val="0"/>
                <w:sz w:val="24"/>
                <w:szCs w:val="24"/>
                <w:highlight w:val="none"/>
                <w:u w:val="none" w:color="auto"/>
                <w:lang w:val="en-US" w:eastAsia="zh-CN"/>
              </w:rPr>
              <w:t>/a</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油烟排放浓度为1.0</w:t>
            </w:r>
            <w:r>
              <w:rPr>
                <w:rFonts w:hint="eastAsia" w:ascii="宋体" w:hAnsi="宋体" w:eastAsia="宋体" w:cs="宋体"/>
                <w:color w:val="auto"/>
                <w:kern w:val="0"/>
                <w:sz w:val="24"/>
                <w:szCs w:val="24"/>
                <w:highlight w:val="none"/>
                <w:u w:val="none" w:color="auto"/>
              </w:rPr>
              <w:t>mg/m</w:t>
            </w:r>
            <w:r>
              <w:rPr>
                <w:rFonts w:hint="eastAsia" w:ascii="宋体" w:hAnsi="宋体" w:eastAsia="宋体" w:cs="宋体"/>
                <w:color w:val="auto"/>
                <w:kern w:val="0"/>
                <w:sz w:val="24"/>
                <w:szCs w:val="24"/>
                <w:highlight w:val="none"/>
                <w:u w:val="none" w:color="auto"/>
                <w:vertAlign w:val="superscript"/>
              </w:rPr>
              <w:t>3</w:t>
            </w:r>
            <w:r>
              <w:rPr>
                <w:rFonts w:hint="eastAsia" w:ascii="宋体" w:hAnsi="宋体" w:eastAsia="宋体" w:cs="宋体"/>
                <w:color w:val="auto"/>
                <w:kern w:val="0"/>
                <w:sz w:val="24"/>
                <w:szCs w:val="24"/>
                <w:highlight w:val="none"/>
                <w:u w:val="none" w:color="auto"/>
                <w:vertAlign w:val="baseline"/>
                <w:lang w:eastAsia="zh-CN"/>
              </w:rPr>
              <w:t>。可</w:t>
            </w:r>
            <w:r>
              <w:rPr>
                <w:rFonts w:hint="eastAsia" w:ascii="宋体" w:hAnsi="宋体" w:eastAsia="宋体" w:cs="宋体"/>
                <w:color w:val="auto"/>
                <w:sz w:val="24"/>
                <w:szCs w:val="24"/>
                <w:highlight w:val="none"/>
                <w:u w:val="none" w:color="auto"/>
                <w:lang w:val="en-US" w:eastAsia="zh-CN"/>
              </w:rPr>
              <w:t>达到</w:t>
            </w:r>
            <w:r>
              <w:rPr>
                <w:rFonts w:hint="eastAsia" w:ascii="宋体" w:hAnsi="宋体" w:eastAsia="宋体" w:cs="宋体"/>
                <w:color w:val="auto"/>
                <w:sz w:val="24"/>
                <w:szCs w:val="20"/>
                <w:highlight w:val="none"/>
                <w:u w:val="none" w:color="auto"/>
                <w:lang w:eastAsia="zh-CN"/>
              </w:rPr>
              <w:t>《饮食业油烟排放标准》（GB18483-2001）</w:t>
            </w:r>
            <w:r>
              <w:rPr>
                <w:rFonts w:hint="eastAsia" w:ascii="宋体" w:hAnsi="宋体" w:eastAsia="宋体" w:cs="宋体"/>
                <w:color w:val="auto"/>
                <w:sz w:val="24"/>
                <w:szCs w:val="20"/>
                <w:highlight w:val="none"/>
                <w:u w:val="none" w:color="auto"/>
                <w:lang w:val="en-US" w:eastAsia="zh-CN"/>
              </w:rPr>
              <w:t>小</w:t>
            </w:r>
            <w:r>
              <w:rPr>
                <w:rFonts w:hint="eastAsia" w:ascii="宋体" w:hAnsi="宋体" w:eastAsia="宋体" w:cs="宋体"/>
                <w:color w:val="auto"/>
                <w:sz w:val="24"/>
                <w:szCs w:val="20"/>
                <w:highlight w:val="none"/>
                <w:u w:val="none" w:color="auto"/>
                <w:lang w:eastAsia="zh-CN"/>
              </w:rPr>
              <w:t>型规模标准</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对周边环境影响较小。</w:t>
            </w:r>
          </w:p>
          <w:p w14:paraId="41B9C4AD">
            <w:pPr>
              <w:spacing w:before="156" w:beforeLines="50" w:after="156" w:afterLines="50" w:line="360" w:lineRule="auto"/>
              <w:ind w:firstLine="480" w:firstLineChars="200"/>
              <w:outlineLvl w:val="3"/>
              <w:rPr>
                <w:rFonts w:hint="eastAsia" w:ascii="Times New Roman" w:hAnsi="Times New Roman"/>
                <w:b/>
                <w:bCs/>
                <w:color w:val="auto"/>
                <w:sz w:val="24"/>
              </w:rPr>
            </w:pPr>
            <w:r>
              <w:rPr>
                <w:rFonts w:ascii="Times New Roman" w:hAnsi="Times New Roman"/>
                <w:color w:val="auto"/>
                <w:sz w:val="24"/>
              </w:rPr>
              <w:t>综上所述，项目在生产过程中产生</w:t>
            </w:r>
            <w:r>
              <w:rPr>
                <w:rFonts w:hint="eastAsia" w:ascii="Times New Roman" w:hAnsi="Times New Roman"/>
                <w:color w:val="auto"/>
                <w:sz w:val="24"/>
                <w:lang w:eastAsia="zh-CN"/>
              </w:rPr>
              <w:t>热风炉烟气、茶叶在加工过程产生的茶叶粉尘、茶香，厨房产生的油烟</w:t>
            </w:r>
            <w:r>
              <w:rPr>
                <w:rFonts w:ascii="Times New Roman" w:hAnsi="Times New Roman"/>
                <w:color w:val="auto"/>
                <w:sz w:val="24"/>
              </w:rPr>
              <w:t>，通过采取相应的措施后对周围环境影响不大。</w:t>
            </w:r>
          </w:p>
          <w:p w14:paraId="4DFB1D2E">
            <w:pPr>
              <w:spacing w:line="360" w:lineRule="auto"/>
              <w:rPr>
                <w:rFonts w:ascii="Times New Roman" w:hAnsi="Times New Roman"/>
                <w:b/>
                <w:bCs/>
                <w:color w:val="auto"/>
                <w:sz w:val="24"/>
              </w:rPr>
            </w:pPr>
            <w:r>
              <w:rPr>
                <w:rFonts w:hint="eastAsia" w:ascii="Times New Roman" w:hAnsi="Times New Roman"/>
                <w:b/>
                <w:bCs/>
                <w:color w:val="auto"/>
                <w:sz w:val="24"/>
              </w:rPr>
              <w:t>2、废水</w:t>
            </w:r>
          </w:p>
          <w:p w14:paraId="43EFA9A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水环境影响分析</w:t>
            </w:r>
          </w:p>
          <w:p w14:paraId="4D9C38F9">
            <w:pPr>
              <w:pStyle w:val="31"/>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本项目产生的废水主要为职工生活污水、厨房废水。生活污水水质较简单，主要污染物为COD</w:t>
            </w:r>
            <w:r>
              <w:rPr>
                <w:rFonts w:hint="eastAsia" w:ascii="宋体" w:hAnsi="宋体" w:eastAsia="宋体" w:cs="宋体"/>
                <w:color w:val="auto"/>
                <w:sz w:val="24"/>
                <w:szCs w:val="24"/>
                <w:vertAlign w:val="subscript"/>
              </w:rPr>
              <w:t>cr</w:t>
            </w:r>
            <w:r>
              <w:rPr>
                <w:rFonts w:hint="eastAsia" w:ascii="宋体" w:hAnsi="宋体" w:eastAsia="宋体" w:cs="宋体"/>
                <w:color w:val="auto"/>
                <w:sz w:val="24"/>
                <w:szCs w:val="24"/>
              </w:rPr>
              <w:t>、BOD</w:t>
            </w:r>
            <w:r>
              <w:rPr>
                <w:rFonts w:hint="eastAsia" w:ascii="宋体" w:hAnsi="宋体" w:eastAsia="宋体" w:cs="宋体"/>
                <w:color w:val="auto"/>
                <w:sz w:val="24"/>
                <w:szCs w:val="24"/>
                <w:vertAlign w:val="subscript"/>
              </w:rPr>
              <w:t>5</w:t>
            </w:r>
            <w:r>
              <w:rPr>
                <w:rFonts w:hint="eastAsia" w:ascii="宋体" w:hAnsi="宋体" w:eastAsia="宋体" w:cs="宋体"/>
                <w:color w:val="auto"/>
                <w:sz w:val="24"/>
                <w:szCs w:val="24"/>
              </w:rPr>
              <w:t>、SS、NH</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-N、动植物油。项目厂区生活污水通过0.1m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的隔油池、6m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的化粪池处理后，作为农家肥由周边农民运走，对周围水环境影响较小。</w:t>
            </w:r>
          </w:p>
          <w:p w14:paraId="32ABADC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（1）生活污水排放的影响分析</w:t>
            </w:r>
          </w:p>
          <w:p w14:paraId="1B1BD073">
            <w:pPr>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生活污水中食堂废水经隔油池处理后与其他生活污水混合经化粪池处理后委托周围农民清掏作为农肥。根据现场踏勘，项目厨房未建隔油池，本环评提出新建1个0.1m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的隔油池来对厨房废水进行预处理。</w:t>
            </w:r>
          </w:p>
          <w:p w14:paraId="7D2462A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根据中华人民共和国国家环境保护标准《饮食业环境保护技术规范》（HJ554--2010），隔油池设计需符合下列规定：</w:t>
            </w:r>
          </w:p>
          <w:p w14:paraId="255B460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1）含油污水的水力停留时间不宜小于0.5h； </w:t>
            </w:r>
          </w:p>
          <w:p w14:paraId="50358E3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2）池内水流流速不宜大于0.005m/s； </w:t>
            </w:r>
          </w:p>
          <w:p w14:paraId="3E4F3D8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3）池内分格宜取两档三格；</w:t>
            </w:r>
          </w:p>
          <w:p w14:paraId="4F46CC2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4）人工除油的隔油池内存油部分的容积不得小于该池有效容积的25%，隔油池出水管管底至池底的深度，不得小于0.6m。</w:t>
            </w:r>
          </w:p>
          <w:p w14:paraId="55FF14A2">
            <w:pPr>
              <w:pStyle w:val="31"/>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根据工程分析，项目需进入隔油池处理的废水量约为0.32m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/d，每天厨房集中作业6h，则平均每小时进入隔油池废水量约为0.053m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。项目三级隔油池总容积约0.</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，餐饮废水可在隔油池里停留2小时以上，餐饮废水停留时间满足《饮食业环境保护技术规范》中7.2.4条中a）款中的规定：含油污水的停留时间不宜小于0.5小时的要求，故本项目厨房废水可得到有效的预处理。</w:t>
            </w:r>
          </w:p>
          <w:p w14:paraId="65405B8F">
            <w:pPr>
              <w:snapToGrid w:val="0"/>
              <w:spacing w:line="360" w:lineRule="auto"/>
              <w:ind w:left="480"/>
              <w:jc w:val="left"/>
              <w:rPr>
                <w:rFonts w:hint="eastAsia" w:ascii="宋体" w:hAnsi="宋体" w:eastAsia="宋体" w:cs="宋体"/>
                <w:color w:val="auto"/>
                <w:sz w:val="24"/>
                <w:szCs w:val="24"/>
              </w:rPr>
            </w:pPr>
            <w:r>
              <w:rPr>
                <w:rFonts w:hint="eastAsia" w:ascii="宋体" w:hAnsi="宋体" w:eastAsia="宋体" w:cs="宋体"/>
                <w:color w:val="auto"/>
                <w:sz w:val="24"/>
                <w:szCs w:val="24"/>
              </w:rPr>
              <w:t>（2）化粪池处理效果分析</w:t>
            </w:r>
          </w:p>
          <w:p w14:paraId="2A427F32">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根据工程分析，进入化粪池的废水量为</w:t>
            </w:r>
            <w:bookmarkStart w:id="14" w:name="OLE_LINK28"/>
            <w:r>
              <w:rPr>
                <w:rFonts w:hint="eastAsia" w:ascii="宋体" w:hAnsi="宋体" w:eastAsia="宋体" w:cs="宋体"/>
                <w:color w:val="auto"/>
                <w:sz w:val="24"/>
                <w:szCs w:val="24"/>
              </w:rPr>
              <w:t>0.88m³</w:t>
            </w:r>
            <w:bookmarkEnd w:id="14"/>
            <w:r>
              <w:rPr>
                <w:rFonts w:hint="eastAsia" w:ascii="宋体" w:hAnsi="宋体" w:eastAsia="宋体" w:cs="宋体"/>
                <w:color w:val="auto"/>
                <w:sz w:val="24"/>
                <w:szCs w:val="24"/>
              </w:rPr>
              <w:t>/d，水量停留24h，按120%的保险系数计算，要求化粪池有效容积不小于</w:t>
            </w:r>
            <w:bookmarkStart w:id="15" w:name="OLE_LINK26"/>
            <w:r>
              <w:rPr>
                <w:rFonts w:hint="eastAsia" w:ascii="宋体" w:hAnsi="宋体" w:eastAsia="宋体" w:cs="宋体"/>
                <w:color w:val="auto"/>
                <w:sz w:val="24"/>
                <w:szCs w:val="24"/>
              </w:rPr>
              <w:t>1.06m³</w:t>
            </w:r>
            <w:bookmarkEnd w:id="15"/>
            <w:r>
              <w:rPr>
                <w:rFonts w:hint="eastAsia" w:ascii="宋体" w:hAnsi="宋体" w:eastAsia="宋体" w:cs="宋体"/>
                <w:color w:val="auto"/>
                <w:sz w:val="24"/>
                <w:szCs w:val="24"/>
              </w:rPr>
              <w:t>。</w:t>
            </w:r>
          </w:p>
          <w:p w14:paraId="6B4E1335">
            <w:pPr>
              <w:pStyle w:val="31"/>
              <w:spacing w:line="360" w:lineRule="auto"/>
              <w:ind w:firstLine="480"/>
              <w:rPr>
                <w:rFonts w:ascii="Times New Roman" w:hAnsi="Times New Roman"/>
                <w:b w:val="0"/>
                <w:bCs/>
                <w:color w:val="auto"/>
                <w:sz w:val="24"/>
              </w:rPr>
            </w:pPr>
            <w:r>
              <w:rPr>
                <w:rFonts w:hint="eastAsia" w:ascii="宋体" w:hAnsi="宋体" w:eastAsia="宋体" w:cs="宋体"/>
                <w:color w:val="auto"/>
                <w:sz w:val="24"/>
                <w:szCs w:val="28"/>
                <w:highlight w:val="none"/>
                <w:u w:val="none" w:color="auto"/>
                <w:lang w:val="en-US" w:eastAsia="zh-CN"/>
              </w:rPr>
              <w:t>据工程分析</w:t>
            </w:r>
            <w:r>
              <w:rPr>
                <w:rFonts w:hint="eastAsia" w:ascii="宋体" w:hAnsi="宋体" w:eastAsia="宋体" w:cs="宋体"/>
                <w:color w:val="auto"/>
                <w:sz w:val="24"/>
                <w:szCs w:val="28"/>
                <w:highlight w:val="none"/>
                <w:u w:val="none" w:color="auto"/>
              </w:rPr>
              <w:t>，</w:t>
            </w:r>
            <w:r>
              <w:rPr>
                <w:rFonts w:hint="eastAsia" w:ascii="宋体" w:hAnsi="宋体" w:eastAsia="宋体" w:cs="宋体"/>
                <w:color w:val="auto"/>
                <w:sz w:val="24"/>
                <w:szCs w:val="28"/>
                <w:highlight w:val="none"/>
                <w:u w:val="none" w:color="auto"/>
                <w:lang w:eastAsia="zh-CN"/>
              </w:rPr>
              <w:t>项目生活污水产生量为</w:t>
            </w:r>
            <w:r>
              <w:rPr>
                <w:rFonts w:hint="eastAsia" w:ascii="宋体" w:hAnsi="宋体" w:eastAsia="宋体" w:cs="宋体"/>
                <w:bCs/>
                <w:color w:val="auto"/>
                <w:sz w:val="24"/>
                <w:szCs w:val="24"/>
                <w:highlight w:val="none"/>
                <w:u w:val="none" w:color="auto"/>
                <w:lang w:val="en-US" w:eastAsia="zh-CN"/>
              </w:rPr>
              <w:t>1.2</w:t>
            </w:r>
            <w:r>
              <w:rPr>
                <w:rFonts w:hint="eastAsia" w:ascii="宋体" w:hAnsi="宋体" w:eastAsia="宋体" w:cs="宋体"/>
                <w:bCs/>
                <w:color w:val="auto"/>
                <w:sz w:val="24"/>
                <w:szCs w:val="24"/>
                <w:highlight w:val="none"/>
                <w:u w:val="none" w:color="auto"/>
              </w:rPr>
              <w:t>m</w:t>
            </w:r>
            <w:r>
              <w:rPr>
                <w:rFonts w:hint="eastAsia" w:ascii="宋体" w:hAnsi="宋体" w:eastAsia="宋体" w:cs="宋体"/>
                <w:bCs/>
                <w:color w:val="auto"/>
                <w:sz w:val="24"/>
                <w:szCs w:val="24"/>
                <w:highlight w:val="none"/>
                <w:u w:val="none" w:color="auto"/>
                <w:vertAlign w:val="superscript"/>
              </w:rPr>
              <w:t>3</w:t>
            </w:r>
            <w:r>
              <w:rPr>
                <w:rFonts w:hint="eastAsia" w:ascii="宋体" w:hAnsi="宋体" w:eastAsia="宋体" w:cs="宋体"/>
                <w:bCs/>
                <w:color w:val="auto"/>
                <w:sz w:val="24"/>
                <w:szCs w:val="24"/>
                <w:highlight w:val="none"/>
                <w:u w:val="none" w:color="auto"/>
              </w:rPr>
              <w:t>/d</w:t>
            </w:r>
            <w:r>
              <w:rPr>
                <w:rFonts w:hint="eastAsia" w:ascii="宋体" w:hAnsi="宋体" w:eastAsia="宋体" w:cs="宋体"/>
                <w:bCs/>
                <w:color w:val="auto"/>
                <w:sz w:val="24"/>
                <w:szCs w:val="24"/>
                <w:highlight w:val="none"/>
                <w:u w:val="none" w:color="auto"/>
                <w:lang w:eastAsia="zh-CN"/>
              </w:rPr>
              <w:t>，</w:t>
            </w:r>
            <w:r>
              <w:rPr>
                <w:rFonts w:hint="eastAsia" w:ascii="宋体" w:hAnsi="宋体" w:eastAsia="宋体" w:cs="宋体"/>
                <w:bCs/>
                <w:color w:val="auto"/>
                <w:sz w:val="24"/>
                <w:szCs w:val="24"/>
                <w:highlight w:val="none"/>
                <w:u w:val="none" w:color="auto"/>
                <w:lang w:val="en-US" w:eastAsia="zh-CN"/>
              </w:rPr>
              <w:t>项目设置</w:t>
            </w:r>
            <w:r>
              <w:rPr>
                <w:rFonts w:hint="eastAsia" w:ascii="宋体" w:hAnsi="宋体" w:eastAsia="宋体" w:cs="宋体"/>
                <w:bCs/>
                <w:color w:val="auto"/>
                <w:sz w:val="24"/>
                <w:szCs w:val="24"/>
                <w:highlight w:val="none"/>
                <w:u w:val="none" w:color="auto"/>
                <w:lang w:eastAsia="zh-CN"/>
              </w:rPr>
              <w:t>化粪池容积为</w:t>
            </w:r>
            <w:r>
              <w:rPr>
                <w:rFonts w:hint="eastAsia" w:ascii="宋体" w:hAnsi="宋体" w:eastAsia="宋体" w:cs="宋体"/>
                <w:bCs/>
                <w:color w:val="auto"/>
                <w:sz w:val="24"/>
                <w:szCs w:val="24"/>
                <w:highlight w:val="none"/>
                <w:u w:val="none" w:color="auto"/>
                <w:lang w:val="en-US" w:eastAsia="zh-CN"/>
              </w:rPr>
              <w:t>6</w:t>
            </w:r>
            <w:r>
              <w:rPr>
                <w:rFonts w:hint="eastAsia" w:ascii="宋体" w:hAnsi="宋体" w:eastAsia="宋体" w:cs="宋体"/>
                <w:color w:val="auto"/>
                <w:sz w:val="24"/>
                <w:highlight w:val="none"/>
                <w:u w:val="none" w:color="auto"/>
              </w:rPr>
              <w:t>m</w:t>
            </w:r>
            <w:r>
              <w:rPr>
                <w:rFonts w:hint="eastAsia" w:ascii="宋体" w:hAnsi="宋体" w:eastAsia="宋体" w:cs="宋体"/>
                <w:color w:val="auto"/>
                <w:sz w:val="24"/>
                <w:highlight w:val="none"/>
                <w:u w:val="none" w:color="auto"/>
                <w:vertAlign w:val="superscript"/>
              </w:rPr>
              <w:t>3</w:t>
            </w:r>
            <w:r>
              <w:rPr>
                <w:rFonts w:hint="eastAsia" w:ascii="宋体" w:hAnsi="宋体" w:eastAsia="宋体" w:cs="宋体"/>
                <w:color w:val="auto"/>
                <w:sz w:val="24"/>
                <w:highlight w:val="none"/>
                <w:u w:val="none" w:color="auto"/>
                <w:vertAlign w:val="baseline"/>
                <w:lang w:eastAsia="zh-CN"/>
              </w:rPr>
              <w:t>，</w:t>
            </w:r>
            <w:r>
              <w:rPr>
                <w:rFonts w:hint="eastAsia" w:ascii="宋体" w:hAnsi="宋体" w:eastAsia="宋体" w:cs="宋体"/>
                <w:color w:val="auto"/>
                <w:sz w:val="24"/>
                <w:highlight w:val="none"/>
                <w:u w:val="none" w:color="auto"/>
                <w:vertAlign w:val="baseline"/>
                <w:lang w:val="en-US" w:eastAsia="zh-CN"/>
              </w:rPr>
              <w:t>可有效满足项目污水在化粪池中</w:t>
            </w:r>
            <w:r>
              <w:rPr>
                <w:rFonts w:hint="eastAsia" w:ascii="宋体" w:hAnsi="宋体" w:eastAsia="宋体" w:cs="宋体"/>
                <w:bCs/>
                <w:color w:val="auto"/>
                <w:sz w:val="24"/>
                <w:highlight w:val="none"/>
                <w:u w:val="none" w:color="auto"/>
              </w:rPr>
              <w:t>停留时间为24h，</w:t>
            </w:r>
            <w:r>
              <w:rPr>
                <w:rFonts w:hint="eastAsia" w:ascii="宋体" w:hAnsi="宋体" w:eastAsia="宋体" w:cs="宋体"/>
                <w:color w:val="auto"/>
                <w:sz w:val="24"/>
                <w:highlight w:val="none"/>
                <w:u w:val="none" w:color="auto"/>
                <w:vertAlign w:val="baseline"/>
                <w:lang w:val="en-US" w:eastAsia="zh-CN"/>
              </w:rPr>
              <w:t>项目化粪池位于卫生间附近，可便于生活污水预处理要求</w:t>
            </w:r>
            <w:r>
              <w:rPr>
                <w:rFonts w:hint="eastAsia" w:ascii="宋体" w:hAnsi="宋体" w:eastAsia="宋体" w:cs="宋体"/>
                <w:color w:val="auto"/>
                <w:sz w:val="24"/>
                <w:szCs w:val="24"/>
              </w:rPr>
              <w:t>。</w:t>
            </w:r>
          </w:p>
          <w:p w14:paraId="1C117F7F">
            <w:pPr>
              <w:adjustRightInd w:val="0"/>
              <w:snapToGrid w:val="0"/>
              <w:spacing w:line="360" w:lineRule="auto"/>
              <w:rPr>
                <w:rFonts w:ascii="Times New Roman" w:hAnsi="Times New Roman"/>
                <w:b/>
                <w:color w:val="auto"/>
                <w:sz w:val="24"/>
              </w:rPr>
            </w:pPr>
            <w:r>
              <w:rPr>
                <w:rFonts w:hint="eastAsia" w:ascii="Times New Roman" w:hAnsi="Times New Roman"/>
                <w:b/>
                <w:color w:val="auto"/>
                <w:sz w:val="24"/>
              </w:rPr>
              <w:t>3、噪声</w:t>
            </w:r>
          </w:p>
          <w:p w14:paraId="4957469C">
            <w:pPr>
              <w:spacing w:line="360" w:lineRule="auto"/>
              <w:ind w:firstLine="480" w:firstLineChars="200"/>
              <w:rPr>
                <w:rFonts w:hint="eastAsia" w:ascii="Times New Roman" w:hAnsi="Times New Roman" w:eastAsia="宋体" w:cs="宋体"/>
                <w:color w:val="auto"/>
                <w:sz w:val="24"/>
                <w:szCs w:val="24"/>
                <w:lang w:eastAsia="zh-CN"/>
              </w:rPr>
            </w:pPr>
            <w:r>
              <w:rPr>
                <w:rFonts w:hint="eastAsia" w:ascii="Times New Roman" w:hAnsi="Times New Roman" w:cs="宋体"/>
                <w:color w:val="auto"/>
                <w:sz w:val="24"/>
                <w:szCs w:val="24"/>
                <w:lang w:eastAsia="zh-CN"/>
              </w:rPr>
              <w:t>（</w:t>
            </w:r>
            <w:r>
              <w:rPr>
                <w:rFonts w:hint="eastAsia" w:ascii="Times New Roman" w:hAnsi="Times New Roman" w:cs="宋体"/>
                <w:color w:val="auto"/>
                <w:sz w:val="24"/>
                <w:szCs w:val="24"/>
                <w:lang w:val="en-US" w:eastAsia="zh-CN"/>
              </w:rPr>
              <w:t>1</w:t>
            </w:r>
            <w:r>
              <w:rPr>
                <w:rFonts w:hint="eastAsia" w:ascii="Times New Roman" w:hAnsi="Times New Roman" w:cs="宋体"/>
                <w:color w:val="auto"/>
                <w:sz w:val="24"/>
                <w:szCs w:val="24"/>
                <w:lang w:eastAsia="zh-CN"/>
              </w:rPr>
              <w:t>）预测模式及方法</w:t>
            </w:r>
          </w:p>
          <w:p w14:paraId="2D832664">
            <w:pPr>
              <w:spacing w:line="360" w:lineRule="auto"/>
              <w:ind w:firstLine="480"/>
              <w:rPr>
                <w:rFonts w:ascii="Times New Roman" w:hAnsi="Times New Roman"/>
                <w:color w:val="auto"/>
                <w:sz w:val="24"/>
                <w:szCs w:val="24"/>
              </w:rPr>
            </w:pPr>
            <w:r>
              <w:rPr>
                <w:rFonts w:hint="eastAsia" w:ascii="Times New Roman" w:hAnsi="Times New Roman" w:cs="宋体"/>
                <w:color w:val="auto"/>
                <w:sz w:val="24"/>
                <w:szCs w:val="24"/>
              </w:rPr>
              <w:t>本项目主要噪声</w:t>
            </w:r>
            <w:r>
              <w:rPr>
                <w:rFonts w:hint="eastAsia" w:ascii="Times New Roman" w:hAnsi="Times New Roman" w:cs="宋体"/>
                <w:color w:val="auto"/>
                <w:sz w:val="24"/>
                <w:szCs w:val="24"/>
                <w:lang w:eastAsia="zh-CN"/>
              </w:rPr>
              <w:t>源主要分布在生产区内</w:t>
            </w:r>
            <w:r>
              <w:rPr>
                <w:rFonts w:hint="eastAsia" w:ascii="Times New Roman" w:hAnsi="Times New Roman"/>
                <w:color w:val="auto"/>
                <w:sz w:val="24"/>
                <w:szCs w:val="24"/>
              </w:rPr>
              <w:t>。</w:t>
            </w:r>
            <w:r>
              <w:rPr>
                <w:rFonts w:ascii="Times New Roman" w:hAnsi="Times New Roman"/>
                <w:color w:val="auto"/>
                <w:sz w:val="24"/>
              </w:rPr>
              <w:t>评价以各个设备为点源</w:t>
            </w:r>
            <w:r>
              <w:rPr>
                <w:rFonts w:hint="eastAsia" w:ascii="Times New Roman" w:hAnsi="Times New Roman"/>
                <w:color w:val="auto"/>
                <w:sz w:val="24"/>
                <w:lang w:eastAsia="zh-CN"/>
              </w:rPr>
              <w:t>等距离衰减预测模式</w:t>
            </w:r>
            <w:r>
              <w:rPr>
                <w:rFonts w:ascii="Times New Roman" w:hAnsi="Times New Roman"/>
                <w:color w:val="auto"/>
                <w:sz w:val="24"/>
              </w:rPr>
              <w:t>，</w:t>
            </w:r>
            <w:r>
              <w:rPr>
                <w:rFonts w:ascii="Times New Roman" w:hAnsi="Times New Roman"/>
                <w:color w:val="auto"/>
                <w:sz w:val="24"/>
                <w:szCs w:val="24"/>
              </w:rPr>
              <w:t>预测模式如下：</w:t>
            </w:r>
          </w:p>
          <w:p w14:paraId="4EF5FD28">
            <w:pPr>
              <w:pStyle w:val="9"/>
              <w:adjustRightInd w:val="0"/>
              <w:snapToGrid w:val="0"/>
              <w:rPr>
                <w:rFonts w:hint="eastAsia" w:ascii="Times New Roman" w:hAnsi="Times New Roman"/>
                <w:bCs/>
                <w:color w:val="auto"/>
              </w:rPr>
            </w:pPr>
          </w:p>
          <w:p w14:paraId="222F5C2B">
            <w:pPr>
              <w:pStyle w:val="9"/>
              <w:adjustRightInd w:val="0"/>
              <w:snapToGrid w:val="0"/>
              <w:rPr>
                <w:rFonts w:hint="eastAsia" w:ascii="Times New Roman" w:hAnsi="Times New Roman"/>
                <w:color w:val="auto"/>
                <w:sz w:val="24"/>
                <w:szCs w:val="24"/>
              </w:rPr>
            </w:pPr>
            <w:r>
              <w:rPr>
                <w:rFonts w:hint="eastAsia" w:ascii="Times New Roman" w:hAnsi="Times New Roman"/>
                <w:bCs/>
                <w:color w:val="auto"/>
                <w:sz w:val="24"/>
                <w:szCs w:val="24"/>
              </w:rPr>
              <w:t>噪声自然衰减</w:t>
            </w:r>
            <w:r>
              <w:rPr>
                <w:rFonts w:ascii="Times New Roman" w:hAnsi="Times New Roman"/>
                <w:bCs/>
                <w:color w:val="auto"/>
                <w:sz w:val="24"/>
                <w:szCs w:val="24"/>
              </w:rPr>
              <w:t>预测模式：</w:t>
            </w:r>
          </w:p>
          <w:p w14:paraId="7C20DB97">
            <w:pPr>
              <w:adjustRightInd w:val="0"/>
              <w:snapToGrid w:val="0"/>
              <w:spacing w:line="360" w:lineRule="auto"/>
              <w:ind w:firstLine="480"/>
              <w:jc w:val="center"/>
              <w:rPr>
                <w:rFonts w:ascii="Times New Roman" w:hAnsi="Times New Roman"/>
                <w:color w:val="auto"/>
                <w:sz w:val="24"/>
              </w:rPr>
            </w:pPr>
            <w:r>
              <w:rPr>
                <w:rFonts w:ascii="Times New Roman" w:hAnsi="Times New Roman"/>
                <w:color w:val="auto"/>
                <w:position w:val="-32"/>
                <w:sz w:val="24"/>
              </w:rPr>
              <w:object>
                <v:shape id="_x0000_i1026" o:spt="75" type="#_x0000_t75" style="height:39.8pt;width:125.75pt;" o:ole="t" filled="f" o:preferrelative="t" stroked="f" coordsize="21600,21600">
                  <v:path/>
                  <v:fill on="f" focussize="0,0"/>
                  <v:stroke on="f"/>
                  <v:imagedata r:id="rId23" o:title=""/>
                  <o:lock v:ext="edit" grouping="f" rotation="f" text="f" aspectratio="t"/>
                  <w10:wrap type="none"/>
                  <w10:anchorlock/>
                </v:shape>
                <o:OLEObject Type="Embed" ProgID="Equation.3" ShapeID="_x0000_i1026" DrawAspect="Content" ObjectID="_1468075726" r:id="rId22">
                  <o:LockedField>false</o:LockedField>
                </o:OLEObject>
              </w:object>
            </w:r>
          </w:p>
          <w:p w14:paraId="64EF9BE5">
            <w:pPr>
              <w:adjustRightInd w:val="0"/>
              <w:snapToGrid w:val="0"/>
              <w:spacing w:line="360" w:lineRule="auto"/>
              <w:ind w:firstLine="480"/>
              <w:rPr>
                <w:rFonts w:ascii="Times New Roman" w:hAnsi="Times New Roman"/>
                <w:color w:val="auto"/>
                <w:sz w:val="24"/>
              </w:rPr>
            </w:pPr>
            <w:r>
              <w:rPr>
                <w:rFonts w:ascii="Times New Roman" w:hAnsi="Times New Roman"/>
                <w:color w:val="auto"/>
                <w:sz w:val="24"/>
              </w:rPr>
              <w:t>式中：</w:t>
            </w:r>
            <w:r>
              <w:rPr>
                <w:rFonts w:ascii="Times New Roman" w:hAnsi="Times New Roman"/>
                <w:color w:val="auto"/>
                <w:position w:val="-10"/>
                <w:sz w:val="24"/>
              </w:rPr>
              <w:object>
                <v:shape id="_x0000_i1027" o:spt="75" type="#_x0000_t75" style="height:20.25pt;width:36.4pt;" o:ole="t" filled="f" o:preferrelative="t" stroked="f" coordsize="21600,21600">
                  <v:path/>
                  <v:fill on="f" focussize="0,0"/>
                  <v:stroke on="f"/>
                  <v:imagedata r:id="rId25" o:title=""/>
                  <o:lock v:ext="edit" grouping="f" rotation="f" text="f" aspectratio="t"/>
                  <w10:wrap type="none"/>
                  <w10:anchorlock/>
                </v:shape>
                <o:OLEObject Type="Embed" ProgID="Equation.3" ShapeID="_x0000_i1027" DrawAspect="Content" ObjectID="_1468075727" r:id="rId24">
                  <o:LockedField>false</o:LockedField>
                </o:OLEObject>
              </w:object>
            </w:r>
            <w:r>
              <w:rPr>
                <w:rFonts w:ascii="Times New Roman" w:hAnsi="Times New Roman"/>
                <w:color w:val="auto"/>
                <w:sz w:val="24"/>
              </w:rPr>
              <w:t>──点声源在预测点产生的声压级，dB(A)；</w:t>
            </w:r>
          </w:p>
          <w:p w14:paraId="074B3DF5">
            <w:pPr>
              <w:adjustRightInd w:val="0"/>
              <w:snapToGrid w:val="0"/>
              <w:spacing w:line="360" w:lineRule="auto"/>
              <w:ind w:firstLine="1200" w:firstLineChars="500"/>
              <w:rPr>
                <w:rFonts w:ascii="Times New Roman" w:hAnsi="Times New Roman"/>
                <w:color w:val="auto"/>
                <w:sz w:val="24"/>
              </w:rPr>
            </w:pPr>
            <w:r>
              <w:rPr>
                <w:rFonts w:ascii="Times New Roman" w:hAnsi="Times New Roman"/>
                <w:color w:val="auto"/>
                <w:sz w:val="24"/>
              </w:rPr>
              <w:object>
                <v:shape id="_x0000_i1028" o:spt="75" type="#_x0000_t75" style="height:19.4pt;width:39pt;" o:ole="t" filled="f" o:preferrelative="t" stroked="f" coordsize="21600,21600">
                  <v:path/>
                  <v:fill on="f" focussize="0,0"/>
                  <v:stroke on="f"/>
                  <v:imagedata r:id="rId27" o:title=""/>
                  <o:lock v:ext="edit" grouping="f" rotation="f" text="f" aspectratio="t"/>
                  <w10:wrap type="none"/>
                  <w10:anchorlock/>
                </v:shape>
                <o:OLEObject Type="Embed" ProgID="Equation.3" ShapeID="_x0000_i1028" DrawAspect="Content" ObjectID="_1468075728" r:id="rId26">
                  <o:LockedField>false</o:LockedField>
                </o:OLEObject>
              </w:object>
            </w:r>
            <w:r>
              <w:rPr>
                <w:rFonts w:ascii="Times New Roman" w:hAnsi="Times New Roman"/>
                <w:color w:val="auto"/>
                <w:sz w:val="24"/>
              </w:rPr>
              <w:t>──参考位置</w:t>
            </w:r>
            <w:r>
              <w:rPr>
                <w:rFonts w:ascii="Times New Roman" w:hAnsi="Times New Roman"/>
                <w:color w:val="auto"/>
                <w:sz w:val="24"/>
              </w:rPr>
              <w:object>
                <v:shape id="_x0000_i1029" o:spt="75" type="#_x0000_t75" style="height:18pt;width:11pt;" o:ole="t" filled="f" o:preferrelative="t" stroked="f" coordsize="21600,21600">
                  <v:path/>
                  <v:fill on="f" focussize="0,0"/>
                  <v:stroke on="f"/>
                  <v:imagedata r:id="rId29" o:title=""/>
                  <o:lock v:ext="edit" grouping="f" rotation="f" text="f" aspectratio="t"/>
                  <w10:wrap type="none"/>
                  <w10:anchorlock/>
                </v:shape>
                <o:OLEObject Type="Embed" ProgID="Equation.3" ShapeID="_x0000_i1029" DrawAspect="Content" ObjectID="_1468075729" r:id="rId28">
                  <o:LockedField>false</o:LockedField>
                </o:OLEObject>
              </w:object>
            </w:r>
            <w:r>
              <w:rPr>
                <w:rFonts w:ascii="Times New Roman" w:hAnsi="Times New Roman"/>
                <w:color w:val="auto"/>
                <w:sz w:val="24"/>
              </w:rPr>
              <w:t>处</w:t>
            </w:r>
            <w:r>
              <w:rPr>
                <w:rFonts w:hint="eastAsia"/>
                <w:color w:val="auto"/>
                <w:sz w:val="24"/>
                <w:lang w:eastAsia="zh-CN"/>
              </w:rPr>
              <w:t>的</w:t>
            </w:r>
            <w:r>
              <w:rPr>
                <w:rFonts w:ascii="Times New Roman" w:hAnsi="Times New Roman"/>
                <w:color w:val="auto"/>
                <w:sz w:val="24"/>
              </w:rPr>
              <w:t>声压级，dB(A)；</w:t>
            </w:r>
          </w:p>
          <w:p w14:paraId="7F631560">
            <w:pPr>
              <w:adjustRightInd w:val="0"/>
              <w:snapToGrid w:val="0"/>
              <w:spacing w:line="360" w:lineRule="auto"/>
              <w:ind w:firstLine="1200" w:firstLineChars="500"/>
              <w:rPr>
                <w:rFonts w:ascii="Times New Roman" w:hAnsi="Times New Roman"/>
                <w:color w:val="auto"/>
                <w:sz w:val="24"/>
              </w:rPr>
            </w:pPr>
            <w:r>
              <w:rPr>
                <w:rFonts w:ascii="Times New Roman" w:hAnsi="Times New Roman"/>
                <w:color w:val="auto"/>
                <w:sz w:val="24"/>
              </w:rPr>
              <w:object>
                <v:shape id="_x0000_i1030" o:spt="75" type="#_x0000_t75" style="height:10pt;width:9pt;" o:ole="t" filled="f" o:preferrelative="t" stroked="f" coordsize="21600,21600">
                  <v:path/>
                  <v:fill on="f" focussize="0,0"/>
                  <v:stroke on="f"/>
                  <v:imagedata r:id="rId31" o:title=""/>
                  <o:lock v:ext="edit" grouping="f" rotation="f" text="f" aspectratio="t"/>
                  <w10:wrap type="none"/>
                  <w10:anchorlock/>
                </v:shape>
                <o:OLEObject Type="Embed" ProgID="Equation.3" ShapeID="_x0000_i1030" DrawAspect="Content" ObjectID="_1468075730" r:id="rId30">
                  <o:LockedField>false</o:LockedField>
                </o:OLEObject>
              </w:object>
            </w:r>
            <w:r>
              <w:rPr>
                <w:rFonts w:ascii="Times New Roman" w:hAnsi="Times New Roman"/>
                <w:color w:val="auto"/>
                <w:sz w:val="24"/>
              </w:rPr>
              <w:t>——预测点距声源距离，m；</w:t>
            </w:r>
          </w:p>
          <w:p w14:paraId="7F07A79A">
            <w:pPr>
              <w:adjustRightInd w:val="0"/>
              <w:snapToGrid w:val="0"/>
              <w:spacing w:line="360" w:lineRule="auto"/>
              <w:ind w:firstLine="480" w:firstLineChars="200"/>
              <w:rPr>
                <w:rFonts w:hint="eastAsia" w:ascii="Times New Roman" w:hAnsi="Times New Roman"/>
                <w:color w:val="auto"/>
                <w:sz w:val="24"/>
              </w:rPr>
            </w:pPr>
            <w:r>
              <w:rPr>
                <w:rFonts w:ascii="Times New Roman" w:hAnsi="Times New Roman"/>
                <w:color w:val="auto"/>
                <w:sz w:val="24"/>
              </w:rPr>
              <w:t xml:space="preserve">      </w:t>
            </w:r>
            <w:r>
              <w:rPr>
                <w:rFonts w:ascii="Times New Roman" w:hAnsi="Times New Roman"/>
                <w:color w:val="auto"/>
                <w:sz w:val="24"/>
              </w:rPr>
              <w:object>
                <v:shape id="_x0000_i1031" o:spt="75" type="#_x0000_t75" style="height:18pt;width:11pt;" o:ole="t" filled="f" stroked="f" coordsize="21600,21600">
                  <v:path/>
                  <v:fill on="f" focussize="0,0"/>
                  <v:stroke on="f"/>
                  <v:imagedata r:id="rId33" o:title=""/>
                  <o:lock v:ext="edit" grouping="f" rotation="f" text="f" aspectratio="t"/>
                  <w10:wrap type="none"/>
                  <w10:anchorlock/>
                </v:shape>
                <o:OLEObject Type="Embed" ProgID="Equation.3" ShapeID="_x0000_i1031" DrawAspect="Content" ObjectID="_1468075731" r:id="rId32">
                  <o:LockedField>false</o:LockedField>
                </o:OLEObject>
              </w:object>
            </w:r>
            <w:r>
              <w:rPr>
                <w:rFonts w:ascii="Times New Roman" w:hAnsi="Times New Roman"/>
                <w:color w:val="auto"/>
                <w:sz w:val="24"/>
              </w:rPr>
              <w:t>──参考位置距声源的距离，m；</w:t>
            </w:r>
          </w:p>
          <w:p w14:paraId="6C80AA43">
            <w:pPr>
              <w:adjustRightInd w:val="0"/>
              <w:snapToGrid w:val="0"/>
              <w:spacing w:line="360" w:lineRule="auto"/>
              <w:ind w:firstLine="482"/>
              <w:rPr>
                <w:rFonts w:ascii="Times New Roman" w:hAnsi="Times New Roman"/>
                <w:color w:val="auto"/>
                <w:sz w:val="24"/>
              </w:rPr>
            </w:pPr>
            <w:r>
              <w:rPr>
                <w:rFonts w:ascii="Times New Roman" w:hAnsi="Times New Roman"/>
                <w:color w:val="auto"/>
                <w:sz w:val="24"/>
              </w:rPr>
              <w:t>声压级合成模式：</w:t>
            </w:r>
          </w:p>
          <w:p w14:paraId="09A8C557">
            <w:pPr>
              <w:adjustRightInd w:val="0"/>
              <w:snapToGrid w:val="0"/>
              <w:spacing w:line="360" w:lineRule="auto"/>
              <w:ind w:firstLine="480"/>
              <w:jc w:val="center"/>
              <w:rPr>
                <w:rFonts w:ascii="Times New Roman" w:hAnsi="Times New Roman"/>
                <w:color w:val="auto"/>
                <w:sz w:val="24"/>
              </w:rPr>
            </w:pPr>
            <w:r>
              <w:rPr>
                <w:rFonts w:ascii="Times New Roman" w:hAnsi="Times New Roman"/>
                <w:color w:val="auto"/>
                <w:sz w:val="24"/>
              </w:rPr>
              <w:object>
                <v:shape id="_x0000_i1032" o:spt="75" type="#_x0000_t75" style="height:43.85pt;width:128.05pt;" o:ole="t" filled="f" o:preferrelative="t" stroked="f" coordsize="21600,21600">
                  <v:path/>
                  <v:fill on="f" focussize="0,0"/>
                  <v:stroke on="f"/>
                  <v:imagedata r:id="rId35" o:title=""/>
                  <o:lock v:ext="edit" grouping="f" rotation="f" text="f" aspectratio="t"/>
                  <w10:wrap type="none"/>
                  <w10:anchorlock/>
                </v:shape>
                <o:OLEObject Type="Embed" ProgID="Equation.3" ShapeID="_x0000_i1032" DrawAspect="Content" ObjectID="_1468075732" r:id="rId34">
                  <o:LockedField>false</o:LockedField>
                </o:OLEObject>
              </w:object>
            </w:r>
          </w:p>
          <w:p w14:paraId="7DEF471F">
            <w:pPr>
              <w:adjustRightInd w:val="0"/>
              <w:snapToGrid w:val="0"/>
              <w:spacing w:line="360" w:lineRule="auto"/>
              <w:ind w:firstLine="676" w:firstLineChars="282"/>
              <w:rPr>
                <w:rFonts w:ascii="Times New Roman" w:hAnsi="Times New Roman"/>
                <w:color w:val="auto"/>
                <w:sz w:val="24"/>
              </w:rPr>
            </w:pPr>
            <w:r>
              <w:rPr>
                <w:rFonts w:ascii="Times New Roman" w:hAnsi="Times New Roman"/>
                <w:color w:val="auto"/>
                <w:sz w:val="24"/>
              </w:rPr>
              <w:t>式中：</w:t>
            </w:r>
          </w:p>
          <w:p w14:paraId="12F0DA43">
            <w:pPr>
              <w:adjustRightInd w:val="0"/>
              <w:snapToGrid w:val="0"/>
              <w:spacing w:line="360" w:lineRule="auto"/>
              <w:ind w:firstLine="720" w:firstLineChars="300"/>
              <w:rPr>
                <w:rFonts w:ascii="Times New Roman" w:hAnsi="Times New Roman"/>
                <w:color w:val="auto"/>
                <w:sz w:val="24"/>
              </w:rPr>
            </w:pPr>
            <w:r>
              <w:rPr>
                <w:rFonts w:ascii="Times New Roman" w:hAnsi="Times New Roman"/>
                <w:color w:val="auto"/>
                <w:sz w:val="24"/>
              </w:rPr>
              <w:object>
                <v:shape id="_x0000_i1033" o:spt="75" type="#_x0000_t75" style="height:18.7pt;width:18.7pt;" o:ole="t" filled="f" o:preferrelative="t" stroked="f" coordsize="21600,21600">
                  <v:path/>
                  <v:fill on="f" focussize="0,0"/>
                  <v:stroke on="f"/>
                  <v:imagedata r:id="rId37" o:title=""/>
                  <o:lock v:ext="edit" grouping="f" rotation="f" text="f" aspectratio="t"/>
                  <w10:wrap type="none"/>
                  <w10:anchorlock/>
                </v:shape>
                <o:OLEObject Type="Embed" ProgID="Equation.3" ShapeID="_x0000_i1033" DrawAspect="Content" ObjectID="_1468075733" r:id="rId36">
                  <o:LockedField>false</o:LockedField>
                </o:OLEObject>
              </w:object>
            </w:r>
            <w:r>
              <w:rPr>
                <w:rFonts w:ascii="Times New Roman" w:hAnsi="Times New Roman"/>
                <w:color w:val="auto"/>
                <w:sz w:val="24"/>
              </w:rPr>
              <w:t>—预测点总声压级，dB（A）；</w:t>
            </w:r>
          </w:p>
          <w:p w14:paraId="4E992002">
            <w:pPr>
              <w:adjustRightInd w:val="0"/>
              <w:snapToGrid w:val="0"/>
              <w:spacing w:line="360" w:lineRule="auto"/>
              <w:ind w:firstLine="720" w:firstLineChars="300"/>
              <w:rPr>
                <w:rFonts w:ascii="Times New Roman" w:hAnsi="Times New Roman"/>
                <w:color w:val="auto"/>
                <w:sz w:val="24"/>
              </w:rPr>
            </w:pPr>
            <w:r>
              <w:rPr>
                <w:rFonts w:ascii="Times New Roman" w:hAnsi="Times New Roman"/>
                <w:color w:val="auto"/>
                <w:position w:val="-12"/>
                <w:sz w:val="24"/>
              </w:rPr>
              <w:object>
                <v:shape id="_x0000_i1034" o:spt="75" type="#_x0000_t75" style="height:21.75pt;width:13.45pt;" o:ole="t" filled="f" o:preferrelative="t" stroked="f" coordsize="21600,21600">
                  <v:path/>
                  <v:fill on="f" focussize="0,0"/>
                  <v:stroke on="f"/>
                  <v:imagedata r:id="rId39" o:title=""/>
                  <o:lock v:ext="edit" grouping="f" rotation="f" text="f" aspectratio="t"/>
                  <w10:wrap type="none"/>
                  <w10:anchorlock/>
                </v:shape>
                <o:OLEObject Type="Embed" ProgID="Equation.3" ShapeID="_x0000_i1034" DrawAspect="Content" ObjectID="_1468075734" r:id="rId38">
                  <o:LockedField>false</o:LockedField>
                </o:OLEObject>
              </w:object>
            </w:r>
            <w:r>
              <w:rPr>
                <w:rFonts w:ascii="Times New Roman" w:hAnsi="Times New Roman"/>
                <w:color w:val="auto"/>
                <w:sz w:val="24"/>
              </w:rPr>
              <w:t>—第i个点声源在预测点产生的A声压级，dB（A）；</w:t>
            </w:r>
          </w:p>
          <w:p w14:paraId="3F2E7809">
            <w:pPr>
              <w:adjustRightInd w:val="0"/>
              <w:snapToGrid w:val="0"/>
              <w:spacing w:line="360" w:lineRule="auto"/>
              <w:ind w:firstLine="720" w:firstLineChars="300"/>
              <w:rPr>
                <w:rFonts w:hint="eastAsia" w:ascii="Times New Roman" w:hAnsi="Times New Roman"/>
                <w:color w:val="auto"/>
                <w:sz w:val="24"/>
              </w:rPr>
            </w:pPr>
            <w:r>
              <w:rPr>
                <w:rFonts w:ascii="Times New Roman" w:hAnsi="Times New Roman"/>
                <w:color w:val="auto"/>
                <w:sz w:val="24"/>
              </w:rPr>
              <w:t>N——声源个数。</w:t>
            </w:r>
          </w:p>
          <w:p w14:paraId="3AFE41DE">
            <w:pPr>
              <w:adjustRightInd w:val="0"/>
              <w:snapToGrid w:val="0"/>
              <w:spacing w:line="360" w:lineRule="auto"/>
              <w:ind w:firstLine="480" w:firstLineChars="200"/>
              <w:rPr>
                <w:rFonts w:hint="eastAsia" w:ascii="Times New Roman" w:hAnsi="Times New Roman" w:eastAsia="宋体"/>
                <w:color w:val="auto"/>
                <w:sz w:val="24"/>
                <w:lang w:eastAsia="zh-CN"/>
              </w:rPr>
            </w:pPr>
            <w:r>
              <w:rPr>
                <w:rFonts w:hint="eastAsia" w:ascii="Times New Roman" w:hAnsi="Times New Roman"/>
                <w:color w:val="auto"/>
                <w:sz w:val="24"/>
                <w:lang w:eastAsia="zh-CN"/>
              </w:rPr>
              <w:t>（</w:t>
            </w:r>
            <w:r>
              <w:rPr>
                <w:rFonts w:hint="eastAsia" w:ascii="Times New Roman" w:hAnsi="Times New Roman"/>
                <w:color w:val="auto"/>
                <w:sz w:val="24"/>
                <w:lang w:val="en-US" w:eastAsia="zh-CN"/>
              </w:rPr>
              <w:t>2</w:t>
            </w:r>
            <w:r>
              <w:rPr>
                <w:rFonts w:hint="eastAsia" w:ascii="Times New Roman" w:hAnsi="Times New Roman"/>
                <w:color w:val="auto"/>
                <w:sz w:val="24"/>
                <w:lang w:eastAsia="zh-CN"/>
              </w:rPr>
              <w:t>）噪声源强</w:t>
            </w:r>
          </w:p>
          <w:p w14:paraId="27DB62E8">
            <w:pPr>
              <w:adjustRightInd w:val="0"/>
              <w:snapToGrid w:val="0"/>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lang w:eastAsia="zh-CN"/>
              </w:rPr>
              <w:t>本项目噪声主要为拣梗机、圆筛机、烘干机、</w:t>
            </w:r>
            <w:r>
              <w:rPr>
                <w:rFonts w:hint="eastAsia" w:ascii="宋体" w:hAnsi="宋体" w:cs="宋体"/>
                <w:color w:val="auto"/>
                <w:sz w:val="24"/>
                <w:lang w:eastAsia="zh-CN"/>
              </w:rPr>
              <w:t>热风</w:t>
            </w:r>
            <w:r>
              <w:rPr>
                <w:rFonts w:hint="eastAsia" w:ascii="宋体" w:hAnsi="宋体" w:eastAsia="宋体" w:cs="宋体"/>
                <w:color w:val="auto"/>
                <w:sz w:val="24"/>
                <w:lang w:eastAsia="zh-CN"/>
              </w:rPr>
              <w:t>炉等生产设备产生的噪声，生产设备等均设置在厂房内，无产生强噪声源的设备，设备源强为</w:t>
            </w:r>
            <w:r>
              <w:rPr>
                <w:rFonts w:hint="eastAsia" w:ascii="宋体" w:hAnsi="宋体" w:eastAsia="宋体" w:cs="宋体"/>
                <w:color w:val="auto"/>
                <w:sz w:val="24"/>
                <w:lang w:val="en-US" w:eastAsia="zh-CN"/>
              </w:rPr>
              <w:t>70-80dB(A)，</w:t>
            </w:r>
            <w:r>
              <w:rPr>
                <w:rFonts w:hint="eastAsia" w:ascii="宋体" w:hAnsi="宋体" w:eastAsia="宋体" w:cs="宋体"/>
                <w:color w:val="auto"/>
                <w:sz w:val="24"/>
                <w:lang w:eastAsia="zh-CN"/>
              </w:rPr>
              <w:t>各主要声源情况</w:t>
            </w:r>
            <w:r>
              <w:rPr>
                <w:rFonts w:hint="eastAsia" w:ascii="宋体" w:hAnsi="宋体" w:eastAsia="宋体" w:cs="宋体"/>
                <w:color w:val="auto"/>
                <w:sz w:val="24"/>
              </w:rPr>
              <w:t>见表7-</w:t>
            </w:r>
            <w:r>
              <w:rPr>
                <w:rFonts w:hint="eastAsia" w:ascii="宋体" w:hAnsi="宋体" w:eastAsia="宋体" w:cs="宋体"/>
                <w:color w:val="auto"/>
                <w:sz w:val="24"/>
                <w:lang w:val="en-US" w:eastAsia="zh-CN"/>
              </w:rPr>
              <w:t>7</w:t>
            </w:r>
            <w:r>
              <w:rPr>
                <w:rFonts w:hint="eastAsia" w:ascii="宋体" w:hAnsi="宋体" w:cs="宋体"/>
                <w:color w:val="auto"/>
                <w:sz w:val="24"/>
                <w:lang w:val="en-US" w:eastAsia="zh-CN"/>
              </w:rPr>
              <w:t>。</w:t>
            </w:r>
          </w:p>
          <w:p w14:paraId="64F2A066">
            <w:pPr>
              <w:spacing w:line="360" w:lineRule="auto"/>
              <w:ind w:firstLine="2168" w:firstLineChars="9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表</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rPr>
              <w:t>主要噪声设备以及噪声排放情况一览表</w:t>
            </w:r>
          </w:p>
          <w:tbl>
            <w:tblPr>
              <w:tblStyle w:val="2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925"/>
              <w:gridCol w:w="1740"/>
              <w:gridCol w:w="3034"/>
            </w:tblGrid>
            <w:tr w14:paraId="49FE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2" w:type="dxa"/>
                  <w:vAlign w:val="center"/>
                </w:tcPr>
                <w:p w14:paraId="16607022">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925" w:type="dxa"/>
                  <w:vAlign w:val="center"/>
                </w:tcPr>
                <w:p w14:paraId="50AB7641">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噪声源</w:t>
                  </w:r>
                </w:p>
              </w:tc>
              <w:tc>
                <w:tcPr>
                  <w:tcW w:w="1740" w:type="dxa"/>
                  <w:vAlign w:val="center"/>
                </w:tcPr>
                <w:p w14:paraId="164C88EC">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噪声值dB(A)</w:t>
                  </w:r>
                </w:p>
              </w:tc>
              <w:tc>
                <w:tcPr>
                  <w:tcW w:w="3034" w:type="dxa"/>
                  <w:vAlign w:val="center"/>
                </w:tcPr>
                <w:p w14:paraId="4804E581">
                  <w:pPr>
                    <w:spacing w:line="240" w:lineRule="auto"/>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噪声叠加值</w:t>
                  </w:r>
                  <w:r>
                    <w:rPr>
                      <w:rFonts w:hint="eastAsia" w:ascii="宋体" w:hAnsi="宋体" w:eastAsia="宋体" w:cs="宋体"/>
                      <w:b/>
                      <w:bCs/>
                      <w:color w:val="auto"/>
                      <w:sz w:val="21"/>
                      <w:szCs w:val="21"/>
                    </w:rPr>
                    <w:t>dB(A)</w:t>
                  </w:r>
                </w:p>
              </w:tc>
            </w:tr>
            <w:tr w14:paraId="1367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362" w:type="dxa"/>
                  <w:vAlign w:val="center"/>
                </w:tcPr>
                <w:p w14:paraId="35AD4A19">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925" w:type="dxa"/>
                  <w:vAlign w:val="center"/>
                </w:tcPr>
                <w:p w14:paraId="53290A77">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拣梗机</w:t>
                  </w:r>
                </w:p>
              </w:tc>
              <w:tc>
                <w:tcPr>
                  <w:tcW w:w="1740" w:type="dxa"/>
                  <w:vAlign w:val="center"/>
                </w:tcPr>
                <w:p w14:paraId="50F212E3">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75</w:t>
                  </w:r>
                </w:p>
              </w:tc>
              <w:tc>
                <w:tcPr>
                  <w:tcW w:w="3034" w:type="dxa"/>
                  <w:vMerge w:val="restart"/>
                  <w:vAlign w:val="center"/>
                </w:tcPr>
                <w:p w14:paraId="19A3C60E">
                  <w:pPr>
                    <w:spacing w:line="240" w:lineRule="auto"/>
                    <w:ind w:firstLine="1050" w:firstLineChars="5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87.15</w:t>
                  </w:r>
                </w:p>
              </w:tc>
            </w:tr>
            <w:tr w14:paraId="361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2" w:type="dxa"/>
                  <w:vAlign w:val="center"/>
                </w:tcPr>
                <w:p w14:paraId="2B28C0DE">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925" w:type="dxa"/>
                  <w:vAlign w:val="center"/>
                </w:tcPr>
                <w:p w14:paraId="4134BBF2">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圆筛机</w:t>
                  </w:r>
                </w:p>
              </w:tc>
              <w:tc>
                <w:tcPr>
                  <w:tcW w:w="1740" w:type="dxa"/>
                  <w:vAlign w:val="center"/>
                </w:tcPr>
                <w:p w14:paraId="23F7F343">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3034" w:type="dxa"/>
                  <w:vMerge w:val="continue"/>
                  <w:vAlign w:val="center"/>
                </w:tcPr>
                <w:p w14:paraId="076BAB71">
                  <w:pPr>
                    <w:spacing w:line="240" w:lineRule="auto"/>
                    <w:jc w:val="center"/>
                    <w:rPr>
                      <w:rFonts w:hint="eastAsia" w:ascii="宋体" w:hAnsi="宋体" w:eastAsia="宋体" w:cs="宋体"/>
                      <w:color w:val="auto"/>
                      <w:sz w:val="21"/>
                      <w:szCs w:val="21"/>
                      <w:lang w:eastAsia="zh-CN"/>
                    </w:rPr>
                  </w:pPr>
                </w:p>
              </w:tc>
            </w:tr>
            <w:tr w14:paraId="61FE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362" w:type="dxa"/>
                  <w:vAlign w:val="center"/>
                </w:tcPr>
                <w:p w14:paraId="0D459967">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925" w:type="dxa"/>
                  <w:vAlign w:val="center"/>
                </w:tcPr>
                <w:p w14:paraId="6A760E0C">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烘干机</w:t>
                  </w:r>
                </w:p>
              </w:tc>
              <w:tc>
                <w:tcPr>
                  <w:tcW w:w="1740" w:type="dxa"/>
                  <w:vAlign w:val="center"/>
                </w:tcPr>
                <w:p w14:paraId="2E615FD1">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3034" w:type="dxa"/>
                  <w:vMerge w:val="continue"/>
                  <w:vAlign w:val="center"/>
                </w:tcPr>
                <w:p w14:paraId="71B8F987">
                  <w:pPr>
                    <w:spacing w:line="240" w:lineRule="auto"/>
                    <w:jc w:val="center"/>
                    <w:rPr>
                      <w:rFonts w:hint="eastAsia" w:ascii="宋体" w:hAnsi="宋体" w:eastAsia="宋体" w:cs="宋体"/>
                      <w:color w:val="auto"/>
                      <w:sz w:val="21"/>
                      <w:szCs w:val="21"/>
                      <w:lang w:val="en-US" w:eastAsia="zh-CN"/>
                    </w:rPr>
                  </w:pPr>
                </w:p>
              </w:tc>
            </w:tr>
            <w:tr w14:paraId="02F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62" w:type="dxa"/>
                  <w:vAlign w:val="center"/>
                </w:tcPr>
                <w:p w14:paraId="546CC764">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925" w:type="dxa"/>
                  <w:vAlign w:val="center"/>
                </w:tcPr>
                <w:p w14:paraId="361E4608">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鼓风机</w:t>
                  </w:r>
                </w:p>
              </w:tc>
              <w:tc>
                <w:tcPr>
                  <w:tcW w:w="1740" w:type="dxa"/>
                  <w:vAlign w:val="center"/>
                </w:tcPr>
                <w:p w14:paraId="124E0668">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3034" w:type="dxa"/>
                  <w:vMerge w:val="continue"/>
                  <w:vAlign w:val="center"/>
                </w:tcPr>
                <w:p w14:paraId="3B7D1D58">
                  <w:pPr>
                    <w:spacing w:line="240" w:lineRule="auto"/>
                    <w:jc w:val="center"/>
                    <w:rPr>
                      <w:rFonts w:hint="eastAsia" w:ascii="宋体" w:hAnsi="宋体" w:eastAsia="宋体" w:cs="宋体"/>
                      <w:color w:val="auto"/>
                      <w:sz w:val="21"/>
                      <w:szCs w:val="21"/>
                      <w:lang w:val="en-US" w:eastAsia="zh-CN"/>
                    </w:rPr>
                  </w:pPr>
                </w:p>
              </w:tc>
            </w:tr>
            <w:tr w14:paraId="2148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62" w:type="dxa"/>
                  <w:vAlign w:val="center"/>
                </w:tcPr>
                <w:p w14:paraId="6EA03F39">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925" w:type="dxa"/>
                  <w:vAlign w:val="center"/>
                </w:tcPr>
                <w:p w14:paraId="1939CCE4">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热风炉</w:t>
                  </w:r>
                </w:p>
              </w:tc>
              <w:tc>
                <w:tcPr>
                  <w:tcW w:w="1740" w:type="dxa"/>
                  <w:vAlign w:val="center"/>
                </w:tcPr>
                <w:p w14:paraId="2E5FA70E">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3034" w:type="dxa"/>
                  <w:vMerge w:val="continue"/>
                  <w:vAlign w:val="center"/>
                </w:tcPr>
                <w:p w14:paraId="6C651716">
                  <w:pPr>
                    <w:spacing w:line="240" w:lineRule="auto"/>
                    <w:jc w:val="center"/>
                    <w:rPr>
                      <w:rFonts w:hint="eastAsia" w:ascii="宋体" w:hAnsi="宋体" w:eastAsia="宋体" w:cs="宋体"/>
                      <w:color w:val="auto"/>
                      <w:sz w:val="21"/>
                      <w:szCs w:val="21"/>
                      <w:lang w:val="en-US" w:eastAsia="zh-CN"/>
                    </w:rPr>
                  </w:pPr>
                </w:p>
              </w:tc>
            </w:tr>
          </w:tbl>
          <w:p w14:paraId="263590C8">
            <w:pPr>
              <w:adjustRightInd w:val="0"/>
              <w:snapToGrid w:val="0"/>
              <w:spacing w:line="360" w:lineRule="auto"/>
              <w:ind w:firstLine="480" w:firstLineChars="200"/>
              <w:jc w:val="left"/>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3</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评价</w:t>
            </w:r>
            <w:r>
              <w:rPr>
                <w:rFonts w:hint="eastAsia" w:ascii="宋体" w:hAnsi="宋体" w:eastAsia="宋体" w:cs="宋体"/>
                <w:b w:val="0"/>
                <w:bCs w:val="0"/>
                <w:color w:val="auto"/>
                <w:sz w:val="24"/>
                <w:lang w:eastAsia="zh-CN"/>
              </w:rPr>
              <w:t>结果</w:t>
            </w:r>
          </w:p>
          <w:p w14:paraId="38E60A57">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shd w:val="clear" w:fill="FFFFFF" w:themeFill="background1"/>
              </w:rPr>
              <w:t>项目设备均安置在生产车间内，本项目夜间不进行生产</w:t>
            </w:r>
            <w:r>
              <w:rPr>
                <w:rFonts w:hint="eastAsia" w:ascii="宋体" w:hAnsi="宋体" w:cs="宋体"/>
                <w:color w:val="auto"/>
                <w:sz w:val="24"/>
                <w:shd w:val="clear" w:fill="FFFFFF" w:themeFill="background1"/>
                <w:lang w:eastAsia="zh-CN"/>
              </w:rPr>
              <w:t>，</w:t>
            </w:r>
            <w:r>
              <w:rPr>
                <w:rFonts w:hint="eastAsia" w:ascii="宋体" w:hAnsi="宋体" w:eastAsia="宋体" w:cs="宋体"/>
                <w:color w:val="auto"/>
                <w:sz w:val="24"/>
                <w:shd w:val="clear" w:fill="FFFFFF" w:themeFill="background1"/>
              </w:rPr>
              <w:t>所以不对夜间噪声进行评述。</w:t>
            </w:r>
            <w:r>
              <w:rPr>
                <w:rFonts w:hint="eastAsia" w:ascii="宋体" w:hAnsi="宋体" w:cs="宋体"/>
                <w:color w:val="auto"/>
                <w:sz w:val="24"/>
                <w:shd w:val="clear" w:fill="FFFFFF" w:themeFill="background1"/>
                <w:lang w:eastAsia="zh-CN"/>
              </w:rPr>
              <w:t>根据工程特点</w:t>
            </w:r>
            <w:r>
              <w:rPr>
                <w:rFonts w:hint="eastAsia" w:ascii="宋体" w:hAnsi="宋体" w:cs="宋体"/>
                <w:color w:val="auto"/>
                <w:sz w:val="24"/>
                <w:shd w:val="clear" w:fill="FFFFFF" w:themeFill="background1"/>
                <w:lang w:val="en-US" w:eastAsia="zh-CN"/>
              </w:rPr>
              <w:t xml:space="preserve"> ，</w:t>
            </w:r>
            <w:r>
              <w:rPr>
                <w:rFonts w:hint="eastAsia" w:ascii="宋体" w:hAnsi="宋体" w:eastAsia="宋体" w:cs="宋体"/>
                <w:color w:val="auto"/>
                <w:sz w:val="24"/>
                <w:shd w:val="clear" w:fill="FFFFFF" w:themeFill="background1"/>
              </w:rPr>
              <w:t>机械噪声通过</w:t>
            </w:r>
            <w:r>
              <w:rPr>
                <w:rFonts w:hint="eastAsia" w:ascii="宋体" w:hAnsi="宋体" w:cs="宋体"/>
                <w:color w:val="auto"/>
                <w:sz w:val="24"/>
                <w:shd w:val="clear" w:fill="FFFFFF" w:themeFill="background1"/>
                <w:lang w:eastAsia="zh-CN"/>
              </w:rPr>
              <w:t>加装减震垫、</w:t>
            </w:r>
            <w:r>
              <w:rPr>
                <w:rFonts w:hint="eastAsia" w:ascii="宋体" w:hAnsi="宋体" w:eastAsia="宋体" w:cs="宋体"/>
                <w:color w:val="auto"/>
                <w:sz w:val="24"/>
                <w:shd w:val="clear" w:fill="FFFFFF" w:themeFill="background1"/>
              </w:rPr>
              <w:t>厂房隔音</w:t>
            </w:r>
            <w:r>
              <w:rPr>
                <w:rFonts w:hint="eastAsia" w:ascii="宋体" w:hAnsi="宋体" w:cs="宋体"/>
                <w:color w:val="auto"/>
                <w:sz w:val="24"/>
                <w:shd w:val="clear" w:fill="FFFFFF" w:themeFill="background1"/>
                <w:lang w:eastAsia="zh-CN"/>
              </w:rPr>
              <w:t>后</w:t>
            </w:r>
            <w:r>
              <w:rPr>
                <w:rFonts w:hint="eastAsia" w:ascii="宋体" w:hAnsi="宋体" w:eastAsia="宋体" w:cs="宋体"/>
                <w:color w:val="auto"/>
                <w:sz w:val="24"/>
                <w:shd w:val="clear" w:fill="FFFFFF" w:themeFill="background1"/>
              </w:rPr>
              <w:t>可降低</w:t>
            </w:r>
            <w:r>
              <w:rPr>
                <w:rFonts w:hint="eastAsia" w:ascii="宋体" w:hAnsi="宋体" w:eastAsia="宋体" w:cs="宋体"/>
                <w:color w:val="auto"/>
                <w:sz w:val="24"/>
                <w:shd w:val="clear" w:fill="FFFFFF" w:themeFill="background1"/>
                <w:lang w:val="en-US" w:eastAsia="zh-CN"/>
              </w:rPr>
              <w:t>15</w:t>
            </w:r>
            <w:r>
              <w:rPr>
                <w:rFonts w:hint="eastAsia" w:ascii="宋体" w:hAnsi="宋体" w:eastAsia="宋体" w:cs="宋体"/>
                <w:color w:val="auto"/>
                <w:sz w:val="24"/>
                <w:shd w:val="clear" w:fill="FFFFFF" w:themeFill="background1"/>
              </w:rPr>
              <w:t>dB(A)左右</w:t>
            </w:r>
            <w:r>
              <w:rPr>
                <w:rFonts w:hint="eastAsia" w:ascii="宋体" w:hAnsi="宋体" w:eastAsia="宋体" w:cs="宋体"/>
                <w:color w:val="auto"/>
                <w:sz w:val="24"/>
              </w:rPr>
              <w:t>，故噪声总源强为</w:t>
            </w:r>
            <w:r>
              <w:rPr>
                <w:rFonts w:hint="eastAsia" w:ascii="宋体" w:hAnsi="宋体" w:eastAsia="宋体" w:cs="宋体"/>
                <w:color w:val="auto"/>
                <w:sz w:val="24"/>
                <w:lang w:val="en-US" w:eastAsia="zh-CN"/>
              </w:rPr>
              <w:t>72.15</w:t>
            </w:r>
            <w:r>
              <w:rPr>
                <w:rFonts w:hint="eastAsia" w:ascii="宋体" w:hAnsi="宋体" w:eastAsia="宋体" w:cs="宋体"/>
                <w:color w:val="auto"/>
                <w:sz w:val="24"/>
              </w:rPr>
              <w:t>B(A)</w:t>
            </w:r>
            <w:r>
              <w:rPr>
                <w:rFonts w:hint="eastAsia" w:ascii="宋体" w:hAnsi="宋体" w:cs="宋体"/>
                <w:color w:val="auto"/>
                <w:sz w:val="24"/>
                <w:lang w:eastAsia="zh-CN"/>
              </w:rPr>
              <w:t>。</w:t>
            </w:r>
            <w:r>
              <w:rPr>
                <w:rFonts w:hint="eastAsia" w:ascii="宋体" w:hAnsi="宋体" w:eastAsia="宋体" w:cs="宋体"/>
                <w:color w:val="auto"/>
                <w:sz w:val="24"/>
              </w:rPr>
              <w:t>项目厂界噪声排放预测情况见表7-</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p>
          <w:p w14:paraId="6DE34727">
            <w:pPr>
              <w:ind w:firstLine="472" w:firstLineChars="196"/>
              <w:jc w:val="center"/>
              <w:rPr>
                <w:rFonts w:hint="eastAsia" w:ascii="Times New Roman" w:hAnsi="Times New Roman" w:cs="黑体"/>
                <w:b/>
                <w:color w:val="auto"/>
                <w:sz w:val="24"/>
              </w:rPr>
            </w:pPr>
            <w:r>
              <w:rPr>
                <w:rFonts w:hint="eastAsia" w:ascii="Times New Roman" w:hAnsi="Times New Roman" w:cs="黑体"/>
                <w:b/>
                <w:color w:val="auto"/>
                <w:sz w:val="24"/>
              </w:rPr>
              <w:t>表7-</w:t>
            </w:r>
            <w:r>
              <w:rPr>
                <w:rFonts w:hint="eastAsia" w:ascii="Times New Roman" w:hAnsi="Times New Roman" w:cs="黑体"/>
                <w:b/>
                <w:color w:val="auto"/>
                <w:sz w:val="24"/>
                <w:lang w:val="en-US" w:eastAsia="zh-CN"/>
              </w:rPr>
              <w:t>8</w:t>
            </w:r>
            <w:r>
              <w:rPr>
                <w:rFonts w:hint="eastAsia" w:ascii="Times New Roman" w:hAnsi="Times New Roman" w:cs="黑体"/>
                <w:b/>
                <w:color w:val="auto"/>
                <w:sz w:val="24"/>
              </w:rPr>
              <w:t xml:space="preserve">  厂界噪声排放情况一览表</w:t>
            </w:r>
          </w:p>
          <w:tbl>
            <w:tblPr>
              <w:tblStyle w:val="24"/>
              <w:tblW w:w="906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15"/>
              <w:gridCol w:w="2509"/>
              <w:gridCol w:w="999"/>
              <w:gridCol w:w="1016"/>
              <w:gridCol w:w="1065"/>
              <w:gridCol w:w="1057"/>
            </w:tblGrid>
            <w:tr w14:paraId="7E9DFE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4924" w:type="dxa"/>
                  <w:gridSpan w:val="2"/>
                  <w:tcBorders>
                    <w:top w:val="single" w:color="auto" w:sz="4" w:space="0"/>
                    <w:left w:val="single" w:color="auto" w:sz="4" w:space="0"/>
                    <w:bottom w:val="single" w:color="auto" w:sz="6" w:space="0"/>
                    <w:right w:val="single" w:color="auto" w:sz="6" w:space="0"/>
                  </w:tcBorders>
                  <w:vAlign w:val="center"/>
                </w:tcPr>
                <w:p w14:paraId="014E107C">
                  <w:pPr>
                    <w:spacing w:line="400" w:lineRule="exact"/>
                    <w:jc w:val="center"/>
                    <w:rPr>
                      <w:rFonts w:hint="eastAsia" w:ascii="宋体" w:hAnsi="宋体" w:eastAsia="宋体" w:cs="宋体"/>
                      <w:b/>
                      <w:bCs/>
                      <w:color w:val="auto"/>
                    </w:rPr>
                  </w:pPr>
                  <w:r>
                    <w:rPr>
                      <w:rFonts w:hint="eastAsia" w:ascii="宋体" w:hAnsi="宋体" w:eastAsia="宋体" w:cs="宋体"/>
                      <w:b/>
                      <w:bCs/>
                      <w:color w:val="auto"/>
                    </w:rPr>
                    <w:t>噪声源</w:t>
                  </w:r>
                </w:p>
              </w:tc>
              <w:tc>
                <w:tcPr>
                  <w:tcW w:w="999" w:type="dxa"/>
                  <w:tcBorders>
                    <w:top w:val="single" w:color="auto" w:sz="4" w:space="0"/>
                    <w:left w:val="single" w:color="auto" w:sz="6" w:space="0"/>
                    <w:bottom w:val="single" w:color="auto" w:sz="6" w:space="0"/>
                    <w:right w:val="single" w:color="auto" w:sz="6" w:space="0"/>
                  </w:tcBorders>
                  <w:vAlign w:val="center"/>
                </w:tcPr>
                <w:p w14:paraId="1EFF2394">
                  <w:pPr>
                    <w:spacing w:line="400" w:lineRule="exact"/>
                    <w:rPr>
                      <w:rFonts w:hint="eastAsia" w:ascii="宋体" w:hAnsi="宋体" w:eastAsia="宋体" w:cs="宋体"/>
                      <w:b/>
                      <w:bCs/>
                      <w:color w:val="auto"/>
                    </w:rPr>
                  </w:pPr>
                  <w:r>
                    <w:rPr>
                      <w:rFonts w:hint="eastAsia" w:ascii="宋体" w:hAnsi="宋体" w:eastAsia="宋体" w:cs="宋体"/>
                      <w:b/>
                      <w:bCs/>
                      <w:color w:val="auto"/>
                    </w:rPr>
                    <w:t>场界东</w:t>
                  </w:r>
                </w:p>
              </w:tc>
              <w:tc>
                <w:tcPr>
                  <w:tcW w:w="1016" w:type="dxa"/>
                  <w:tcBorders>
                    <w:top w:val="single" w:color="auto" w:sz="4" w:space="0"/>
                    <w:left w:val="single" w:color="auto" w:sz="6" w:space="0"/>
                    <w:bottom w:val="single" w:color="auto" w:sz="6" w:space="0"/>
                    <w:right w:val="single" w:color="auto" w:sz="6" w:space="0"/>
                  </w:tcBorders>
                  <w:vAlign w:val="center"/>
                </w:tcPr>
                <w:p w14:paraId="15E77720">
                  <w:pPr>
                    <w:spacing w:line="400" w:lineRule="exact"/>
                    <w:rPr>
                      <w:rFonts w:hint="eastAsia" w:ascii="宋体" w:hAnsi="宋体" w:eastAsia="宋体" w:cs="宋体"/>
                      <w:b/>
                      <w:bCs/>
                      <w:color w:val="auto"/>
                    </w:rPr>
                  </w:pPr>
                  <w:r>
                    <w:rPr>
                      <w:rFonts w:hint="eastAsia" w:ascii="宋体" w:hAnsi="宋体" w:eastAsia="宋体" w:cs="宋体"/>
                      <w:b/>
                      <w:bCs/>
                      <w:color w:val="auto"/>
                    </w:rPr>
                    <w:t>场界南</w:t>
                  </w:r>
                </w:p>
              </w:tc>
              <w:tc>
                <w:tcPr>
                  <w:tcW w:w="1065" w:type="dxa"/>
                  <w:tcBorders>
                    <w:top w:val="single" w:color="auto" w:sz="4" w:space="0"/>
                    <w:left w:val="single" w:color="auto" w:sz="6" w:space="0"/>
                    <w:bottom w:val="single" w:color="auto" w:sz="6" w:space="0"/>
                    <w:right w:val="single" w:color="auto" w:sz="6" w:space="0"/>
                  </w:tcBorders>
                  <w:vAlign w:val="center"/>
                </w:tcPr>
                <w:p w14:paraId="76201156">
                  <w:pPr>
                    <w:spacing w:line="400" w:lineRule="exact"/>
                    <w:rPr>
                      <w:rFonts w:hint="eastAsia" w:ascii="宋体" w:hAnsi="宋体" w:eastAsia="宋体" w:cs="宋体"/>
                      <w:b/>
                      <w:bCs/>
                      <w:color w:val="auto"/>
                    </w:rPr>
                  </w:pPr>
                  <w:r>
                    <w:rPr>
                      <w:rFonts w:hint="eastAsia" w:ascii="宋体" w:hAnsi="宋体" w:eastAsia="宋体" w:cs="宋体"/>
                      <w:b/>
                      <w:bCs/>
                      <w:color w:val="auto"/>
                    </w:rPr>
                    <w:t>场界西</w:t>
                  </w:r>
                </w:p>
              </w:tc>
              <w:tc>
                <w:tcPr>
                  <w:tcW w:w="1057" w:type="dxa"/>
                  <w:tcBorders>
                    <w:top w:val="single" w:color="auto" w:sz="4" w:space="0"/>
                    <w:left w:val="single" w:color="auto" w:sz="6" w:space="0"/>
                    <w:bottom w:val="single" w:color="auto" w:sz="6" w:space="0"/>
                    <w:right w:val="single" w:color="auto" w:sz="4" w:space="0"/>
                  </w:tcBorders>
                  <w:vAlign w:val="center"/>
                </w:tcPr>
                <w:p w14:paraId="7739826C">
                  <w:pPr>
                    <w:spacing w:line="400" w:lineRule="exact"/>
                    <w:rPr>
                      <w:rFonts w:hint="eastAsia" w:ascii="宋体" w:hAnsi="宋体" w:eastAsia="宋体" w:cs="宋体"/>
                      <w:b/>
                      <w:bCs/>
                      <w:color w:val="auto"/>
                    </w:rPr>
                  </w:pPr>
                  <w:r>
                    <w:rPr>
                      <w:rFonts w:hint="eastAsia" w:ascii="宋体" w:hAnsi="宋体" w:eastAsia="宋体" w:cs="宋体"/>
                      <w:b/>
                      <w:bCs/>
                      <w:color w:val="auto"/>
                    </w:rPr>
                    <w:t>场界北</w:t>
                  </w:r>
                </w:p>
              </w:tc>
            </w:tr>
            <w:tr w14:paraId="6DD15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2415" w:type="dxa"/>
                  <w:vMerge w:val="restart"/>
                  <w:tcBorders>
                    <w:top w:val="single" w:color="auto" w:sz="6" w:space="0"/>
                    <w:left w:val="single" w:color="auto" w:sz="4" w:space="0"/>
                    <w:bottom w:val="single" w:color="auto" w:sz="4" w:space="0"/>
                    <w:right w:val="single" w:color="auto" w:sz="6" w:space="0"/>
                  </w:tcBorders>
                  <w:vAlign w:val="center"/>
                </w:tcPr>
                <w:p w14:paraId="1FD14C45">
                  <w:pPr>
                    <w:spacing w:line="400" w:lineRule="exact"/>
                    <w:jc w:val="center"/>
                    <w:rPr>
                      <w:rFonts w:hint="eastAsia" w:ascii="宋体" w:hAnsi="宋体" w:eastAsia="宋体" w:cs="宋体"/>
                      <w:color w:val="auto"/>
                    </w:rPr>
                  </w:pPr>
                  <w:r>
                    <w:rPr>
                      <w:rFonts w:hint="eastAsia" w:ascii="宋体" w:hAnsi="宋体" w:eastAsia="宋体" w:cs="宋体"/>
                      <w:color w:val="auto"/>
                    </w:rPr>
                    <w:t>源强为</w:t>
                  </w:r>
                  <w:r>
                    <w:rPr>
                      <w:rFonts w:hint="eastAsia" w:ascii="宋体" w:hAnsi="宋体" w:eastAsia="宋体" w:cs="宋体"/>
                      <w:color w:val="auto"/>
                      <w:lang w:val="en-US" w:eastAsia="zh-CN"/>
                    </w:rPr>
                    <w:t>72.15</w:t>
                  </w:r>
                  <w:r>
                    <w:rPr>
                      <w:rFonts w:hint="eastAsia" w:ascii="宋体" w:hAnsi="宋体" w:eastAsia="宋体" w:cs="宋体"/>
                      <w:color w:val="auto"/>
                    </w:rPr>
                    <w:t>dB(A)</w:t>
                  </w:r>
                </w:p>
              </w:tc>
              <w:tc>
                <w:tcPr>
                  <w:tcW w:w="2509" w:type="dxa"/>
                  <w:tcBorders>
                    <w:top w:val="single" w:color="auto" w:sz="6" w:space="0"/>
                    <w:left w:val="single" w:color="auto" w:sz="6" w:space="0"/>
                    <w:bottom w:val="single" w:color="auto" w:sz="6" w:space="0"/>
                    <w:right w:val="single" w:color="auto" w:sz="6" w:space="0"/>
                  </w:tcBorders>
                  <w:vAlign w:val="center"/>
                </w:tcPr>
                <w:p w14:paraId="4D3C2A66">
                  <w:pPr>
                    <w:spacing w:line="400" w:lineRule="exact"/>
                    <w:rPr>
                      <w:rFonts w:hint="eastAsia" w:ascii="宋体" w:hAnsi="宋体" w:eastAsia="宋体" w:cs="宋体"/>
                      <w:color w:val="auto"/>
                    </w:rPr>
                  </w:pPr>
                  <w:r>
                    <w:rPr>
                      <w:rFonts w:hint="eastAsia" w:ascii="宋体" w:hAnsi="宋体" w:eastAsia="宋体" w:cs="宋体"/>
                      <w:color w:val="auto"/>
                    </w:rPr>
                    <w:t>车间与场界距离（m）</w:t>
                  </w:r>
                </w:p>
              </w:tc>
              <w:tc>
                <w:tcPr>
                  <w:tcW w:w="999" w:type="dxa"/>
                  <w:tcBorders>
                    <w:top w:val="single" w:color="auto" w:sz="6" w:space="0"/>
                    <w:left w:val="single" w:color="auto" w:sz="6" w:space="0"/>
                    <w:bottom w:val="single" w:color="auto" w:sz="6" w:space="0"/>
                    <w:right w:val="single" w:color="auto" w:sz="6" w:space="0"/>
                  </w:tcBorders>
                  <w:vAlign w:val="center"/>
                </w:tcPr>
                <w:p w14:paraId="7EDE5934">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15</w:t>
                  </w:r>
                </w:p>
              </w:tc>
              <w:tc>
                <w:tcPr>
                  <w:tcW w:w="1016" w:type="dxa"/>
                  <w:tcBorders>
                    <w:top w:val="single" w:color="auto" w:sz="6" w:space="0"/>
                    <w:left w:val="single" w:color="auto" w:sz="6" w:space="0"/>
                    <w:bottom w:val="single" w:color="auto" w:sz="6" w:space="0"/>
                    <w:right w:val="single" w:color="auto" w:sz="6" w:space="0"/>
                  </w:tcBorders>
                  <w:vAlign w:val="center"/>
                </w:tcPr>
                <w:p w14:paraId="0D277A6E">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1065" w:type="dxa"/>
                  <w:tcBorders>
                    <w:top w:val="single" w:color="auto" w:sz="6" w:space="0"/>
                    <w:left w:val="single" w:color="auto" w:sz="6" w:space="0"/>
                    <w:bottom w:val="single" w:color="auto" w:sz="6" w:space="0"/>
                    <w:right w:val="single" w:color="auto" w:sz="6" w:space="0"/>
                  </w:tcBorders>
                  <w:vAlign w:val="center"/>
                </w:tcPr>
                <w:p w14:paraId="3F285DB6">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057" w:type="dxa"/>
                  <w:tcBorders>
                    <w:top w:val="single" w:color="auto" w:sz="6" w:space="0"/>
                    <w:left w:val="single" w:color="auto" w:sz="6" w:space="0"/>
                    <w:bottom w:val="single" w:color="auto" w:sz="6" w:space="0"/>
                    <w:right w:val="single" w:color="auto" w:sz="4" w:space="0"/>
                  </w:tcBorders>
                  <w:vAlign w:val="center"/>
                </w:tcPr>
                <w:p w14:paraId="52583E01">
                  <w:pPr>
                    <w:spacing w:line="400" w:lineRule="exact"/>
                    <w:jc w:val="center"/>
                    <w:rPr>
                      <w:rFonts w:hint="eastAsia" w:ascii="宋体" w:hAnsi="宋体" w:eastAsia="宋体" w:cs="宋体"/>
                      <w:color w:val="auto"/>
                      <w:szCs w:val="21"/>
                      <w:lang w:val="en-US"/>
                    </w:rPr>
                  </w:pPr>
                  <w:r>
                    <w:rPr>
                      <w:rFonts w:hint="eastAsia" w:ascii="宋体" w:hAnsi="宋体" w:eastAsia="宋体" w:cs="宋体"/>
                      <w:color w:val="auto"/>
                      <w:szCs w:val="21"/>
                      <w:lang w:val="en-US" w:eastAsia="zh-CN"/>
                    </w:rPr>
                    <w:t>20</w:t>
                  </w:r>
                </w:p>
              </w:tc>
            </w:tr>
            <w:tr w14:paraId="44E8C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2415" w:type="dxa"/>
                  <w:vMerge w:val="continue"/>
                  <w:tcBorders>
                    <w:top w:val="single" w:color="auto" w:sz="6" w:space="0"/>
                    <w:left w:val="single" w:color="auto" w:sz="4" w:space="0"/>
                    <w:bottom w:val="single" w:color="auto" w:sz="4" w:space="0"/>
                    <w:right w:val="single" w:color="auto" w:sz="6" w:space="0"/>
                  </w:tcBorders>
                  <w:vAlign w:val="center"/>
                </w:tcPr>
                <w:p w14:paraId="1553A64B">
                  <w:pPr>
                    <w:widowControl/>
                    <w:jc w:val="left"/>
                    <w:rPr>
                      <w:rFonts w:hint="eastAsia" w:ascii="宋体" w:hAnsi="宋体" w:eastAsia="宋体" w:cs="宋体"/>
                      <w:color w:val="auto"/>
                    </w:rPr>
                  </w:pPr>
                </w:p>
              </w:tc>
              <w:tc>
                <w:tcPr>
                  <w:tcW w:w="2509" w:type="dxa"/>
                  <w:tcBorders>
                    <w:top w:val="single" w:color="auto" w:sz="6" w:space="0"/>
                    <w:left w:val="single" w:color="auto" w:sz="6" w:space="0"/>
                    <w:bottom w:val="single" w:color="auto" w:sz="4" w:space="0"/>
                    <w:right w:val="single" w:color="auto" w:sz="6" w:space="0"/>
                  </w:tcBorders>
                  <w:vAlign w:val="center"/>
                </w:tcPr>
                <w:p w14:paraId="6BA373FA">
                  <w:pPr>
                    <w:spacing w:line="400" w:lineRule="exact"/>
                    <w:rPr>
                      <w:rFonts w:hint="eastAsia" w:ascii="宋体" w:hAnsi="宋体" w:eastAsia="宋体" w:cs="宋体"/>
                      <w:color w:val="auto"/>
                    </w:rPr>
                  </w:pPr>
                  <w:r>
                    <w:rPr>
                      <w:rFonts w:hint="eastAsia" w:ascii="宋体" w:hAnsi="宋体" w:eastAsia="宋体" w:cs="宋体"/>
                      <w:color w:val="auto"/>
                    </w:rPr>
                    <w:t>到厂界的衰减值dB(A)</w:t>
                  </w:r>
                </w:p>
              </w:tc>
              <w:tc>
                <w:tcPr>
                  <w:tcW w:w="999" w:type="dxa"/>
                  <w:tcBorders>
                    <w:top w:val="single" w:color="auto" w:sz="6" w:space="0"/>
                    <w:left w:val="single" w:color="auto" w:sz="6" w:space="0"/>
                    <w:bottom w:val="single" w:color="auto" w:sz="4" w:space="0"/>
                    <w:right w:val="single" w:color="auto" w:sz="6" w:space="0"/>
                  </w:tcBorders>
                  <w:vAlign w:val="center"/>
                </w:tcPr>
                <w:p w14:paraId="7C1DB04D">
                  <w:pPr>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48.62</w:t>
                  </w:r>
                </w:p>
              </w:tc>
              <w:tc>
                <w:tcPr>
                  <w:tcW w:w="1016" w:type="dxa"/>
                  <w:tcBorders>
                    <w:top w:val="single" w:color="auto" w:sz="6" w:space="0"/>
                    <w:left w:val="single" w:color="auto" w:sz="6" w:space="0"/>
                    <w:bottom w:val="single" w:color="auto" w:sz="4" w:space="0"/>
                    <w:right w:val="single" w:color="auto" w:sz="6" w:space="0"/>
                  </w:tcBorders>
                  <w:vAlign w:val="center"/>
                </w:tcPr>
                <w:p w14:paraId="6312C411">
                  <w:pPr>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54.05</w:t>
                  </w:r>
                </w:p>
              </w:tc>
              <w:tc>
                <w:tcPr>
                  <w:tcW w:w="1065" w:type="dxa"/>
                  <w:tcBorders>
                    <w:top w:val="single" w:color="auto" w:sz="6" w:space="0"/>
                    <w:left w:val="single" w:color="auto" w:sz="6" w:space="0"/>
                    <w:bottom w:val="single" w:color="auto" w:sz="4" w:space="0"/>
                    <w:right w:val="single" w:color="auto" w:sz="6" w:space="0"/>
                  </w:tcBorders>
                  <w:vAlign w:val="center"/>
                </w:tcPr>
                <w:p w14:paraId="5639539E">
                  <w:pPr>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52.15</w:t>
                  </w:r>
                </w:p>
              </w:tc>
              <w:tc>
                <w:tcPr>
                  <w:tcW w:w="1057" w:type="dxa"/>
                  <w:tcBorders>
                    <w:top w:val="single" w:color="auto" w:sz="6" w:space="0"/>
                    <w:left w:val="single" w:color="auto" w:sz="6" w:space="0"/>
                    <w:bottom w:val="single" w:color="auto" w:sz="4" w:space="0"/>
                    <w:right w:val="single" w:color="auto" w:sz="4" w:space="0"/>
                  </w:tcBorders>
                  <w:vAlign w:val="center"/>
                </w:tcPr>
                <w:p w14:paraId="6EA20079">
                  <w:pPr>
                    <w:spacing w:line="400" w:lineRule="exact"/>
                    <w:jc w:val="center"/>
                    <w:rPr>
                      <w:rFonts w:hint="eastAsia" w:ascii="宋体" w:hAnsi="宋体" w:eastAsia="宋体" w:cs="宋体"/>
                      <w:color w:val="auto"/>
                      <w:lang w:val="en-US"/>
                    </w:rPr>
                  </w:pPr>
                  <w:r>
                    <w:rPr>
                      <w:rFonts w:hint="eastAsia" w:ascii="宋体" w:hAnsi="宋体" w:eastAsia="宋体" w:cs="宋体"/>
                      <w:color w:val="auto"/>
                      <w:lang w:val="en-US" w:eastAsia="zh-CN"/>
                    </w:rPr>
                    <w:t>46.13</w:t>
                  </w:r>
                </w:p>
              </w:tc>
            </w:tr>
          </w:tbl>
          <w:p w14:paraId="490C1919">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szCs w:val="24"/>
              </w:rPr>
              <w:t>由上表中的预测数据可知：项目设备运行时产生的噪声通过</w:t>
            </w:r>
            <w:r>
              <w:rPr>
                <w:rFonts w:hint="eastAsia" w:ascii="宋体" w:hAnsi="宋体" w:cs="宋体"/>
                <w:color w:val="auto"/>
                <w:sz w:val="24"/>
                <w:szCs w:val="24"/>
                <w:lang w:eastAsia="zh-CN"/>
              </w:rPr>
              <w:t>设置减震垫、</w:t>
            </w:r>
            <w:r>
              <w:rPr>
                <w:rFonts w:hint="eastAsia" w:ascii="宋体" w:hAnsi="宋体" w:eastAsia="宋体" w:cs="宋体"/>
                <w:color w:val="auto"/>
                <w:sz w:val="24"/>
                <w:szCs w:val="24"/>
              </w:rPr>
              <w:t>厂房隔声、距离衰减后，昼间项目各厂界的噪声值均能达到《工业企业厂界环境噪声排放标准》（GB12348-2008）2类标准；</w:t>
            </w:r>
            <w:r>
              <w:rPr>
                <w:rFonts w:hint="eastAsia" w:ascii="宋体" w:hAnsi="宋体" w:eastAsia="宋体" w:cs="宋体"/>
                <w:color w:val="auto"/>
                <w:kern w:val="0"/>
                <w:sz w:val="24"/>
                <w:szCs w:val="24"/>
              </w:rPr>
              <w:t>即：昼间＜60dB(A)，</w:t>
            </w:r>
            <w:r>
              <w:rPr>
                <w:rFonts w:hint="eastAsia" w:ascii="宋体" w:hAnsi="宋体" w:eastAsia="宋体" w:cs="宋体"/>
                <w:color w:val="auto"/>
                <w:kern w:val="0"/>
                <w:sz w:val="24"/>
                <w:szCs w:val="24"/>
                <w:lang w:eastAsia="zh-CN"/>
              </w:rPr>
              <w:t>项目夜间不进行生产</w:t>
            </w:r>
            <w:r>
              <w:rPr>
                <w:rFonts w:hint="eastAsia" w:ascii="宋体" w:hAnsi="宋体" w:eastAsia="宋体" w:cs="宋体"/>
                <w:color w:val="auto"/>
                <w:kern w:val="0"/>
                <w:sz w:val="24"/>
                <w:szCs w:val="24"/>
              </w:rPr>
              <w:t>。</w:t>
            </w:r>
          </w:p>
          <w:p w14:paraId="52F1DD59">
            <w:pPr>
              <w:autoSpaceDE w:val="0"/>
              <w:autoSpaceDN w:val="0"/>
              <w:adjustRightInd w:val="0"/>
              <w:spacing w:line="360" w:lineRule="auto"/>
              <w:ind w:firstLine="480" w:firstLineChars="200"/>
              <w:jc w:val="left"/>
              <w:rPr>
                <w:rFonts w:hint="eastAsia"/>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color w:val="auto"/>
                <w:sz w:val="24"/>
              </w:rPr>
              <w:t>敏感点噪声预测结果</w:t>
            </w:r>
          </w:p>
          <w:p w14:paraId="2E38546B">
            <w:pPr>
              <w:pStyle w:val="56"/>
              <w:adjustRightInd w:val="0"/>
              <w:snapToGrid w:val="0"/>
              <w:spacing w:line="360" w:lineRule="auto"/>
              <w:ind w:firstLine="480" w:firstLineChars="200"/>
              <w:rPr>
                <w:bCs/>
                <w:color w:val="auto"/>
                <w:sz w:val="24"/>
                <w:szCs w:val="24"/>
              </w:rPr>
            </w:pPr>
            <w:r>
              <w:rPr>
                <w:rFonts w:hint="eastAsia" w:ascii="宋体" w:hAnsi="宋体"/>
                <w:bCs/>
                <w:color w:val="auto"/>
                <w:sz w:val="24"/>
                <w:szCs w:val="24"/>
              </w:rPr>
              <w:t>本项目夜间不进行生产，所以</w:t>
            </w:r>
            <w:r>
              <w:rPr>
                <w:rFonts w:hint="eastAsia" w:ascii="宋体" w:hAnsi="宋体"/>
                <w:bCs/>
                <w:color w:val="auto"/>
                <w:sz w:val="24"/>
                <w:szCs w:val="24"/>
                <w:lang w:eastAsia="zh-CN"/>
              </w:rPr>
              <w:t>只对昼间噪声值预测，项目所在区域没有大型工业企业，周边噪声环境质量良好。周边声环境质量能够满足《声环境质量标准》（</w:t>
            </w:r>
            <w:r>
              <w:rPr>
                <w:rFonts w:hint="eastAsia" w:ascii="宋体" w:hAnsi="宋体"/>
                <w:bCs/>
                <w:color w:val="auto"/>
                <w:sz w:val="24"/>
                <w:szCs w:val="24"/>
                <w:lang w:val="en-US" w:eastAsia="zh-CN"/>
              </w:rPr>
              <w:t>GB3096-2008</w:t>
            </w:r>
            <w:r>
              <w:rPr>
                <w:rFonts w:hint="eastAsia" w:ascii="宋体" w:hAnsi="宋体"/>
                <w:bCs/>
                <w:color w:val="auto"/>
                <w:sz w:val="24"/>
                <w:szCs w:val="24"/>
                <w:lang w:eastAsia="zh-CN"/>
              </w:rPr>
              <w:t>）中</w:t>
            </w:r>
            <w:r>
              <w:rPr>
                <w:rFonts w:hint="eastAsia" w:ascii="宋体" w:hAnsi="宋体"/>
                <w:bCs/>
                <w:color w:val="auto"/>
                <w:sz w:val="24"/>
                <w:szCs w:val="24"/>
                <w:lang w:val="en-US" w:eastAsia="zh-CN"/>
              </w:rPr>
              <w:t>2类标准，即昼间≤60dB(A),（本项目背景值引用最大噪声值55dB(A)）</w:t>
            </w:r>
            <w:r>
              <w:rPr>
                <w:rFonts w:hint="eastAsia" w:ascii="宋体" w:hAnsi="宋体"/>
                <w:bCs/>
                <w:color w:val="auto"/>
                <w:sz w:val="24"/>
                <w:szCs w:val="24"/>
              </w:rPr>
              <w:t>。</w:t>
            </w:r>
          </w:p>
          <w:p w14:paraId="725D5393">
            <w:pPr>
              <w:pStyle w:val="56"/>
              <w:spacing w:line="360" w:lineRule="auto"/>
              <w:ind w:firstLine="480" w:firstLineChars="200"/>
              <w:rPr>
                <w:rFonts w:hint="eastAsia" w:ascii="宋体" w:hAnsi="宋体"/>
                <w:b/>
                <w:color w:val="auto"/>
                <w:sz w:val="24"/>
                <w:szCs w:val="24"/>
              </w:rPr>
            </w:pPr>
            <w:r>
              <w:rPr>
                <w:rFonts w:hint="eastAsia" w:ascii="宋体" w:hAnsi="宋体"/>
                <w:bCs/>
                <w:color w:val="auto"/>
                <w:sz w:val="24"/>
                <w:szCs w:val="24"/>
              </w:rPr>
              <w:t>敏感点处噪声预测结果见下表。</w:t>
            </w:r>
          </w:p>
          <w:p w14:paraId="744B279C">
            <w:pPr>
              <w:autoSpaceDE w:val="0"/>
              <w:autoSpaceDN w:val="0"/>
              <w:adjustRightInd w:val="0"/>
              <w:spacing w:line="360" w:lineRule="auto"/>
              <w:ind w:firstLine="482" w:firstLineChars="200"/>
              <w:jc w:val="center"/>
              <w:rPr>
                <w:rFonts w:ascii="宋体" w:hAnsi="宋体"/>
                <w:b/>
                <w:color w:val="auto"/>
                <w:sz w:val="24"/>
                <w:szCs w:val="24"/>
              </w:rPr>
            </w:pPr>
            <w:r>
              <w:rPr>
                <w:rFonts w:hint="eastAsia" w:ascii="宋体" w:hAnsi="宋体"/>
                <w:b/>
                <w:color w:val="auto"/>
                <w:sz w:val="24"/>
                <w:szCs w:val="24"/>
              </w:rPr>
              <w:t>表</w:t>
            </w:r>
            <w:r>
              <w:rPr>
                <w:rFonts w:hint="eastAsia" w:ascii="宋体" w:hAnsi="宋体"/>
                <w:b/>
                <w:color w:val="auto"/>
                <w:sz w:val="24"/>
                <w:szCs w:val="24"/>
                <w:lang w:val="en-US" w:eastAsia="zh-CN"/>
              </w:rPr>
              <w:t>7-9</w:t>
            </w:r>
            <w:r>
              <w:rPr>
                <w:rFonts w:hint="eastAsia" w:ascii="宋体" w:hAnsi="宋体"/>
                <w:b/>
                <w:color w:val="auto"/>
                <w:sz w:val="24"/>
                <w:szCs w:val="24"/>
              </w:rPr>
              <w:t>环境敏感点处噪声预测结果</w:t>
            </w:r>
            <w:r>
              <w:rPr>
                <w:rFonts w:hint="eastAsia" w:ascii="宋体" w:hAnsi="宋体"/>
                <w:b/>
                <w:color w:val="auto"/>
                <w:sz w:val="24"/>
                <w:szCs w:val="24"/>
              </w:rPr>
              <w:tab/>
            </w:r>
            <w:r>
              <w:rPr>
                <w:rFonts w:hint="eastAsia" w:ascii="宋体" w:hAnsi="宋体"/>
                <w:b/>
                <w:color w:val="auto"/>
                <w:sz w:val="24"/>
                <w:szCs w:val="24"/>
              </w:rPr>
              <w:t>单位：dB(A)</w:t>
            </w:r>
          </w:p>
          <w:tbl>
            <w:tblPr>
              <w:tblStyle w:val="24"/>
              <w:tblW w:w="905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55"/>
              <w:gridCol w:w="925"/>
              <w:gridCol w:w="877"/>
              <w:gridCol w:w="910"/>
              <w:gridCol w:w="1212"/>
              <w:gridCol w:w="2740"/>
              <w:gridCol w:w="732"/>
            </w:tblGrid>
            <w:tr w14:paraId="13B84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655" w:type="dxa"/>
                  <w:vAlign w:val="top"/>
                </w:tcPr>
                <w:p w14:paraId="286533D7">
                  <w:pPr>
                    <w:pStyle w:val="33"/>
                    <w:spacing w:before="5" w:line="150" w:lineRule="exact"/>
                    <w:jc w:val="center"/>
                    <w:rPr>
                      <w:rFonts w:hint="eastAsia" w:ascii="宋体" w:hAnsi="宋体" w:eastAsia="宋体" w:cs="宋体"/>
                      <w:bCs/>
                      <w:color w:val="auto"/>
                      <w:sz w:val="21"/>
                      <w:szCs w:val="21"/>
                    </w:rPr>
                  </w:pPr>
                </w:p>
                <w:p w14:paraId="5451880C">
                  <w:pPr>
                    <w:pStyle w:val="33"/>
                    <w:spacing w:line="200" w:lineRule="exact"/>
                    <w:jc w:val="center"/>
                    <w:rPr>
                      <w:rFonts w:hint="eastAsia" w:ascii="宋体" w:hAnsi="宋体" w:eastAsia="宋体" w:cs="宋体"/>
                      <w:bCs/>
                      <w:color w:val="auto"/>
                      <w:sz w:val="21"/>
                      <w:szCs w:val="21"/>
                    </w:rPr>
                  </w:pPr>
                </w:p>
                <w:p w14:paraId="7158A6DA">
                  <w:pPr>
                    <w:pStyle w:val="33"/>
                    <w:ind w:left="414"/>
                    <w:jc w:val="center"/>
                    <w:rPr>
                      <w:rFonts w:hint="eastAsia" w:ascii="宋体" w:hAnsi="宋体" w:eastAsia="宋体" w:cs="宋体"/>
                      <w:bCs/>
                      <w:color w:val="auto"/>
                      <w:sz w:val="21"/>
                      <w:szCs w:val="21"/>
                    </w:rPr>
                  </w:pPr>
                  <w:r>
                    <w:rPr>
                      <w:rFonts w:hint="eastAsia" w:ascii="宋体" w:hAnsi="宋体" w:eastAsia="宋体" w:cs="宋体"/>
                      <w:bCs/>
                      <w:color w:val="auto"/>
                      <w:spacing w:val="-3"/>
                      <w:sz w:val="21"/>
                      <w:szCs w:val="21"/>
                    </w:rPr>
                    <w:t>预测点</w:t>
                  </w:r>
                </w:p>
              </w:tc>
              <w:tc>
                <w:tcPr>
                  <w:tcW w:w="925" w:type="dxa"/>
                  <w:vAlign w:val="top"/>
                </w:tcPr>
                <w:p w14:paraId="34359B9C">
                  <w:pPr>
                    <w:pStyle w:val="33"/>
                    <w:spacing w:before="9" w:line="190" w:lineRule="exact"/>
                    <w:jc w:val="center"/>
                    <w:rPr>
                      <w:rFonts w:hint="eastAsia" w:ascii="宋体" w:hAnsi="宋体" w:eastAsia="宋体" w:cs="宋体"/>
                      <w:bCs/>
                      <w:color w:val="auto"/>
                      <w:sz w:val="21"/>
                      <w:szCs w:val="21"/>
                    </w:rPr>
                  </w:pPr>
                </w:p>
                <w:p w14:paraId="2A40C173">
                  <w:pPr>
                    <w:pStyle w:val="33"/>
                    <w:jc w:val="center"/>
                    <w:rPr>
                      <w:rFonts w:hint="eastAsia" w:ascii="宋体" w:hAnsi="宋体" w:eastAsia="宋体" w:cs="宋体"/>
                      <w:bCs/>
                      <w:color w:val="auto"/>
                      <w:sz w:val="21"/>
                      <w:szCs w:val="21"/>
                    </w:rPr>
                  </w:pPr>
                  <w:r>
                    <w:rPr>
                      <w:rFonts w:hint="eastAsia" w:ascii="宋体" w:hAnsi="宋体" w:eastAsia="宋体" w:cs="宋体"/>
                      <w:bCs/>
                      <w:color w:val="auto"/>
                      <w:spacing w:val="-3"/>
                      <w:sz w:val="21"/>
                      <w:szCs w:val="21"/>
                      <w:lang w:val="en-US" w:eastAsia="zh-CN"/>
                    </w:rPr>
                    <w:t>与噪声源距离</w:t>
                  </w:r>
                </w:p>
              </w:tc>
              <w:tc>
                <w:tcPr>
                  <w:tcW w:w="877" w:type="dxa"/>
                  <w:vAlign w:val="top"/>
                </w:tcPr>
                <w:p w14:paraId="4BAA7486">
                  <w:pPr>
                    <w:pStyle w:val="33"/>
                    <w:spacing w:before="40"/>
                    <w:jc w:val="both"/>
                    <w:rPr>
                      <w:rFonts w:hint="eastAsia" w:ascii="宋体" w:hAnsi="宋体" w:eastAsia="宋体" w:cs="宋体"/>
                      <w:bCs/>
                      <w:color w:val="auto"/>
                      <w:sz w:val="21"/>
                      <w:szCs w:val="21"/>
                      <w:lang w:val="en-US"/>
                    </w:rPr>
                  </w:pPr>
                  <w:r>
                    <w:rPr>
                      <w:rFonts w:hint="eastAsia" w:ascii="宋体" w:hAnsi="宋体" w:cs="宋体"/>
                      <w:bCs/>
                      <w:color w:val="auto"/>
                      <w:sz w:val="21"/>
                      <w:szCs w:val="21"/>
                      <w:lang w:val="en-US" w:eastAsia="zh-CN"/>
                    </w:rPr>
                    <w:t>贡献</w:t>
                  </w:r>
                  <w:r>
                    <w:rPr>
                      <w:rFonts w:hint="eastAsia" w:ascii="宋体" w:hAnsi="宋体" w:eastAsia="宋体" w:cs="宋体"/>
                      <w:bCs/>
                      <w:color w:val="auto"/>
                      <w:sz w:val="21"/>
                      <w:szCs w:val="21"/>
                      <w:lang w:val="en-US"/>
                    </w:rPr>
                    <w:t>值</w:t>
                  </w:r>
                </w:p>
              </w:tc>
              <w:tc>
                <w:tcPr>
                  <w:tcW w:w="910" w:type="dxa"/>
                  <w:vAlign w:val="top"/>
                </w:tcPr>
                <w:p w14:paraId="34655A62">
                  <w:pPr>
                    <w:pStyle w:val="33"/>
                    <w:spacing w:before="40"/>
                    <w:jc w:val="both"/>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背景值</w:t>
                  </w:r>
                </w:p>
              </w:tc>
              <w:tc>
                <w:tcPr>
                  <w:tcW w:w="1212" w:type="dxa"/>
                  <w:vAlign w:val="top"/>
                </w:tcPr>
                <w:p w14:paraId="0B14EC98">
                  <w:pPr>
                    <w:pStyle w:val="33"/>
                    <w:spacing w:before="40"/>
                    <w:ind w:left="0" w:leftChars="0" w:firstLine="210" w:firstLineChars="100"/>
                    <w:jc w:val="both"/>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预测值</w:t>
                  </w:r>
                </w:p>
              </w:tc>
              <w:tc>
                <w:tcPr>
                  <w:tcW w:w="2740" w:type="dxa"/>
                  <w:vAlign w:val="top"/>
                </w:tcPr>
                <w:p w14:paraId="12355255">
                  <w:pPr>
                    <w:pStyle w:val="33"/>
                    <w:spacing w:line="261" w:lineRule="exact"/>
                    <w:ind w:left="105"/>
                    <w:jc w:val="left"/>
                    <w:rPr>
                      <w:rFonts w:hint="eastAsia" w:ascii="宋体" w:hAnsi="宋体" w:eastAsia="宋体" w:cs="宋体"/>
                      <w:bCs/>
                      <w:color w:val="auto"/>
                      <w:sz w:val="21"/>
                      <w:szCs w:val="21"/>
                    </w:rPr>
                  </w:pPr>
                  <w:r>
                    <w:rPr>
                      <w:rFonts w:hint="eastAsia" w:ascii="宋体" w:hAnsi="宋体" w:eastAsia="宋体" w:cs="宋体"/>
                      <w:bCs/>
                      <w:color w:val="auto"/>
                      <w:spacing w:val="-5"/>
                      <w:sz w:val="21"/>
                      <w:szCs w:val="21"/>
                    </w:rPr>
                    <w:t>《声环境质量标准》</w:t>
                  </w:r>
                </w:p>
                <w:p w14:paraId="495BCA57">
                  <w:pPr>
                    <w:pStyle w:val="33"/>
                    <w:spacing w:before="40"/>
                    <w:ind w:left="4"/>
                    <w:jc w:val="left"/>
                    <w:rPr>
                      <w:rFonts w:hint="eastAsia" w:ascii="宋体" w:hAnsi="宋体" w:eastAsia="宋体" w:cs="宋体"/>
                      <w:bCs/>
                      <w:color w:val="auto"/>
                      <w:spacing w:val="-3"/>
                      <w:sz w:val="21"/>
                      <w:szCs w:val="21"/>
                    </w:rPr>
                  </w:pPr>
                  <w:r>
                    <w:rPr>
                      <w:rFonts w:hint="eastAsia" w:ascii="宋体" w:hAnsi="宋体" w:eastAsia="宋体" w:cs="宋体"/>
                      <w:bCs/>
                      <w:color w:val="auto"/>
                      <w:spacing w:val="-3"/>
                      <w:sz w:val="21"/>
                      <w:szCs w:val="21"/>
                    </w:rPr>
                    <w:t>（</w:t>
                  </w:r>
                  <w:r>
                    <w:rPr>
                      <w:rFonts w:hint="eastAsia" w:ascii="宋体" w:hAnsi="宋体" w:eastAsia="宋体" w:cs="宋体"/>
                      <w:bCs/>
                      <w:color w:val="auto"/>
                      <w:spacing w:val="-4"/>
                      <w:sz w:val="21"/>
                      <w:szCs w:val="21"/>
                    </w:rPr>
                    <w:t>G</w:t>
                  </w:r>
                  <w:r>
                    <w:rPr>
                      <w:rFonts w:hint="eastAsia" w:ascii="宋体" w:hAnsi="宋体" w:eastAsia="宋体" w:cs="宋体"/>
                      <w:bCs/>
                      <w:color w:val="auto"/>
                      <w:sz w:val="21"/>
                      <w:szCs w:val="21"/>
                    </w:rPr>
                    <w:t>B</w:t>
                  </w:r>
                  <w:r>
                    <w:rPr>
                      <w:rFonts w:hint="eastAsia" w:ascii="宋体" w:hAnsi="宋体" w:eastAsia="宋体" w:cs="宋体"/>
                      <w:bCs/>
                      <w:color w:val="auto"/>
                      <w:spacing w:val="-3"/>
                      <w:sz w:val="21"/>
                      <w:szCs w:val="21"/>
                    </w:rPr>
                    <w:t>309</w:t>
                  </w:r>
                  <w:r>
                    <w:rPr>
                      <w:rFonts w:hint="eastAsia" w:ascii="宋体" w:hAnsi="宋体" w:eastAsia="宋体" w:cs="宋体"/>
                      <w:bCs/>
                      <w:color w:val="auto"/>
                      <w:spacing w:val="-5"/>
                      <w:sz w:val="21"/>
                      <w:szCs w:val="21"/>
                    </w:rPr>
                    <w:t>6</w:t>
                  </w:r>
                  <w:r>
                    <w:rPr>
                      <w:rFonts w:hint="eastAsia" w:ascii="宋体" w:hAnsi="宋体" w:eastAsia="宋体" w:cs="宋体"/>
                      <w:bCs/>
                      <w:color w:val="auto"/>
                      <w:spacing w:val="-3"/>
                      <w:sz w:val="21"/>
                      <w:szCs w:val="21"/>
                    </w:rPr>
                    <w:t>-200</w:t>
                  </w:r>
                  <w:r>
                    <w:rPr>
                      <w:rFonts w:hint="eastAsia" w:ascii="宋体" w:hAnsi="宋体" w:eastAsia="宋体" w:cs="宋体"/>
                      <w:bCs/>
                      <w:color w:val="auto"/>
                      <w:spacing w:val="-6"/>
                      <w:sz w:val="21"/>
                      <w:szCs w:val="21"/>
                    </w:rPr>
                    <w:t>8</w:t>
                  </w:r>
                  <w:r>
                    <w:rPr>
                      <w:rFonts w:hint="eastAsia" w:ascii="宋体" w:hAnsi="宋体" w:eastAsia="宋体" w:cs="宋体"/>
                      <w:bCs/>
                      <w:color w:val="auto"/>
                      <w:spacing w:val="-70"/>
                      <w:sz w:val="21"/>
                      <w:szCs w:val="21"/>
                    </w:rPr>
                    <w:t>）</w:t>
                  </w:r>
                  <w:r>
                    <w:rPr>
                      <w:rFonts w:hint="eastAsia" w:ascii="宋体" w:hAnsi="宋体" w:eastAsia="宋体" w:cs="宋体"/>
                      <w:bCs/>
                      <w:color w:val="auto"/>
                      <w:sz w:val="21"/>
                      <w:szCs w:val="21"/>
                    </w:rPr>
                    <w:t>中</w:t>
                  </w:r>
                  <w:r>
                    <w:rPr>
                      <w:rFonts w:hint="eastAsia" w:ascii="宋体" w:hAnsi="宋体" w:eastAsia="宋体" w:cs="宋体"/>
                      <w:bCs/>
                      <w:color w:val="auto"/>
                      <w:sz w:val="21"/>
                      <w:szCs w:val="21"/>
                      <w:lang w:val="en-US"/>
                    </w:rPr>
                    <w:t>2</w:t>
                  </w:r>
                  <w:r>
                    <w:rPr>
                      <w:rFonts w:hint="eastAsia" w:ascii="宋体" w:hAnsi="宋体" w:eastAsia="宋体" w:cs="宋体"/>
                      <w:bCs/>
                      <w:color w:val="auto"/>
                      <w:sz w:val="21"/>
                      <w:szCs w:val="21"/>
                    </w:rPr>
                    <w:t>类</w:t>
                  </w:r>
                  <w:r>
                    <w:rPr>
                      <w:rFonts w:hint="eastAsia" w:ascii="宋体" w:hAnsi="宋体" w:eastAsia="宋体" w:cs="宋体"/>
                      <w:bCs/>
                      <w:color w:val="auto"/>
                      <w:spacing w:val="-3"/>
                      <w:sz w:val="21"/>
                      <w:szCs w:val="21"/>
                    </w:rPr>
                    <w:t>昼间</w:t>
                  </w:r>
                </w:p>
              </w:tc>
              <w:tc>
                <w:tcPr>
                  <w:tcW w:w="732" w:type="dxa"/>
                  <w:vAlign w:val="top"/>
                </w:tcPr>
                <w:p w14:paraId="5569CFD0">
                  <w:pPr>
                    <w:pStyle w:val="33"/>
                    <w:spacing w:before="42"/>
                    <w:jc w:val="both"/>
                    <w:rPr>
                      <w:rFonts w:hint="eastAsia" w:ascii="宋体" w:hAnsi="宋体" w:eastAsia="宋体" w:cs="宋体"/>
                      <w:bCs/>
                      <w:color w:val="auto"/>
                      <w:spacing w:val="-3"/>
                      <w:sz w:val="21"/>
                      <w:szCs w:val="21"/>
                      <w:lang w:val="en-US" w:eastAsia="zh-CN"/>
                    </w:rPr>
                  </w:pPr>
                  <w:r>
                    <w:rPr>
                      <w:rFonts w:hint="eastAsia" w:ascii="宋体" w:hAnsi="宋体" w:eastAsia="宋体" w:cs="宋体"/>
                      <w:bCs/>
                      <w:color w:val="auto"/>
                      <w:spacing w:val="-3"/>
                      <w:sz w:val="21"/>
                      <w:szCs w:val="21"/>
                      <w:lang w:val="en-US" w:eastAsia="zh-CN"/>
                    </w:rPr>
                    <w:t>评价</w:t>
                  </w:r>
                </w:p>
              </w:tc>
            </w:tr>
            <w:tr w14:paraId="1C4B5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1655" w:type="dxa"/>
                  <w:vAlign w:val="center"/>
                </w:tcPr>
                <w:p w14:paraId="44FC4C16">
                  <w:pPr>
                    <w:spacing w:line="240" w:lineRule="auto"/>
                    <w:jc w:val="center"/>
                    <w:rPr>
                      <w:rFonts w:hint="eastAsia" w:ascii="宋体" w:hAnsi="宋体" w:eastAsia="宋体" w:cs="宋体"/>
                      <w:bCs/>
                      <w:color w:val="auto"/>
                      <w:sz w:val="21"/>
                      <w:szCs w:val="21"/>
                      <w:lang w:eastAsia="zh-CN"/>
                    </w:rPr>
                  </w:pPr>
                  <w:r>
                    <w:rPr>
                      <w:rFonts w:hint="eastAsia" w:ascii="宋体" w:hAnsi="宋体" w:eastAsia="宋体" w:cs="宋体"/>
                      <w:color w:val="auto"/>
                      <w:sz w:val="21"/>
                      <w:szCs w:val="21"/>
                      <w:lang w:eastAsia="zh-CN"/>
                    </w:rPr>
                    <w:t>遮相分场一队</w:t>
                  </w:r>
                </w:p>
              </w:tc>
              <w:tc>
                <w:tcPr>
                  <w:tcW w:w="925" w:type="dxa"/>
                  <w:vAlign w:val="center"/>
                </w:tcPr>
                <w:p w14:paraId="6455C143">
                  <w:pPr>
                    <w:tabs>
                      <w:tab w:val="left" w:pos="615"/>
                    </w:tabs>
                    <w:adjustRightInd w:val="0"/>
                    <w:snapToGrid w:val="0"/>
                    <w:spacing w:line="240" w:lineRule="auto"/>
                    <w:jc w:val="center"/>
                    <w:rPr>
                      <w:rFonts w:hint="eastAsia" w:ascii="宋体" w:hAnsi="宋体" w:eastAsia="宋体" w:cs="宋体"/>
                      <w:bCs/>
                      <w:color w:val="auto"/>
                      <w:sz w:val="21"/>
                      <w:szCs w:val="21"/>
                    </w:rPr>
                  </w:pP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m</w:t>
                  </w:r>
                </w:p>
              </w:tc>
              <w:tc>
                <w:tcPr>
                  <w:tcW w:w="877" w:type="dxa"/>
                  <w:vAlign w:val="top"/>
                </w:tcPr>
                <w:p w14:paraId="3BFD86B8">
                  <w:pPr>
                    <w:pStyle w:val="33"/>
                    <w:spacing w:line="261" w:lineRule="exact"/>
                    <w:rPr>
                      <w:rFonts w:hint="eastAsia" w:ascii="宋体" w:hAnsi="宋体" w:eastAsia="宋体" w:cs="宋体"/>
                      <w:bCs/>
                      <w:color w:val="auto"/>
                      <w:sz w:val="21"/>
                      <w:szCs w:val="21"/>
                      <w:lang w:val="en-US" w:eastAsia="zh-CN"/>
                    </w:rPr>
                  </w:pPr>
                  <w:r>
                    <w:rPr>
                      <w:rFonts w:hint="eastAsia" w:ascii="宋体" w:hAnsi="宋体" w:eastAsia="宋体" w:cs="宋体"/>
                      <w:bCs/>
                      <w:color w:val="auto"/>
                      <w:spacing w:val="-3"/>
                      <w:sz w:val="21"/>
                      <w:szCs w:val="21"/>
                      <w:lang w:val="en-US" w:eastAsia="zh-CN"/>
                    </w:rPr>
                    <w:t>48.62</w:t>
                  </w:r>
                </w:p>
              </w:tc>
              <w:tc>
                <w:tcPr>
                  <w:tcW w:w="910" w:type="dxa"/>
                  <w:vAlign w:val="center"/>
                </w:tcPr>
                <w:p w14:paraId="5749F4C5">
                  <w:pPr>
                    <w:pStyle w:val="33"/>
                    <w:spacing w:line="261" w:lineRule="exact"/>
                    <w:ind w:left="303"/>
                    <w:rPr>
                      <w:rFonts w:hint="default" w:ascii="宋体" w:hAnsi="宋体" w:eastAsia="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w:t>
                  </w:r>
                </w:p>
              </w:tc>
              <w:tc>
                <w:tcPr>
                  <w:tcW w:w="1212" w:type="dxa"/>
                  <w:vAlign w:val="center"/>
                </w:tcPr>
                <w:p w14:paraId="7390A91A">
                  <w:pPr>
                    <w:pStyle w:val="33"/>
                    <w:spacing w:line="261" w:lineRule="exact"/>
                    <w:ind w:left="303"/>
                    <w:rPr>
                      <w:rFonts w:hint="default" w:ascii="宋体" w:hAnsi="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55.9</w:t>
                  </w:r>
                </w:p>
              </w:tc>
              <w:tc>
                <w:tcPr>
                  <w:tcW w:w="2740" w:type="dxa"/>
                  <w:vAlign w:val="center"/>
                </w:tcPr>
                <w:p w14:paraId="31F46A9D">
                  <w:pPr>
                    <w:pStyle w:val="33"/>
                    <w:ind w:right="1"/>
                    <w:jc w:val="center"/>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rPr>
                    <w:t>60</w:t>
                  </w:r>
                </w:p>
              </w:tc>
              <w:tc>
                <w:tcPr>
                  <w:tcW w:w="732" w:type="dxa"/>
                  <w:vAlign w:val="center"/>
                </w:tcPr>
                <w:p w14:paraId="75455A1C">
                  <w:pPr>
                    <w:ind w:right="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达标</w:t>
                  </w:r>
                </w:p>
              </w:tc>
            </w:tr>
            <w:tr w14:paraId="0C96D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655" w:type="dxa"/>
                  <w:vAlign w:val="center"/>
                </w:tcPr>
                <w:p w14:paraId="65487A43">
                  <w:pPr>
                    <w:spacing w:line="240" w:lineRule="auto"/>
                    <w:jc w:val="center"/>
                    <w:rPr>
                      <w:rFonts w:hint="eastAsia" w:ascii="宋体" w:hAnsi="宋体" w:eastAsia="宋体" w:cs="宋体"/>
                      <w:bCs/>
                      <w:color w:val="auto"/>
                      <w:sz w:val="21"/>
                      <w:szCs w:val="21"/>
                    </w:rPr>
                  </w:pPr>
                  <w:r>
                    <w:rPr>
                      <w:rFonts w:hint="eastAsia" w:ascii="宋体" w:hAnsi="宋体" w:eastAsia="宋体" w:cs="宋体"/>
                      <w:color w:val="auto"/>
                      <w:sz w:val="21"/>
                      <w:szCs w:val="21"/>
                      <w:lang w:eastAsia="zh-CN"/>
                    </w:rPr>
                    <w:t>遮相分场十五队</w:t>
                  </w:r>
                </w:p>
              </w:tc>
              <w:tc>
                <w:tcPr>
                  <w:tcW w:w="925" w:type="dxa"/>
                  <w:vAlign w:val="center"/>
                </w:tcPr>
                <w:p w14:paraId="06CBA9CB">
                  <w:pPr>
                    <w:spacing w:line="240" w:lineRule="auto"/>
                    <w:jc w:val="center"/>
                    <w:rPr>
                      <w:rFonts w:hint="eastAsia" w:ascii="宋体" w:hAnsi="宋体" w:eastAsia="宋体" w:cs="宋体"/>
                      <w:bCs/>
                      <w:color w:val="auto"/>
                      <w:spacing w:val="-3"/>
                      <w:sz w:val="21"/>
                      <w:szCs w:val="21"/>
                      <w:lang w:eastAsia="zh-CN"/>
                    </w:rPr>
                  </w:pPr>
                  <w:r>
                    <w:rPr>
                      <w:rFonts w:hint="eastAsia" w:ascii="宋体" w:hAnsi="宋体" w:eastAsia="宋体" w:cs="宋体"/>
                      <w:color w:val="auto"/>
                      <w:sz w:val="21"/>
                      <w:szCs w:val="21"/>
                      <w:lang w:val="en-US" w:eastAsia="zh-CN"/>
                    </w:rPr>
                    <w:t>60m</w:t>
                  </w:r>
                </w:p>
              </w:tc>
              <w:tc>
                <w:tcPr>
                  <w:tcW w:w="877" w:type="dxa"/>
                  <w:vAlign w:val="top"/>
                </w:tcPr>
                <w:p w14:paraId="456DABE4">
                  <w:pPr>
                    <w:pStyle w:val="33"/>
                    <w:spacing w:line="261" w:lineRule="exact"/>
                    <w:rPr>
                      <w:rFonts w:hint="eastAsia" w:ascii="宋体" w:hAnsi="宋体" w:eastAsia="宋体" w:cs="宋体"/>
                      <w:bCs/>
                      <w:color w:val="auto"/>
                      <w:sz w:val="21"/>
                      <w:szCs w:val="21"/>
                      <w:lang w:val="en-US" w:eastAsia="zh-CN"/>
                    </w:rPr>
                  </w:pPr>
                  <w:r>
                    <w:rPr>
                      <w:rFonts w:hint="eastAsia" w:ascii="宋体" w:hAnsi="宋体" w:eastAsia="宋体" w:cs="宋体"/>
                      <w:bCs/>
                      <w:color w:val="auto"/>
                      <w:spacing w:val="-3"/>
                      <w:sz w:val="21"/>
                      <w:szCs w:val="21"/>
                      <w:lang w:val="en-US" w:eastAsia="zh-CN"/>
                    </w:rPr>
                    <w:t>36.58</w:t>
                  </w:r>
                </w:p>
              </w:tc>
              <w:tc>
                <w:tcPr>
                  <w:tcW w:w="910" w:type="dxa"/>
                  <w:vAlign w:val="top"/>
                </w:tcPr>
                <w:p w14:paraId="29DFF682">
                  <w:pPr>
                    <w:pStyle w:val="33"/>
                    <w:spacing w:line="261" w:lineRule="exact"/>
                    <w:ind w:left="303"/>
                    <w:rPr>
                      <w:rFonts w:hint="default" w:ascii="宋体" w:hAnsi="宋体" w:eastAsia="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w:t>
                  </w:r>
                </w:p>
              </w:tc>
              <w:tc>
                <w:tcPr>
                  <w:tcW w:w="1212" w:type="dxa"/>
                  <w:vAlign w:val="top"/>
                </w:tcPr>
                <w:p w14:paraId="47917A71">
                  <w:pPr>
                    <w:pStyle w:val="33"/>
                    <w:spacing w:line="261" w:lineRule="exact"/>
                    <w:ind w:left="303"/>
                    <w:rPr>
                      <w:rFonts w:hint="default" w:ascii="宋体" w:hAnsi="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55.06</w:t>
                  </w:r>
                </w:p>
              </w:tc>
              <w:tc>
                <w:tcPr>
                  <w:tcW w:w="2740" w:type="dxa"/>
                  <w:vAlign w:val="top"/>
                </w:tcPr>
                <w:p w14:paraId="530A0C12">
                  <w:pPr>
                    <w:pStyle w:val="33"/>
                    <w:ind w:right="1"/>
                    <w:jc w:val="center"/>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rPr>
                    <w:t>60</w:t>
                  </w:r>
                </w:p>
              </w:tc>
              <w:tc>
                <w:tcPr>
                  <w:tcW w:w="732" w:type="dxa"/>
                  <w:vAlign w:val="top"/>
                </w:tcPr>
                <w:p w14:paraId="10F3582C">
                  <w:pPr>
                    <w:ind w:right="1"/>
                    <w:jc w:val="center"/>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达标</w:t>
                  </w:r>
                </w:p>
              </w:tc>
            </w:tr>
            <w:tr w14:paraId="3A94A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655" w:type="dxa"/>
                  <w:vAlign w:val="center"/>
                </w:tcPr>
                <w:p w14:paraId="4B29CCAE">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遮相分场十五队</w:t>
                  </w:r>
                </w:p>
              </w:tc>
              <w:tc>
                <w:tcPr>
                  <w:tcW w:w="925" w:type="dxa"/>
                  <w:vAlign w:val="center"/>
                </w:tcPr>
                <w:p w14:paraId="71BBE1A8">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65m</w:t>
                  </w:r>
                </w:p>
              </w:tc>
              <w:tc>
                <w:tcPr>
                  <w:tcW w:w="877" w:type="dxa"/>
                  <w:vAlign w:val="top"/>
                </w:tcPr>
                <w:p w14:paraId="4F737E89">
                  <w:pPr>
                    <w:pStyle w:val="33"/>
                    <w:spacing w:line="261" w:lineRule="exact"/>
                    <w:rPr>
                      <w:rFonts w:hint="eastAsia" w:ascii="宋体" w:hAnsi="宋体" w:eastAsia="宋体" w:cs="宋体"/>
                      <w:bCs/>
                      <w:color w:val="auto"/>
                      <w:spacing w:val="-3"/>
                      <w:sz w:val="21"/>
                      <w:szCs w:val="21"/>
                      <w:lang w:val="en-US" w:eastAsia="zh-CN"/>
                    </w:rPr>
                  </w:pPr>
                  <w:r>
                    <w:rPr>
                      <w:rFonts w:hint="eastAsia" w:ascii="宋体" w:hAnsi="宋体" w:eastAsia="宋体" w:cs="宋体"/>
                      <w:bCs/>
                      <w:color w:val="auto"/>
                      <w:spacing w:val="-3"/>
                      <w:sz w:val="21"/>
                      <w:szCs w:val="21"/>
                      <w:lang w:val="en-US" w:eastAsia="zh-CN"/>
                    </w:rPr>
                    <w:t>35.89</w:t>
                  </w:r>
                </w:p>
              </w:tc>
              <w:tc>
                <w:tcPr>
                  <w:tcW w:w="910" w:type="dxa"/>
                  <w:vAlign w:val="top"/>
                </w:tcPr>
                <w:p w14:paraId="698B76DB">
                  <w:pPr>
                    <w:pStyle w:val="33"/>
                    <w:spacing w:line="261" w:lineRule="exact"/>
                    <w:ind w:left="303"/>
                    <w:rPr>
                      <w:rFonts w:hint="default" w:ascii="宋体" w:hAnsi="宋体" w:eastAsia="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w:t>
                  </w:r>
                </w:p>
              </w:tc>
              <w:tc>
                <w:tcPr>
                  <w:tcW w:w="1212" w:type="dxa"/>
                  <w:vAlign w:val="top"/>
                </w:tcPr>
                <w:p w14:paraId="418BE3C4">
                  <w:pPr>
                    <w:pStyle w:val="33"/>
                    <w:spacing w:line="261" w:lineRule="exact"/>
                    <w:ind w:left="303"/>
                    <w:rPr>
                      <w:rFonts w:hint="default" w:ascii="宋体" w:hAnsi="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55.05</w:t>
                  </w:r>
                </w:p>
              </w:tc>
              <w:tc>
                <w:tcPr>
                  <w:tcW w:w="2740" w:type="dxa"/>
                  <w:vAlign w:val="top"/>
                </w:tcPr>
                <w:p w14:paraId="787E006E">
                  <w:pPr>
                    <w:pStyle w:val="33"/>
                    <w:ind w:right="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60</w:t>
                  </w:r>
                </w:p>
              </w:tc>
              <w:tc>
                <w:tcPr>
                  <w:tcW w:w="732" w:type="dxa"/>
                  <w:vAlign w:val="top"/>
                </w:tcPr>
                <w:p w14:paraId="30C64841">
                  <w:pPr>
                    <w:ind w:right="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达标</w:t>
                  </w:r>
                </w:p>
              </w:tc>
            </w:tr>
            <w:tr w14:paraId="4AACD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1655" w:type="dxa"/>
                  <w:vAlign w:val="center"/>
                </w:tcPr>
                <w:p w14:paraId="29964B07">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平安村散户</w:t>
                  </w:r>
                </w:p>
              </w:tc>
              <w:tc>
                <w:tcPr>
                  <w:tcW w:w="925" w:type="dxa"/>
                  <w:vAlign w:val="center"/>
                </w:tcPr>
                <w:p w14:paraId="38C9057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65m</w:t>
                  </w:r>
                </w:p>
              </w:tc>
              <w:tc>
                <w:tcPr>
                  <w:tcW w:w="877" w:type="dxa"/>
                  <w:vAlign w:val="top"/>
                </w:tcPr>
                <w:p w14:paraId="12D7389F">
                  <w:pPr>
                    <w:pStyle w:val="33"/>
                    <w:spacing w:line="261" w:lineRule="exact"/>
                    <w:rPr>
                      <w:rFonts w:hint="eastAsia" w:ascii="宋体" w:hAnsi="宋体" w:eastAsia="宋体" w:cs="宋体"/>
                      <w:bCs/>
                      <w:color w:val="auto"/>
                      <w:spacing w:val="-3"/>
                      <w:sz w:val="21"/>
                      <w:szCs w:val="21"/>
                      <w:lang w:val="en-US" w:eastAsia="zh-CN"/>
                    </w:rPr>
                  </w:pPr>
                  <w:r>
                    <w:rPr>
                      <w:rFonts w:hint="eastAsia" w:ascii="宋体" w:hAnsi="宋体" w:eastAsia="宋体" w:cs="宋体"/>
                      <w:bCs/>
                      <w:color w:val="auto"/>
                      <w:spacing w:val="-3"/>
                      <w:sz w:val="21"/>
                      <w:szCs w:val="21"/>
                      <w:lang w:val="en-US" w:eastAsia="zh-CN"/>
                    </w:rPr>
                    <w:t>35.89</w:t>
                  </w:r>
                </w:p>
              </w:tc>
              <w:tc>
                <w:tcPr>
                  <w:tcW w:w="910" w:type="dxa"/>
                  <w:vAlign w:val="top"/>
                </w:tcPr>
                <w:p w14:paraId="35166DFE">
                  <w:pPr>
                    <w:pStyle w:val="33"/>
                    <w:spacing w:line="261" w:lineRule="exact"/>
                    <w:ind w:left="303"/>
                    <w:rPr>
                      <w:rFonts w:hint="default" w:ascii="宋体" w:hAnsi="宋体" w:eastAsia="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w:t>
                  </w:r>
                </w:p>
              </w:tc>
              <w:tc>
                <w:tcPr>
                  <w:tcW w:w="1212" w:type="dxa"/>
                  <w:vAlign w:val="top"/>
                </w:tcPr>
                <w:p w14:paraId="0FD67464">
                  <w:pPr>
                    <w:pStyle w:val="33"/>
                    <w:spacing w:line="261" w:lineRule="exact"/>
                    <w:ind w:left="303"/>
                    <w:rPr>
                      <w:rFonts w:hint="default" w:ascii="宋体" w:hAnsi="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55.05</w:t>
                  </w:r>
                </w:p>
              </w:tc>
              <w:tc>
                <w:tcPr>
                  <w:tcW w:w="2740" w:type="dxa"/>
                  <w:vAlign w:val="top"/>
                </w:tcPr>
                <w:p w14:paraId="02CE645A">
                  <w:pPr>
                    <w:pStyle w:val="33"/>
                    <w:ind w:right="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60</w:t>
                  </w:r>
                </w:p>
              </w:tc>
              <w:tc>
                <w:tcPr>
                  <w:tcW w:w="732" w:type="dxa"/>
                  <w:vAlign w:val="top"/>
                </w:tcPr>
                <w:p w14:paraId="291616B4">
                  <w:pPr>
                    <w:ind w:right="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达标</w:t>
                  </w:r>
                </w:p>
              </w:tc>
            </w:tr>
            <w:tr w14:paraId="1CA73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655" w:type="dxa"/>
                  <w:vAlign w:val="center"/>
                </w:tcPr>
                <w:p w14:paraId="23D9A406">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平安村散户</w:t>
                  </w:r>
                </w:p>
              </w:tc>
              <w:tc>
                <w:tcPr>
                  <w:tcW w:w="925" w:type="dxa"/>
                  <w:vAlign w:val="center"/>
                </w:tcPr>
                <w:p w14:paraId="0FE0DA65">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70m</w:t>
                  </w:r>
                </w:p>
              </w:tc>
              <w:tc>
                <w:tcPr>
                  <w:tcW w:w="877" w:type="dxa"/>
                  <w:vAlign w:val="top"/>
                </w:tcPr>
                <w:p w14:paraId="65224F4E">
                  <w:pPr>
                    <w:pStyle w:val="33"/>
                    <w:spacing w:line="261" w:lineRule="exact"/>
                    <w:rPr>
                      <w:rFonts w:hint="eastAsia" w:ascii="宋体" w:hAnsi="宋体" w:eastAsia="宋体" w:cs="宋体"/>
                      <w:bCs/>
                      <w:color w:val="auto"/>
                      <w:spacing w:val="-3"/>
                      <w:sz w:val="21"/>
                      <w:szCs w:val="21"/>
                      <w:lang w:val="en-US" w:eastAsia="zh-CN"/>
                    </w:rPr>
                  </w:pPr>
                  <w:r>
                    <w:rPr>
                      <w:rFonts w:hint="eastAsia" w:ascii="宋体" w:hAnsi="宋体" w:eastAsia="宋体" w:cs="宋体"/>
                      <w:bCs/>
                      <w:color w:val="auto"/>
                      <w:spacing w:val="-3"/>
                      <w:sz w:val="21"/>
                      <w:szCs w:val="21"/>
                      <w:lang w:val="en-US" w:eastAsia="zh-CN"/>
                    </w:rPr>
                    <w:t>35.24</w:t>
                  </w:r>
                </w:p>
              </w:tc>
              <w:tc>
                <w:tcPr>
                  <w:tcW w:w="910" w:type="dxa"/>
                  <w:vAlign w:val="top"/>
                </w:tcPr>
                <w:p w14:paraId="6CE784F5">
                  <w:pPr>
                    <w:pStyle w:val="33"/>
                    <w:spacing w:line="261" w:lineRule="exact"/>
                    <w:ind w:left="303"/>
                    <w:rPr>
                      <w:rFonts w:hint="default" w:ascii="宋体" w:hAnsi="宋体" w:eastAsia="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w:t>
                  </w:r>
                </w:p>
              </w:tc>
              <w:tc>
                <w:tcPr>
                  <w:tcW w:w="1212" w:type="dxa"/>
                  <w:vAlign w:val="top"/>
                </w:tcPr>
                <w:p w14:paraId="5CA6A805">
                  <w:pPr>
                    <w:pStyle w:val="33"/>
                    <w:spacing w:line="261" w:lineRule="exact"/>
                    <w:ind w:left="303"/>
                    <w:rPr>
                      <w:rFonts w:hint="default" w:ascii="宋体" w:hAnsi="宋体" w:cs="宋体"/>
                      <w:bCs/>
                      <w:color w:val="auto"/>
                      <w:spacing w:val="-3"/>
                      <w:sz w:val="21"/>
                      <w:szCs w:val="21"/>
                      <w:lang w:val="en-US" w:eastAsia="zh-CN"/>
                    </w:rPr>
                  </w:pPr>
                  <w:r>
                    <w:rPr>
                      <w:rFonts w:hint="eastAsia" w:ascii="宋体" w:hAnsi="宋体" w:cs="宋体"/>
                      <w:bCs/>
                      <w:color w:val="auto"/>
                      <w:spacing w:val="-3"/>
                      <w:sz w:val="21"/>
                      <w:szCs w:val="21"/>
                      <w:lang w:val="en-US" w:eastAsia="zh-CN"/>
                    </w:rPr>
                    <w:t>55.04</w:t>
                  </w:r>
                </w:p>
              </w:tc>
              <w:tc>
                <w:tcPr>
                  <w:tcW w:w="2740" w:type="dxa"/>
                  <w:vAlign w:val="top"/>
                </w:tcPr>
                <w:p w14:paraId="4F21F748">
                  <w:pPr>
                    <w:pStyle w:val="33"/>
                    <w:ind w:right="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60</w:t>
                  </w:r>
                </w:p>
              </w:tc>
              <w:tc>
                <w:tcPr>
                  <w:tcW w:w="732" w:type="dxa"/>
                  <w:vAlign w:val="top"/>
                </w:tcPr>
                <w:p w14:paraId="4154E340">
                  <w:pPr>
                    <w:ind w:right="1"/>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达标</w:t>
                  </w:r>
                </w:p>
              </w:tc>
            </w:tr>
          </w:tbl>
          <w:p w14:paraId="564E3084">
            <w:pPr>
              <w:keepNext w:val="0"/>
              <w:keepLines w:val="0"/>
              <w:widowControl/>
              <w:suppressLineNumbers w:val="0"/>
              <w:spacing w:line="360" w:lineRule="auto"/>
              <w:ind w:firstLine="480" w:firstLineChars="200"/>
              <w:jc w:val="left"/>
              <w:rPr>
                <w:rFonts w:ascii="Times New Roman" w:hAnsi="Times New Roman" w:eastAsia="Times New Roman"/>
                <w:b/>
                <w:color w:val="auto"/>
                <w:sz w:val="24"/>
                <w:szCs w:val="24"/>
              </w:rPr>
            </w:pPr>
            <w:r>
              <w:rPr>
                <w:rFonts w:hint="eastAsia" w:ascii="宋体" w:hAnsi="宋体" w:eastAsia="宋体" w:cs="宋体"/>
                <w:b w:val="0"/>
                <w:bCs/>
                <w:color w:val="auto"/>
                <w:sz w:val="24"/>
                <w:szCs w:val="24"/>
                <w:lang w:eastAsia="zh-CN"/>
              </w:rPr>
              <w:t>预测结果显示，拟建项目生产设备噪声经设置减振垫、厂房隔声、绿化降噪等措施，噪声经衰减后，在距离噪声源厂界</w:t>
            </w:r>
            <w:r>
              <w:rPr>
                <w:rFonts w:hint="eastAsia" w:ascii="宋体" w:hAnsi="宋体" w:eastAsia="宋体" w:cs="宋体"/>
                <w:b w:val="0"/>
                <w:bCs/>
                <w:color w:val="auto"/>
                <w:sz w:val="24"/>
                <w:szCs w:val="24"/>
                <w:lang w:val="en-US" w:eastAsia="zh-CN"/>
              </w:rPr>
              <w:t>8m处</w:t>
            </w:r>
            <w:r>
              <w:rPr>
                <w:rFonts w:hint="eastAsia" w:ascii="宋体" w:hAnsi="宋体" w:eastAsia="宋体" w:cs="宋体"/>
                <w:color w:val="auto"/>
                <w:kern w:val="0"/>
                <w:sz w:val="24"/>
                <w:szCs w:val="24"/>
                <w:lang w:val="en-US" w:eastAsia="zh-CN" w:bidi="ar"/>
              </w:rPr>
              <w:t>可满足《声环境质量标准》(GB3096-2008)中2类标准标准限值，即昼间≤60</w:t>
            </w:r>
            <w:r>
              <w:rPr>
                <w:rFonts w:hint="eastAsia" w:ascii="宋体" w:hAnsi="宋体" w:eastAsia="宋体" w:cs="宋体"/>
                <w:color w:val="auto"/>
                <w:kern w:val="0"/>
                <w:sz w:val="24"/>
                <w:szCs w:val="24"/>
              </w:rPr>
              <w:t>dB(A)</w:t>
            </w:r>
            <w:r>
              <w:rPr>
                <w:rFonts w:hint="eastAsia" w:ascii="宋体" w:hAnsi="宋体" w:eastAsia="宋体" w:cs="宋体"/>
                <w:color w:val="auto"/>
                <w:kern w:val="0"/>
                <w:sz w:val="24"/>
                <w:szCs w:val="24"/>
                <w:lang w:eastAsia="zh-CN"/>
              </w:rPr>
              <w:t>，项目夜间不生产</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本项目距离最近的居民点</w:t>
            </w:r>
            <w:r>
              <w:rPr>
                <w:rFonts w:hint="eastAsia" w:ascii="宋体" w:hAnsi="宋体" w:cs="宋体"/>
                <w:color w:val="auto"/>
                <w:kern w:val="0"/>
                <w:sz w:val="24"/>
                <w:szCs w:val="24"/>
                <w:lang w:eastAsia="zh-CN"/>
              </w:rPr>
              <w:t>约</w:t>
            </w:r>
            <w:r>
              <w:rPr>
                <w:rFonts w:hint="eastAsia" w:ascii="宋体" w:hAnsi="宋体" w:eastAsia="宋体" w:cs="宋体"/>
                <w:color w:val="auto"/>
                <w:kern w:val="0"/>
                <w:sz w:val="24"/>
                <w:szCs w:val="24"/>
                <w:lang w:val="en-US" w:eastAsia="zh-CN"/>
              </w:rPr>
              <w:t>15m,</w:t>
            </w:r>
            <w:r>
              <w:rPr>
                <w:rFonts w:hint="eastAsia" w:ascii="宋体" w:hAnsi="宋体" w:cs="宋体"/>
                <w:color w:val="auto"/>
                <w:kern w:val="0"/>
                <w:sz w:val="24"/>
                <w:szCs w:val="24"/>
                <w:lang w:val="en-US" w:eastAsia="zh-CN"/>
              </w:rPr>
              <w:t>通过表7-9可知，可达</w:t>
            </w:r>
            <w:r>
              <w:rPr>
                <w:rFonts w:hint="eastAsia" w:ascii="宋体" w:hAnsi="宋体" w:eastAsia="宋体" w:cs="宋体"/>
                <w:color w:val="auto"/>
                <w:kern w:val="0"/>
                <w:sz w:val="24"/>
                <w:szCs w:val="24"/>
                <w:lang w:val="en-US" w:eastAsia="zh-CN" w:bidi="ar"/>
              </w:rPr>
              <w:t>《声环境质量标准》(GB3096-2008)中2类标准限值，即昼间≤60</w:t>
            </w:r>
            <w:r>
              <w:rPr>
                <w:rFonts w:hint="eastAsia" w:ascii="宋体" w:hAnsi="宋体" w:eastAsia="宋体" w:cs="宋体"/>
                <w:color w:val="auto"/>
                <w:kern w:val="0"/>
                <w:sz w:val="24"/>
                <w:szCs w:val="24"/>
              </w:rPr>
              <w:t>dB(A)</w:t>
            </w:r>
            <w:r>
              <w:rPr>
                <w:rFonts w:hint="eastAsia" w:ascii="宋体" w:hAnsi="宋体" w:eastAsia="宋体" w:cs="宋体"/>
                <w:color w:val="auto"/>
                <w:kern w:val="0"/>
                <w:sz w:val="24"/>
                <w:szCs w:val="24"/>
                <w:lang w:val="en-US" w:eastAsia="zh-CN" w:bidi="ar"/>
              </w:rPr>
              <w:t>。项目通过选用低噪设备、并设置减震垫措施，运营噪声经</w:t>
            </w:r>
            <w:r>
              <w:rPr>
                <w:rFonts w:hint="eastAsia" w:ascii="宋体" w:hAnsi="宋体" w:cs="宋体"/>
                <w:color w:val="auto"/>
                <w:kern w:val="0"/>
                <w:sz w:val="24"/>
                <w:szCs w:val="24"/>
                <w:lang w:val="en-US" w:eastAsia="zh-CN" w:bidi="ar"/>
              </w:rPr>
              <w:t>厂房隔声</w:t>
            </w:r>
            <w:r>
              <w:rPr>
                <w:rFonts w:hint="eastAsia" w:ascii="宋体" w:hAnsi="宋体" w:eastAsia="宋体" w:cs="宋体"/>
                <w:color w:val="auto"/>
                <w:kern w:val="0"/>
                <w:sz w:val="24"/>
                <w:szCs w:val="24"/>
                <w:lang w:val="en-US" w:eastAsia="zh-CN" w:bidi="ar"/>
              </w:rPr>
              <w:t>及绿化降噪等措施后，项目厂界噪声可以达标，且项目各环境敏感目标噪声预测结果均达标，因此项目运营对周围环境及敏感目标的影响不大。</w:t>
            </w:r>
          </w:p>
          <w:p w14:paraId="23A25251">
            <w:pPr>
              <w:pStyle w:val="5"/>
              <w:numPr>
                <w:ilvl w:val="0"/>
                <w:numId w:val="0"/>
              </w:numPr>
              <w:spacing w:line="360" w:lineRule="auto"/>
              <w:ind w:firstLine="480" w:firstLineChars="200"/>
              <w:outlineLvl w:val="1"/>
              <w:rPr>
                <w:rFonts w:hint="eastAsia" w:ascii="Times New Roman" w:hAnsi="Times New Roman" w:eastAsia="Times New Roman"/>
                <w:b w:val="0"/>
                <w:color w:val="auto"/>
                <w:sz w:val="24"/>
                <w:szCs w:val="24"/>
              </w:rPr>
            </w:pPr>
            <w:r>
              <w:rPr>
                <w:rFonts w:hint="eastAsia" w:ascii="宋体" w:hAnsi="宋体" w:cs="宋体"/>
                <w:b w:val="0"/>
                <w:bCs w:val="0"/>
                <w:color w:val="auto"/>
                <w:kern w:val="0"/>
                <w:sz w:val="24"/>
                <w:szCs w:val="24"/>
                <w:lang w:eastAsia="zh-CN"/>
              </w:rPr>
              <w:t>但</w:t>
            </w:r>
            <w:r>
              <w:rPr>
                <w:rFonts w:hint="eastAsia" w:ascii="宋体" w:hAnsi="宋体" w:eastAsia="宋体" w:cs="宋体"/>
                <w:b w:val="0"/>
                <w:bCs w:val="0"/>
                <w:color w:val="auto"/>
                <w:kern w:val="0"/>
                <w:sz w:val="24"/>
                <w:szCs w:val="24"/>
                <w:lang w:val="en-US" w:eastAsia="zh-CN"/>
              </w:rPr>
              <w:t>考虑到噪声</w:t>
            </w:r>
            <w:r>
              <w:rPr>
                <w:rFonts w:hint="eastAsia" w:ascii="宋体" w:hAnsi="宋体" w:cs="宋体"/>
                <w:b w:val="0"/>
                <w:bCs w:val="0"/>
                <w:color w:val="auto"/>
                <w:kern w:val="0"/>
                <w:sz w:val="24"/>
                <w:szCs w:val="24"/>
                <w:lang w:val="en-US" w:eastAsia="zh-CN"/>
              </w:rPr>
              <w:t>会</w:t>
            </w:r>
            <w:r>
              <w:rPr>
                <w:rFonts w:hint="eastAsia" w:ascii="宋体" w:hAnsi="宋体" w:eastAsia="宋体" w:cs="宋体"/>
                <w:b w:val="0"/>
                <w:bCs w:val="0"/>
                <w:color w:val="auto"/>
                <w:kern w:val="0"/>
                <w:sz w:val="24"/>
                <w:szCs w:val="24"/>
                <w:lang w:val="en-US" w:eastAsia="zh-CN"/>
              </w:rPr>
              <w:t>对</w:t>
            </w:r>
            <w:r>
              <w:rPr>
                <w:rFonts w:hint="eastAsia" w:ascii="宋体" w:hAnsi="宋体" w:cs="宋体"/>
                <w:b w:val="0"/>
                <w:bCs w:val="0"/>
                <w:color w:val="auto"/>
                <w:kern w:val="0"/>
                <w:sz w:val="24"/>
                <w:szCs w:val="24"/>
                <w:lang w:val="en-US" w:eastAsia="zh-CN"/>
              </w:rPr>
              <w:t>周边</w:t>
            </w:r>
            <w:r>
              <w:rPr>
                <w:rFonts w:hint="eastAsia" w:ascii="宋体" w:hAnsi="宋体" w:eastAsia="宋体" w:cs="宋体"/>
                <w:b w:val="0"/>
                <w:bCs w:val="0"/>
                <w:color w:val="auto"/>
                <w:kern w:val="0"/>
                <w:sz w:val="24"/>
                <w:szCs w:val="24"/>
                <w:lang w:val="en-US" w:eastAsia="zh-CN"/>
              </w:rPr>
              <w:t>居民</w:t>
            </w:r>
            <w:r>
              <w:rPr>
                <w:rFonts w:hint="eastAsia" w:ascii="宋体" w:hAnsi="宋体" w:cs="宋体"/>
                <w:b w:val="0"/>
                <w:bCs w:val="0"/>
                <w:color w:val="auto"/>
                <w:kern w:val="0"/>
                <w:sz w:val="24"/>
                <w:szCs w:val="24"/>
                <w:lang w:val="en-US" w:eastAsia="zh-CN"/>
              </w:rPr>
              <w:t>造成影响，</w:t>
            </w:r>
            <w:r>
              <w:rPr>
                <w:rFonts w:hint="eastAsia" w:ascii="宋体" w:hAnsi="宋体" w:eastAsia="宋体" w:cs="宋体"/>
                <w:b w:val="0"/>
                <w:bCs w:val="0"/>
                <w:color w:val="auto"/>
                <w:sz w:val="24"/>
                <w:szCs w:val="24"/>
              </w:rPr>
              <w:t>为了将项目运营期噪声对外环境影响降至最低，</w:t>
            </w:r>
            <w:r>
              <w:rPr>
                <w:rFonts w:hint="eastAsia" w:ascii="宋体" w:hAnsi="宋体" w:eastAsia="宋体" w:cs="宋体"/>
                <w:b w:val="0"/>
                <w:bCs w:val="0"/>
                <w:color w:val="auto"/>
                <w:sz w:val="24"/>
                <w:szCs w:val="24"/>
                <w:lang w:val="en-US" w:eastAsia="zh-CN"/>
              </w:rPr>
              <w:t>项目应采取以下措施：</w:t>
            </w:r>
          </w:p>
          <w:p w14:paraId="3279BB50">
            <w:pPr>
              <w:spacing w:line="360" w:lineRule="auto"/>
              <w:rPr>
                <w:rFonts w:hint="eastAsia" w:ascii="宋体" w:hAnsi="宋体" w:eastAsia="宋体" w:cs="宋体"/>
                <w:b w:val="0"/>
                <w:bCs/>
                <w:color w:val="auto"/>
                <w:sz w:val="24"/>
                <w:szCs w:val="24"/>
              </w:rPr>
            </w:pPr>
            <w:r>
              <w:rPr>
                <w:rFonts w:hint="eastAsia" w:ascii="Times New Roman" w:hAnsi="Times New Roman" w:eastAsia="Times New Roman"/>
                <w:b/>
                <w:color w:val="auto"/>
                <w:sz w:val="24"/>
                <w:szCs w:val="24"/>
              </w:rPr>
              <w:t xml:space="preserve"> </w:t>
            </w:r>
            <w:r>
              <w:rPr>
                <w:rFonts w:hint="eastAsia" w:ascii="Times New Roman" w:hAnsi="Times New Roman" w:eastAsia="宋体"/>
                <w:b/>
                <w:color w:val="auto"/>
                <w:sz w:val="24"/>
                <w:szCs w:val="24"/>
                <w:lang w:val="en-US" w:eastAsia="zh-CN"/>
              </w:rPr>
              <w:t xml:space="preserve">  </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①从声源上降低噪声是最积极的措施，厂家应选购低噪音的机械设备。</w:t>
            </w:r>
          </w:p>
          <w:p w14:paraId="299F0ABF">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②加强门窗的密封性能、加强门、窗的隔音处理</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尤其是高噪声设备运行时，切记关闭厂门、车间门窗作业，确保厂界噪声能达到GB12348-2008《工业企业厂界环境噪声排放标准》的2类标准。</w:t>
            </w:r>
          </w:p>
          <w:p w14:paraId="3DEA849A">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③正常生产中应加强 管理，保证设备的正常运行，防止设备带故障使用。</w:t>
            </w:r>
          </w:p>
          <w:p w14:paraId="380386D2">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④为高噪声设备的岗位工人配备耳塞等劳保产品，保护职工身体健康。</w:t>
            </w:r>
          </w:p>
          <w:p w14:paraId="1EE09B9D">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⑤合理安排维修时间，禁止夜间作业。</w:t>
            </w:r>
          </w:p>
          <w:p w14:paraId="5D621362">
            <w:pPr>
              <w:spacing w:line="360" w:lineRule="auto"/>
              <w:ind w:firstLine="480" w:firstLineChars="200"/>
              <w:rPr>
                <w:rFonts w:hint="eastAsia" w:ascii="宋体" w:hAnsi="宋体" w:eastAsia="宋体" w:cs="宋体"/>
                <w:b w:val="0"/>
                <w:bCs/>
                <w:color w:val="auto"/>
                <w:sz w:val="24"/>
                <w:szCs w:val="24"/>
                <w:lang w:eastAsia="zh-CN"/>
              </w:rPr>
            </w:pPr>
            <w:r>
              <w:rPr>
                <w:rFonts w:hint="eastAsia" w:ascii="宋体" w:hAnsi="宋体" w:cs="宋体"/>
                <w:color w:val="auto"/>
                <w:sz w:val="24"/>
                <w:szCs w:val="28"/>
                <w:highlight w:val="none"/>
                <w:u w:val="none" w:color="auto"/>
                <w:lang w:eastAsia="zh-CN"/>
              </w:rPr>
              <w:t>⑥</w:t>
            </w:r>
            <w:r>
              <w:rPr>
                <w:rFonts w:hint="eastAsia" w:ascii="宋体" w:hAnsi="宋体" w:eastAsia="宋体" w:cs="宋体"/>
                <w:color w:val="auto"/>
                <w:sz w:val="24"/>
                <w:szCs w:val="28"/>
                <w:highlight w:val="none"/>
                <w:u w:val="none" w:color="auto"/>
              </w:rPr>
              <w:t>对动力机械设备进行定期的维修、养护，维护不良的设备常因松动部件的振动或消声器的损坏而增加其工作时声级</w:t>
            </w:r>
            <w:r>
              <w:rPr>
                <w:rFonts w:hint="eastAsia" w:ascii="宋体" w:hAnsi="宋体" w:cs="宋体"/>
                <w:color w:val="auto"/>
                <w:sz w:val="24"/>
                <w:szCs w:val="28"/>
                <w:highlight w:val="none"/>
                <w:u w:val="none" w:color="auto"/>
                <w:lang w:eastAsia="zh-CN"/>
              </w:rPr>
              <w:t>。</w:t>
            </w:r>
          </w:p>
          <w:p w14:paraId="4AC664C5">
            <w:pPr>
              <w:spacing w:line="360" w:lineRule="auto"/>
              <w:ind w:firstLine="480" w:firstLineChars="200"/>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eastAsia="zh-CN"/>
              </w:rPr>
              <w:t>⑦运输车辆在居民密集处要减速慢行，禁止鸣笛，尽量减小对沿途居民的影响。</w:t>
            </w:r>
          </w:p>
          <w:p w14:paraId="349B85E1">
            <w:pPr>
              <w:spacing w:line="360" w:lineRule="auto"/>
              <w:ind w:firstLine="480" w:firstLineChars="200"/>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⑧合理安排操作规范，尽量降低原材料及产品搬运过程中产生的噪声。</w:t>
            </w:r>
          </w:p>
          <w:p w14:paraId="1C4BD460">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通过上述治理措施后，</w:t>
            </w:r>
            <w:r>
              <w:rPr>
                <w:rFonts w:hint="eastAsia" w:ascii="宋体" w:hAnsi="宋体" w:eastAsia="宋体" w:cs="宋体"/>
                <w:b w:val="0"/>
                <w:bCs w:val="0"/>
                <w:color w:val="auto"/>
                <w:sz w:val="24"/>
                <w:szCs w:val="24"/>
                <w:lang w:eastAsia="zh-CN"/>
              </w:rPr>
              <w:t>项目噪声对周围环境影响减小，在可接受范围内。</w:t>
            </w:r>
            <w:r>
              <w:rPr>
                <w:rFonts w:hint="eastAsia" w:ascii="宋体" w:hAnsi="宋体" w:eastAsia="宋体" w:cs="宋体"/>
                <w:b w:val="0"/>
                <w:bCs/>
                <w:color w:val="auto"/>
                <w:sz w:val="24"/>
                <w:szCs w:val="24"/>
              </w:rPr>
              <w:t>噪声防治措施基本合理、可行。</w:t>
            </w:r>
          </w:p>
          <w:p w14:paraId="491968FC">
            <w:pPr>
              <w:spacing w:line="360" w:lineRule="auto"/>
              <w:rPr>
                <w:rFonts w:ascii="Times New Roman" w:hAnsi="Times New Roman" w:eastAsia="Times New Roman"/>
                <w:b/>
                <w:color w:val="auto"/>
                <w:sz w:val="24"/>
                <w:szCs w:val="24"/>
              </w:rPr>
            </w:pPr>
            <w:r>
              <w:rPr>
                <w:rFonts w:ascii="Times New Roman" w:hAnsi="Times New Roman" w:eastAsia="Times New Roman"/>
                <w:b/>
                <w:color w:val="auto"/>
                <w:sz w:val="24"/>
                <w:szCs w:val="24"/>
              </w:rPr>
              <w:t>4</w:t>
            </w:r>
            <w:r>
              <w:rPr>
                <w:rFonts w:ascii="Times New Roman" w:hAnsi="Times New Roman"/>
                <w:b/>
                <w:color w:val="auto"/>
                <w:sz w:val="24"/>
                <w:szCs w:val="24"/>
              </w:rPr>
              <w:t>、固体废弃物影响分析</w:t>
            </w:r>
          </w:p>
          <w:p w14:paraId="78F4C054">
            <w:pPr>
              <w:spacing w:line="360" w:lineRule="auto"/>
              <w:ind w:firstLine="480" w:firstLineChars="200"/>
              <w:jc w:val="left"/>
              <w:rPr>
                <w:rFonts w:ascii="Times New Roman" w:hAnsi="Times New Roman"/>
                <w:color w:val="auto"/>
                <w:sz w:val="24"/>
              </w:rPr>
            </w:pPr>
            <w:r>
              <w:rPr>
                <w:rFonts w:ascii="Times New Roman" w:hAnsi="Times New Roman"/>
                <w:color w:val="auto"/>
                <w:sz w:val="24"/>
              </w:rPr>
              <w:t>项目运营期产生的固体废弃物包括员工办公生活垃圾和</w:t>
            </w:r>
            <w:r>
              <w:rPr>
                <w:rFonts w:hint="eastAsia" w:ascii="Times New Roman" w:hAnsi="Times New Roman"/>
                <w:color w:val="auto"/>
                <w:sz w:val="24"/>
              </w:rPr>
              <w:t>生产过程产生的生产固废。</w:t>
            </w:r>
          </w:p>
          <w:p w14:paraId="174A9E97">
            <w:pPr>
              <w:spacing w:line="360" w:lineRule="auto"/>
              <w:ind w:firstLine="480" w:firstLineChars="200"/>
              <w:jc w:val="left"/>
              <w:rPr>
                <w:rFonts w:ascii="Times New Roman" w:hAnsi="Times New Roman"/>
                <w:color w:val="auto"/>
                <w:sz w:val="24"/>
              </w:rPr>
            </w:pPr>
            <w:r>
              <w:rPr>
                <w:rFonts w:ascii="Times New Roman" w:hAnsi="Times New Roman"/>
                <w:color w:val="auto"/>
                <w:sz w:val="24"/>
              </w:rPr>
              <w:t>（1）生活垃圾</w:t>
            </w:r>
          </w:p>
          <w:p w14:paraId="40C7D0C7">
            <w:pPr>
              <w:spacing w:line="360" w:lineRule="auto"/>
              <w:ind w:firstLine="480" w:firstLineChars="200"/>
              <w:rPr>
                <w:rFonts w:ascii="Times New Roman" w:hAnsi="Times New Roman"/>
                <w:bCs/>
                <w:color w:val="auto"/>
                <w:sz w:val="24"/>
                <w:szCs w:val="24"/>
              </w:rPr>
            </w:pPr>
            <w:r>
              <w:rPr>
                <w:rFonts w:hint="eastAsia" w:ascii="宋体" w:hAnsi="宋体" w:eastAsia="宋体" w:cs="宋体"/>
                <w:bCs/>
                <w:color w:val="auto"/>
                <w:sz w:val="24"/>
                <w:szCs w:val="24"/>
              </w:rPr>
              <w:t>项目运营期生活垃圾产生量按每人每天平均产生</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kg计，项目职工为</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人，则生活垃圾的产生量约</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kg/d，</w:t>
            </w:r>
            <w:r>
              <w:rPr>
                <w:rFonts w:hint="eastAsia" w:ascii="宋体" w:hAnsi="宋体" w:eastAsia="宋体" w:cs="宋体"/>
                <w:bCs/>
                <w:color w:val="auto"/>
                <w:sz w:val="24"/>
                <w:szCs w:val="24"/>
                <w:lang w:val="en-US" w:eastAsia="zh-CN"/>
              </w:rPr>
              <w:t>2.4</w:t>
            </w:r>
            <w:r>
              <w:rPr>
                <w:rFonts w:hint="eastAsia" w:ascii="宋体" w:hAnsi="宋体" w:eastAsia="宋体" w:cs="宋体"/>
                <w:bCs/>
                <w:color w:val="auto"/>
                <w:sz w:val="24"/>
                <w:szCs w:val="24"/>
              </w:rPr>
              <w:t>t/a，</w:t>
            </w:r>
            <w:r>
              <w:rPr>
                <w:rFonts w:hint="eastAsia" w:ascii="宋体" w:hAnsi="宋体" w:eastAsia="宋体" w:cs="宋体"/>
                <w:bCs/>
                <w:color w:val="auto"/>
                <w:sz w:val="24"/>
              </w:rPr>
              <w:t>本项目生活垃圾集中收集后外运至垃圾堆放点由当地环卫部门清运。</w:t>
            </w:r>
          </w:p>
          <w:p w14:paraId="2E20BCF6">
            <w:pPr>
              <w:spacing w:line="360" w:lineRule="auto"/>
              <w:jc w:val="left"/>
              <w:rPr>
                <w:rFonts w:hint="eastAsia" w:ascii="宋体" w:hAnsi="宋体" w:eastAsia="宋体" w:cs="宋体"/>
                <w:color w:val="auto"/>
                <w:sz w:val="24"/>
                <w:szCs w:val="24"/>
              </w:rPr>
            </w:pPr>
            <w:r>
              <w:rPr>
                <w:rFonts w:hint="eastAsia" w:ascii="Times New Roman" w:hAnsi="Times New Roman"/>
                <w:color w:val="auto"/>
                <w:sz w:val="24"/>
              </w:rPr>
              <w:t xml:space="preserve">    </w:t>
            </w:r>
            <w:r>
              <w:rPr>
                <w:rFonts w:hint="eastAsia" w:ascii="宋体" w:hAnsi="宋体" w:eastAsia="宋体" w:cs="宋体"/>
                <w:color w:val="auto"/>
                <w:sz w:val="24"/>
                <w:szCs w:val="24"/>
              </w:rPr>
              <w:t>（2）生产固废</w:t>
            </w:r>
          </w:p>
          <w:p w14:paraId="2843BCC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项目在生产过程中产生的固废主要为</w:t>
            </w:r>
            <w:r>
              <w:rPr>
                <w:rFonts w:hint="eastAsia" w:ascii="宋体" w:hAnsi="宋体" w:eastAsia="宋体" w:cs="宋体"/>
                <w:color w:val="auto"/>
                <w:sz w:val="24"/>
                <w:szCs w:val="24"/>
                <w:lang w:eastAsia="zh-CN"/>
              </w:rPr>
              <w:t>杂质、</w:t>
            </w:r>
            <w:r>
              <w:rPr>
                <w:rFonts w:hint="eastAsia" w:ascii="宋体" w:hAnsi="宋体" w:eastAsia="宋体" w:cs="宋体"/>
                <w:color w:val="auto"/>
                <w:sz w:val="24"/>
                <w:szCs w:val="24"/>
              </w:rPr>
              <w:t>原辅料包装物</w:t>
            </w:r>
            <w:r>
              <w:rPr>
                <w:rFonts w:hint="eastAsia" w:ascii="宋体" w:hAnsi="宋体" w:eastAsia="宋体" w:cs="宋体"/>
                <w:color w:val="auto"/>
                <w:sz w:val="24"/>
                <w:szCs w:val="24"/>
                <w:lang w:eastAsia="zh-CN"/>
              </w:rPr>
              <w:t>、锅炉煤渣</w:t>
            </w:r>
            <w:r>
              <w:rPr>
                <w:rFonts w:hint="eastAsia" w:ascii="宋体" w:hAnsi="宋体" w:eastAsia="宋体" w:cs="宋体"/>
                <w:color w:val="auto"/>
                <w:sz w:val="24"/>
                <w:szCs w:val="24"/>
              </w:rPr>
              <w:t>等。</w:t>
            </w:r>
          </w:p>
          <w:p w14:paraId="206DE02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①杂质</w:t>
            </w:r>
          </w:p>
          <w:p w14:paraId="51F7669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工程分析</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加工过程中的杂质</w:t>
            </w:r>
            <w:r>
              <w:rPr>
                <w:rFonts w:hint="eastAsia" w:ascii="宋体" w:hAnsi="宋体" w:eastAsia="宋体" w:cs="宋体"/>
                <w:color w:val="auto"/>
                <w:sz w:val="24"/>
                <w:szCs w:val="24"/>
              </w:rPr>
              <w:t>主要为废茶梗、枯黄叶、茶筋等；废茶梗等固废产生量约为产品量的0.1%，项目产品的产量为</w:t>
            </w:r>
            <w:r>
              <w:rPr>
                <w:rFonts w:hint="eastAsia" w:ascii="宋体" w:hAnsi="宋体" w:eastAsia="宋体" w:cs="宋体"/>
                <w:color w:val="auto"/>
                <w:sz w:val="24"/>
                <w:szCs w:val="24"/>
                <w:lang w:val="en-US" w:eastAsia="zh-CN"/>
              </w:rPr>
              <w:t>395</w:t>
            </w:r>
            <w:r>
              <w:rPr>
                <w:rFonts w:hint="eastAsia" w:ascii="宋体" w:hAnsi="宋体" w:eastAsia="宋体" w:cs="宋体"/>
                <w:color w:val="auto"/>
                <w:sz w:val="24"/>
                <w:szCs w:val="24"/>
              </w:rPr>
              <w:t>t/a，则共计产生茶梗杂质0.</w:t>
            </w:r>
            <w:r>
              <w:rPr>
                <w:rFonts w:hint="eastAsia" w:ascii="宋体" w:hAnsi="宋体" w:eastAsia="宋体" w:cs="宋体"/>
                <w:color w:val="auto"/>
                <w:sz w:val="24"/>
                <w:szCs w:val="24"/>
                <w:lang w:val="en-US" w:eastAsia="zh-CN"/>
              </w:rPr>
              <w:t>395</w:t>
            </w:r>
            <w:r>
              <w:rPr>
                <w:rFonts w:hint="eastAsia" w:ascii="宋体" w:hAnsi="宋体" w:eastAsia="宋体" w:cs="宋体"/>
                <w:color w:val="auto"/>
                <w:sz w:val="24"/>
                <w:szCs w:val="24"/>
              </w:rPr>
              <w:t>t/a，茶梗杂质集中收集后交由周边农户堆肥，作为农肥使用。</w:t>
            </w:r>
          </w:p>
          <w:p w14:paraId="51DB18E8">
            <w:pPr>
              <w:tabs>
                <w:tab w:val="left" w:pos="5529"/>
              </w:tabs>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原辅料包装物</w:t>
            </w:r>
          </w:p>
          <w:p w14:paraId="3B97FDC0">
            <w:pPr>
              <w:tabs>
                <w:tab w:val="left" w:pos="5529"/>
              </w:tabs>
              <w:snapToGrid w:val="0"/>
              <w:spacing w:line="360" w:lineRule="auto"/>
              <w:ind w:firstLine="480"/>
              <w:rPr>
                <w:rFonts w:hint="eastAsia" w:ascii="Times New Roman" w:hAnsi="Times New Roman" w:cs="宋体"/>
                <w:color w:val="auto"/>
                <w:sz w:val="24"/>
                <w:szCs w:val="24"/>
              </w:rPr>
            </w:pPr>
            <w:r>
              <w:rPr>
                <w:rFonts w:hint="eastAsia" w:ascii="宋体" w:hAnsi="宋体" w:eastAsia="宋体" w:cs="宋体"/>
                <w:bCs/>
                <w:color w:val="auto"/>
                <w:sz w:val="24"/>
                <w:szCs w:val="24"/>
              </w:rPr>
              <w:t>项目营运过程中将产生一定的原辅料包装物，包装物主要为塑料编织袋，</w:t>
            </w:r>
            <w:r>
              <w:rPr>
                <w:rFonts w:hint="eastAsia" w:ascii="宋体" w:hAnsi="宋体" w:eastAsia="宋体" w:cs="宋体"/>
                <w:bCs/>
                <w:color w:val="auto"/>
                <w:sz w:val="24"/>
                <w:szCs w:val="24"/>
                <w:lang w:eastAsia="zh-CN"/>
              </w:rPr>
              <w:t>产生量约为</w:t>
            </w:r>
            <w:r>
              <w:rPr>
                <w:rFonts w:hint="eastAsia" w:ascii="宋体" w:hAnsi="宋体" w:eastAsia="宋体" w:cs="宋体"/>
                <w:bCs/>
                <w:color w:val="auto"/>
                <w:sz w:val="24"/>
                <w:szCs w:val="24"/>
                <w:lang w:val="en-US" w:eastAsia="zh-CN"/>
              </w:rPr>
              <w:t>0.5t/a，</w:t>
            </w:r>
            <w:r>
              <w:rPr>
                <w:rFonts w:hint="eastAsia" w:ascii="宋体" w:hAnsi="宋体" w:eastAsia="宋体" w:cs="宋体"/>
                <w:bCs/>
                <w:color w:val="auto"/>
                <w:sz w:val="24"/>
                <w:szCs w:val="24"/>
              </w:rPr>
              <w:t>由专人收集回收利用，不外排。</w:t>
            </w:r>
          </w:p>
          <w:p w14:paraId="59A54136">
            <w:pPr>
              <w:shd w:val="clear" w:color="auto" w:fill="auto"/>
              <w:tabs>
                <w:tab w:val="left" w:pos="5529"/>
              </w:tabs>
              <w:snapToGrid w:val="0"/>
              <w:spacing w:line="360" w:lineRule="auto"/>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③</w:t>
            </w:r>
            <w:r>
              <w:rPr>
                <w:rFonts w:hint="eastAsia" w:ascii="宋体" w:hAnsi="宋体" w:eastAsia="宋体" w:cs="宋体"/>
                <w:color w:val="auto"/>
                <w:sz w:val="24"/>
                <w:lang w:eastAsia="zh-CN"/>
              </w:rPr>
              <w:t>热风炉灰渣</w:t>
            </w:r>
          </w:p>
          <w:p w14:paraId="5BDF9407">
            <w:pPr>
              <w:shd w:val="clear" w:color="auto" w:fill="auto"/>
              <w:tabs>
                <w:tab w:val="left" w:pos="5529"/>
              </w:tabs>
              <w:snapToGrid w:val="0"/>
              <w:spacing w:line="360" w:lineRule="auto"/>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本项目热风炉灰渣的产生量约为</w:t>
            </w:r>
            <w:r>
              <w:rPr>
                <w:rFonts w:hint="eastAsia" w:ascii="宋体" w:hAnsi="宋体" w:cs="宋体"/>
                <w:color w:val="auto"/>
                <w:sz w:val="24"/>
                <w:lang w:val="en-US" w:eastAsia="zh-CN"/>
              </w:rPr>
              <w:t>18</w:t>
            </w:r>
            <w:r>
              <w:rPr>
                <w:rFonts w:hint="eastAsia" w:ascii="宋体" w:hAnsi="宋体" w:eastAsia="宋体" w:cs="宋体"/>
                <w:color w:val="auto"/>
                <w:sz w:val="24"/>
                <w:lang w:val="en-US" w:eastAsia="zh-CN"/>
              </w:rPr>
              <w:t>t/a,全部</w:t>
            </w:r>
            <w:r>
              <w:rPr>
                <w:rFonts w:hint="eastAsia" w:ascii="宋体" w:hAnsi="宋体" w:eastAsia="宋体" w:cs="宋体"/>
                <w:color w:val="auto"/>
                <w:sz w:val="24"/>
                <w:szCs w:val="24"/>
                <w:lang w:val="zh-CN"/>
              </w:rPr>
              <w:t>卖给附近农户作为农田施肥。</w:t>
            </w:r>
          </w:p>
          <w:p w14:paraId="59650FC9">
            <w:pPr>
              <w:spacing w:line="360" w:lineRule="auto"/>
              <w:ind w:firstLine="480" w:firstLineChars="200"/>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）化粪池污泥</w:t>
            </w:r>
          </w:p>
          <w:p w14:paraId="5A4C596B">
            <w:pPr>
              <w:adjustRightInd w:val="0"/>
              <w:snapToGrid w:val="0"/>
              <w:spacing w:line="360" w:lineRule="auto"/>
              <w:ind w:firstLine="480"/>
              <w:rPr>
                <w:rFonts w:hint="eastAsia" w:ascii="宋体" w:hAnsi="宋体" w:eastAsia="宋体" w:cs="宋体"/>
                <w:b/>
                <w:color w:val="auto"/>
                <w:sz w:val="24"/>
                <w:szCs w:val="24"/>
              </w:rPr>
            </w:pPr>
            <w:r>
              <w:rPr>
                <w:rFonts w:hint="eastAsia" w:ascii="宋体" w:hAnsi="宋体" w:eastAsia="宋体" w:cs="宋体"/>
                <w:color w:val="auto"/>
                <w:sz w:val="24"/>
                <w:szCs w:val="24"/>
              </w:rPr>
              <w:t>化粪池污泥的大致产生量按照类比计算，化粪池污泥产生量按污水量的0.2%进行核算，污水产生量为</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w:t>
            </w:r>
            <w:r>
              <w:rPr>
                <w:rFonts w:hint="eastAsia" w:ascii="宋体" w:hAnsi="宋体" w:eastAsia="宋体" w:cs="宋体"/>
                <w:color w:val="auto"/>
                <w:sz w:val="24"/>
                <w:szCs w:val="24"/>
                <w:lang w:val="en-US" w:eastAsia="zh-CN"/>
              </w:rPr>
              <w:t>288</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/a，则污泥产生量为2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kg/d，0.</w:t>
            </w:r>
            <w:r>
              <w:rPr>
                <w:rFonts w:hint="eastAsia" w:ascii="宋体" w:hAnsi="宋体" w:eastAsia="宋体" w:cs="宋体"/>
                <w:color w:val="auto"/>
                <w:sz w:val="24"/>
                <w:szCs w:val="24"/>
                <w:lang w:val="en-US" w:eastAsia="zh-CN"/>
              </w:rPr>
              <w:t>576</w:t>
            </w:r>
            <w:r>
              <w:rPr>
                <w:rFonts w:hint="eastAsia" w:ascii="宋体" w:hAnsi="宋体" w:eastAsia="宋体" w:cs="宋体"/>
                <w:color w:val="auto"/>
                <w:sz w:val="24"/>
                <w:szCs w:val="24"/>
              </w:rPr>
              <w:t>t/a</w:t>
            </w:r>
            <w:r>
              <w:rPr>
                <w:rFonts w:hint="eastAsia" w:ascii="宋体" w:hAnsi="宋体" w:eastAsia="宋体" w:cs="宋体"/>
                <w:color w:val="auto"/>
                <w:sz w:val="24"/>
                <w:szCs w:val="24"/>
                <w:lang w:eastAsia="zh-CN"/>
              </w:rPr>
              <w:t>，由周边农民清掏后作为农家肥</w:t>
            </w:r>
            <w:r>
              <w:rPr>
                <w:rFonts w:hint="eastAsia" w:ascii="宋体" w:hAnsi="宋体" w:eastAsia="宋体" w:cs="宋体"/>
                <w:color w:val="auto"/>
                <w:sz w:val="24"/>
                <w:szCs w:val="24"/>
              </w:rPr>
              <w:t>。</w:t>
            </w:r>
          </w:p>
          <w:p w14:paraId="3F79081E">
            <w:pPr>
              <w:adjustRightInd w:val="0"/>
              <w:snapToGrid w:val="0"/>
              <w:spacing w:line="360" w:lineRule="auto"/>
              <w:ind w:firstLine="48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综上，本项目产生的各种固体废物均得到妥善处理处置，不会造成二次污染，对厂内外环境无影响。</w:t>
            </w:r>
          </w:p>
          <w:p w14:paraId="623132AB">
            <w:p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环境</w:t>
            </w:r>
            <w:r>
              <w:rPr>
                <w:rFonts w:hint="eastAsia" w:ascii="宋体" w:hAnsi="宋体" w:eastAsia="宋体" w:cs="宋体"/>
                <w:b/>
                <w:bCs/>
                <w:color w:val="auto"/>
                <w:sz w:val="24"/>
                <w:szCs w:val="24"/>
              </w:rPr>
              <w:t>风险</w:t>
            </w:r>
            <w:r>
              <w:rPr>
                <w:rFonts w:hint="eastAsia" w:ascii="宋体" w:hAnsi="宋体" w:eastAsia="宋体" w:cs="宋体"/>
                <w:b/>
                <w:bCs/>
                <w:color w:val="auto"/>
                <w:sz w:val="24"/>
                <w:szCs w:val="24"/>
                <w:lang w:eastAsia="zh-CN"/>
              </w:rPr>
              <w:t>分析</w:t>
            </w:r>
          </w:p>
          <w:p w14:paraId="475CA2EA">
            <w:pPr>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1.风险识别</w:t>
            </w:r>
          </w:p>
          <w:p w14:paraId="452F6BD4">
            <w:pPr>
              <w:spacing w:line="360" w:lineRule="auto"/>
              <w:ind w:firstLine="48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通过对本项目的风险源向分析，项目存在以下风险类型：</w:t>
            </w:r>
          </w:p>
          <w:p w14:paraId="7E8E5E54">
            <w:pPr>
              <w:spacing w:line="360" w:lineRule="auto"/>
              <w:ind w:firstLine="240" w:firstLineChars="1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（1）环保设施故障引起污染事故排放。</w:t>
            </w:r>
          </w:p>
          <w:p w14:paraId="45E76591">
            <w:pPr>
              <w:spacing w:line="360" w:lineRule="auto"/>
              <w:ind w:firstLine="240" w:firstLineChars="1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Times New Roman" w:hAnsi="Times New Roman" w:cs="宋体"/>
                <w:b w:val="0"/>
                <w:bCs w:val="0"/>
                <w:color w:val="auto"/>
                <w:sz w:val="24"/>
                <w:szCs w:val="24"/>
                <w:lang w:val="en-US" w:eastAsia="zh-CN"/>
              </w:rPr>
              <w:t>物料</w:t>
            </w:r>
            <w:r>
              <w:rPr>
                <w:rFonts w:hint="eastAsia" w:ascii="宋体" w:hAnsi="宋体" w:eastAsia="宋体" w:cs="宋体"/>
                <w:b w:val="0"/>
                <w:bCs w:val="0"/>
                <w:color w:val="auto"/>
                <w:sz w:val="24"/>
                <w:szCs w:val="24"/>
                <w:lang w:eastAsia="zh-CN"/>
              </w:rPr>
              <w:t>仓库引起火灾的风险。</w:t>
            </w:r>
          </w:p>
          <w:p w14:paraId="2896D212">
            <w:pPr>
              <w:spacing w:line="360" w:lineRule="auto"/>
              <w:ind w:firstLine="240" w:firstLineChars="1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）热风炉爆炸。</w:t>
            </w:r>
          </w:p>
          <w:p w14:paraId="57B4912D">
            <w:pPr>
              <w:spacing w:line="360" w:lineRule="auto"/>
              <w:ind w:firstLine="48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环保设施故障引起污染事故排放风险</w:t>
            </w:r>
          </w:p>
          <w:p w14:paraId="1C091140">
            <w:pPr>
              <w:tabs>
                <w:tab w:val="left" w:pos="2310"/>
              </w:tabs>
              <w:spacing w:before="50" w:line="360" w:lineRule="auto"/>
              <w:ind w:firstLine="240" w:firstLineChars="100"/>
              <w:rPr>
                <w:rFonts w:hint="eastAsia" w:ascii="Times New Roman" w:hAnsi="Times New Roman" w:cs="宋体"/>
                <w:b/>
                <w:bCs/>
                <w:color w:val="auto"/>
                <w:sz w:val="24"/>
                <w:szCs w:val="24"/>
                <w:lang w:val="en-US" w:eastAsia="zh-CN"/>
              </w:rPr>
            </w:pPr>
            <w:r>
              <w:rPr>
                <w:rFonts w:hint="eastAsia" w:ascii="宋体" w:hAnsi="宋体" w:eastAsia="宋体" w:cs="宋体"/>
                <w:b w:val="0"/>
                <w:bCs w:val="0"/>
                <w:color w:val="auto"/>
                <w:sz w:val="24"/>
                <w:szCs w:val="24"/>
                <w:lang w:val="en-US" w:eastAsia="zh-CN"/>
              </w:rPr>
              <w:t xml:space="preserve">  项目对大气污染物采取“旋风+</w:t>
            </w:r>
            <w:r>
              <w:rPr>
                <w:rFonts w:hint="eastAsia" w:ascii="宋体" w:hAnsi="宋体" w:cs="宋体"/>
                <w:b w:val="0"/>
                <w:bCs w:val="0"/>
                <w:color w:val="auto"/>
                <w:sz w:val="24"/>
                <w:szCs w:val="24"/>
                <w:lang w:val="en-US" w:eastAsia="zh-CN"/>
              </w:rPr>
              <w:t>布袋</w:t>
            </w:r>
            <w:r>
              <w:rPr>
                <w:rFonts w:hint="eastAsia" w:ascii="宋体" w:hAnsi="宋体" w:eastAsia="宋体" w:cs="宋体"/>
                <w:b w:val="0"/>
                <w:bCs w:val="0"/>
                <w:color w:val="auto"/>
                <w:sz w:val="24"/>
                <w:szCs w:val="24"/>
                <w:lang w:val="en-US" w:eastAsia="zh-CN"/>
              </w:rPr>
              <w:t>除尘”设施，设置烟囱排放的处理措施。由于除尘设施使用过久，可能导致大气的非达标排放，进而影响到项目周边的环境敏感目标</w:t>
            </w:r>
            <w:r>
              <w:rPr>
                <w:rFonts w:hint="eastAsia" w:ascii="Times New Roman" w:hAnsi="Times New Roman" w:cs="宋体"/>
                <w:b w:val="0"/>
                <w:bCs w:val="0"/>
                <w:color w:val="auto"/>
                <w:sz w:val="24"/>
                <w:szCs w:val="24"/>
                <w:lang w:val="en-US" w:eastAsia="zh-CN"/>
              </w:rPr>
              <w:t>。</w:t>
            </w:r>
          </w:p>
          <w:p w14:paraId="0FFAB8BA">
            <w:pPr>
              <w:tabs>
                <w:tab w:val="left" w:pos="2310"/>
              </w:tabs>
              <w:spacing w:before="50" w:line="360" w:lineRule="auto"/>
              <w:rPr>
                <w:rFonts w:hint="eastAsia" w:ascii="宋体" w:hAnsi="宋体" w:eastAsia="宋体" w:cs="宋体"/>
                <w:b w:val="0"/>
                <w:bCs w:val="0"/>
                <w:color w:val="auto"/>
                <w:sz w:val="24"/>
                <w:szCs w:val="24"/>
                <w:lang w:val="en-US" w:eastAsia="zh-CN"/>
              </w:rPr>
            </w:pPr>
            <w:r>
              <w:rPr>
                <w:rFonts w:hint="eastAsia" w:ascii="Times New Roman" w:hAnsi="Times New Roman"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2）物料</w:t>
            </w:r>
            <w:r>
              <w:rPr>
                <w:rFonts w:hint="eastAsia" w:ascii="宋体" w:hAnsi="宋体" w:eastAsia="宋体" w:cs="宋体"/>
                <w:b w:val="0"/>
                <w:bCs w:val="0"/>
                <w:color w:val="auto"/>
                <w:sz w:val="24"/>
                <w:szCs w:val="24"/>
                <w:lang w:eastAsia="zh-CN"/>
              </w:rPr>
              <w:t>仓库引起火灾的风险</w:t>
            </w:r>
          </w:p>
          <w:p w14:paraId="1B5E6232">
            <w:pPr>
              <w:tabs>
                <w:tab w:val="left" w:pos="2310"/>
              </w:tabs>
              <w:spacing w:before="50" w:line="360" w:lineRule="auto"/>
              <w:rPr>
                <w:rFonts w:hint="eastAsia" w:ascii="Times New Roman" w:hAnsi="Times New Roman" w:cs="宋体"/>
                <w:b/>
                <w:bCs/>
                <w:color w:val="auto"/>
                <w:sz w:val="24"/>
                <w:szCs w:val="24"/>
                <w:lang w:val="en-US" w:eastAsia="zh-CN"/>
              </w:rPr>
            </w:pPr>
            <w:r>
              <w:rPr>
                <w:rFonts w:hint="eastAsia" w:ascii="Times New Roman" w:hAnsi="Times New Roman" w:cs="宋体"/>
                <w:b/>
                <w:bCs/>
                <w:color w:val="auto"/>
                <w:sz w:val="24"/>
                <w:szCs w:val="24"/>
                <w:lang w:val="en-US" w:eastAsia="zh-CN"/>
              </w:rPr>
              <w:t xml:space="preserve">  </w:t>
            </w:r>
            <w:r>
              <w:rPr>
                <w:rFonts w:hint="eastAsia" w:ascii="Times New Roman" w:hAnsi="Times New Roman" w:cs="宋体"/>
                <w:b w:val="0"/>
                <w:bCs w:val="0"/>
                <w:color w:val="auto"/>
                <w:sz w:val="24"/>
                <w:szCs w:val="24"/>
                <w:lang w:val="en-US" w:eastAsia="zh-CN"/>
              </w:rPr>
              <w:t xml:space="preserve"> 项目物料仓库中堆放的成品，属于易燃物，在储存过程中，由于管理不当，可能导致火灾的风向。</w:t>
            </w:r>
          </w:p>
          <w:p w14:paraId="3FD59CD6">
            <w:pPr>
              <w:tabs>
                <w:tab w:val="left" w:pos="444"/>
              </w:tabs>
              <w:spacing w:before="50" w:line="360" w:lineRule="auto"/>
              <w:ind w:firstLine="480" w:firstLineChars="200"/>
              <w:rPr>
                <w:rFonts w:hint="eastAsia" w:ascii="Times New Roman" w:hAnsi="Times New Roman" w:cs="宋体"/>
                <w:b w:val="0"/>
                <w:bCs w:val="0"/>
                <w:color w:val="auto"/>
                <w:sz w:val="24"/>
                <w:szCs w:val="24"/>
                <w:lang w:val="en-US" w:eastAsia="zh-CN"/>
              </w:rPr>
            </w:pPr>
            <w:r>
              <w:rPr>
                <w:rFonts w:hint="eastAsia" w:ascii="Times New Roman" w:hAnsi="Times New Roman" w:cs="宋体"/>
                <w:b w:val="0"/>
                <w:bCs w:val="0"/>
                <w:color w:val="auto"/>
                <w:sz w:val="24"/>
                <w:szCs w:val="24"/>
                <w:lang w:val="en-US" w:eastAsia="zh-CN"/>
              </w:rPr>
              <w:t>3</w:t>
            </w:r>
            <w:r>
              <w:rPr>
                <w:rFonts w:hint="eastAsia" w:ascii="Times New Roman" w:hAnsi="Times New Roman" w:cs="宋体"/>
                <w:b w:val="0"/>
                <w:bCs w:val="0"/>
                <w:color w:val="auto"/>
                <w:sz w:val="24"/>
                <w:szCs w:val="24"/>
                <w:lang w:eastAsia="zh-CN"/>
              </w:rPr>
              <w:t>）热风炉爆炸</w:t>
            </w:r>
          </w:p>
          <w:p w14:paraId="4F64B68E">
            <w:pPr>
              <w:tabs>
                <w:tab w:val="left" w:pos="2310"/>
              </w:tabs>
              <w:spacing w:before="50" w:line="360" w:lineRule="auto"/>
              <w:rPr>
                <w:rFonts w:hint="eastAsia" w:ascii="Times New Roman" w:hAnsi="Times New Roman" w:cs="宋体"/>
                <w:b w:val="0"/>
                <w:bCs w:val="0"/>
                <w:color w:val="auto"/>
                <w:sz w:val="24"/>
                <w:szCs w:val="24"/>
                <w:lang w:val="en-US" w:eastAsia="zh-CN"/>
              </w:rPr>
            </w:pPr>
            <w:r>
              <w:rPr>
                <w:rFonts w:hint="eastAsia" w:ascii="Times New Roman" w:hAnsi="Times New Roman" w:cs="宋体"/>
                <w:b w:val="0"/>
                <w:bCs w:val="0"/>
                <w:color w:val="auto"/>
                <w:sz w:val="24"/>
                <w:szCs w:val="24"/>
                <w:lang w:val="en-US" w:eastAsia="zh-CN"/>
              </w:rPr>
              <w:t xml:space="preserve">   热风炉在运行过程中，如果控制失效，操作不当，会发生爆炸、热风炉受压不见严重损坏、附件损坏或炉膛爆炸等事故。可能发生的事故类型有：①炉管爆炸，②热风炉超压，③缺陷导致爆炸。</w:t>
            </w:r>
          </w:p>
          <w:p w14:paraId="3D4F93D7">
            <w:pPr>
              <w:numPr>
                <w:ilvl w:val="0"/>
                <w:numId w:val="0"/>
              </w:numPr>
              <w:tabs>
                <w:tab w:val="left" w:pos="2310"/>
              </w:tabs>
              <w:spacing w:before="50" w:line="360" w:lineRule="auto"/>
              <w:ind w:firstLine="480" w:firstLineChars="2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val="en-US" w:eastAsia="zh-CN"/>
              </w:rPr>
              <w:t>2.</w:t>
            </w:r>
            <w:r>
              <w:rPr>
                <w:rFonts w:hint="eastAsia" w:ascii="Times New Roman" w:hAnsi="Times New Roman" w:cs="宋体"/>
                <w:b w:val="0"/>
                <w:bCs w:val="0"/>
                <w:color w:val="auto"/>
                <w:sz w:val="24"/>
                <w:szCs w:val="24"/>
                <w:lang w:eastAsia="zh-CN"/>
              </w:rPr>
              <w:t>风险项源对环境的影响分析</w:t>
            </w:r>
          </w:p>
          <w:p w14:paraId="5AE81C22">
            <w:pPr>
              <w:numPr>
                <w:ilvl w:val="0"/>
                <w:numId w:val="0"/>
              </w:numPr>
              <w:tabs>
                <w:tab w:val="left" w:pos="2310"/>
              </w:tabs>
              <w:spacing w:before="50" w:line="360" w:lineRule="auto"/>
              <w:ind w:firstLine="240" w:firstLineChars="1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eastAsia="zh-CN"/>
              </w:rPr>
              <w:t>（</w:t>
            </w:r>
            <w:r>
              <w:rPr>
                <w:rFonts w:hint="eastAsia" w:ascii="Times New Roman" w:hAnsi="Times New Roman" w:cs="宋体"/>
                <w:b w:val="0"/>
                <w:bCs w:val="0"/>
                <w:color w:val="auto"/>
                <w:sz w:val="24"/>
                <w:szCs w:val="24"/>
                <w:lang w:val="en-US" w:eastAsia="zh-CN"/>
              </w:rPr>
              <w:t>1</w:t>
            </w:r>
            <w:r>
              <w:rPr>
                <w:rFonts w:hint="eastAsia" w:ascii="Times New Roman" w:hAnsi="Times New Roman" w:cs="宋体"/>
                <w:b w:val="0"/>
                <w:bCs w:val="0"/>
                <w:color w:val="auto"/>
                <w:sz w:val="24"/>
                <w:szCs w:val="24"/>
                <w:lang w:eastAsia="zh-CN"/>
              </w:rPr>
              <w:t>）环保设施事故影响分析</w:t>
            </w:r>
          </w:p>
          <w:p w14:paraId="687D4FC2">
            <w:pPr>
              <w:tabs>
                <w:tab w:val="left" w:pos="2310"/>
              </w:tabs>
              <w:spacing w:before="50" w:line="360" w:lineRule="auto"/>
              <w:ind w:firstLine="480" w:firstLineChars="2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eastAsia="zh-CN"/>
              </w:rPr>
              <w:t>对于本项目的区域环境风险而言，项目大气处理设施处理效率降低或失效而导致的废气排放量增加概率是很高的，而且事故发生后较容易疏忽。当大气处理设施事故风险发生时，将导致烟尘、二氧化硫等废气的非达标排放，这样将对周边敏感目标造成严重影响，同时还污染大气环境。</w:t>
            </w:r>
          </w:p>
          <w:p w14:paraId="59C712E8">
            <w:pPr>
              <w:tabs>
                <w:tab w:val="left" w:pos="2310"/>
              </w:tabs>
              <w:spacing w:before="50" w:line="360" w:lineRule="auto"/>
              <w:ind w:firstLine="480" w:firstLineChars="2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eastAsia="zh-CN"/>
              </w:rPr>
              <w:t>热风炉在运行过程中操作不当，或设备部件严重老化等现象，都会发生爆炸事故，将严重威胁厂区职工及周边居民的生命财产安全。</w:t>
            </w:r>
          </w:p>
          <w:p w14:paraId="1EB44495">
            <w:pPr>
              <w:tabs>
                <w:tab w:val="left" w:pos="2310"/>
              </w:tabs>
              <w:spacing w:before="50" w:line="360" w:lineRule="auto"/>
              <w:ind w:firstLine="480" w:firstLineChars="2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eastAsia="zh-CN"/>
              </w:rPr>
              <w:t>所以项目需设置专门的环保设施管理人员，实行岗位责任制，及时维护保养环保设施，降低事故发生的可能性。</w:t>
            </w:r>
          </w:p>
          <w:p w14:paraId="4FB8EF74">
            <w:pPr>
              <w:tabs>
                <w:tab w:val="left" w:pos="2310"/>
              </w:tabs>
              <w:spacing w:before="50" w:line="360" w:lineRule="auto"/>
              <w:ind w:firstLine="240" w:firstLineChars="1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eastAsia="zh-CN"/>
              </w:rPr>
              <w:t>（</w:t>
            </w:r>
            <w:r>
              <w:rPr>
                <w:rFonts w:hint="eastAsia" w:ascii="Times New Roman" w:hAnsi="Times New Roman" w:cs="宋体"/>
                <w:b w:val="0"/>
                <w:bCs w:val="0"/>
                <w:color w:val="auto"/>
                <w:sz w:val="24"/>
                <w:szCs w:val="24"/>
                <w:lang w:val="en-US" w:eastAsia="zh-CN"/>
              </w:rPr>
              <w:t>2</w:t>
            </w:r>
            <w:r>
              <w:rPr>
                <w:rFonts w:hint="eastAsia" w:ascii="Times New Roman" w:hAnsi="Times New Roman" w:cs="宋体"/>
                <w:b w:val="0"/>
                <w:bCs w:val="0"/>
                <w:color w:val="auto"/>
                <w:sz w:val="24"/>
                <w:szCs w:val="24"/>
                <w:lang w:eastAsia="zh-CN"/>
              </w:rPr>
              <w:t>）物料火灾风险影响分析</w:t>
            </w:r>
          </w:p>
          <w:p w14:paraId="6E92CAC3">
            <w:pPr>
              <w:tabs>
                <w:tab w:val="left" w:pos="2310"/>
              </w:tabs>
              <w:spacing w:before="50" w:line="360" w:lineRule="auto"/>
              <w:ind w:firstLine="240" w:firstLineChars="1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eastAsia="zh-CN"/>
              </w:rPr>
              <w:t>项目很多成品属可燃物质，如管理不当，有可能引起火灾的事故，进而影响到项目周边企业和附近村庄安全。</w:t>
            </w:r>
          </w:p>
          <w:p w14:paraId="6649BC7B">
            <w:pPr>
              <w:numPr>
                <w:ilvl w:val="0"/>
                <w:numId w:val="11"/>
              </w:numPr>
              <w:tabs>
                <w:tab w:val="left" w:pos="2310"/>
              </w:tabs>
              <w:spacing w:before="50" w:line="360" w:lineRule="auto"/>
              <w:ind w:firstLine="240" w:firstLineChars="1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eastAsia="zh-CN"/>
              </w:rPr>
              <w:t>事故的应急计划</w:t>
            </w:r>
          </w:p>
          <w:p w14:paraId="59CCF98A">
            <w:pPr>
              <w:numPr>
                <w:ilvl w:val="0"/>
                <w:numId w:val="0"/>
              </w:numPr>
              <w:tabs>
                <w:tab w:val="left" w:pos="2310"/>
              </w:tabs>
              <w:spacing w:before="50" w:line="360" w:lineRule="auto"/>
              <w:ind w:firstLine="480" w:firstLineChars="200"/>
              <w:rPr>
                <w:rFonts w:hint="eastAsia" w:ascii="Times New Roman" w:hAnsi="Times New Roman" w:cs="宋体"/>
                <w:b w:val="0"/>
                <w:bCs w:val="0"/>
                <w:color w:val="auto"/>
                <w:sz w:val="24"/>
                <w:szCs w:val="24"/>
                <w:lang w:eastAsia="zh-CN"/>
              </w:rPr>
            </w:pPr>
            <w:r>
              <w:rPr>
                <w:rFonts w:hint="eastAsia" w:ascii="Times New Roman" w:hAnsi="Times New Roman" w:cs="宋体"/>
                <w:b w:val="0"/>
                <w:bCs w:val="0"/>
                <w:color w:val="auto"/>
                <w:sz w:val="24"/>
                <w:szCs w:val="24"/>
                <w:lang w:eastAsia="zh-CN"/>
              </w:rPr>
              <w:t>我国在安全生产商一贯坚持“预防为主，安全第一”的方针，工作重点应放在预防上，在事战表现上实行“企业自救为主、社会救援为辅”的原则，事故的应急计划是根据工程风险源风险分析，制定的防止事故发生和减少事故发生的损失的计划。因此制定本项目的事故应急计划是十分必要的。</w:t>
            </w:r>
          </w:p>
          <w:p w14:paraId="04ABE557">
            <w:pPr>
              <w:numPr>
                <w:ilvl w:val="0"/>
                <w:numId w:val="0"/>
              </w:numPr>
              <w:tabs>
                <w:tab w:val="left" w:pos="2310"/>
              </w:tabs>
              <w:spacing w:before="50" w:line="360" w:lineRule="auto"/>
              <w:ind w:firstLine="240" w:firstLineChars="1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）事故的预防措施</w:t>
            </w:r>
          </w:p>
          <w:p w14:paraId="2D874540">
            <w:pPr>
              <w:numPr>
                <w:ilvl w:val="0"/>
                <w:numId w:val="0"/>
              </w:numPr>
              <w:tabs>
                <w:tab w:val="left" w:pos="2310"/>
              </w:tabs>
              <w:spacing w:before="5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1)减缓措施</w:t>
            </w:r>
          </w:p>
          <w:p w14:paraId="05D0F5B3">
            <w:pPr>
              <w:numPr>
                <w:ilvl w:val="0"/>
                <w:numId w:val="0"/>
              </w:numPr>
              <w:tabs>
                <w:tab w:val="left" w:pos="2310"/>
              </w:tabs>
              <w:spacing w:before="5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a、企业应建立严格的管理和规章制度，成品堆放时，全过程应有人在现场监督，一且发生事故，立即采取防范措施。</w:t>
            </w:r>
          </w:p>
          <w:p w14:paraId="3B96FBD3">
            <w:pPr>
              <w:numPr>
                <w:ilvl w:val="0"/>
                <w:numId w:val="0"/>
              </w:numPr>
              <w:tabs>
                <w:tab w:val="left" w:pos="2310"/>
              </w:tabs>
              <w:spacing w:before="5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b、发现仓库有异常情况时(如起火)，岗位操作人员应及时向当班班长及调度汇报。相关负责人到场，并由当班班长或岗位主操组成临时指挥组。相关负责人到场后，由车间职能部门、公司主管领导组成抢险指挥组，指挥抢险救援工作，视情况需要及时向有关部门求援。</w:t>
            </w:r>
          </w:p>
          <w:p w14:paraId="0C097697">
            <w:pPr>
              <w:numPr>
                <w:ilvl w:val="0"/>
                <w:numId w:val="0"/>
              </w:numPr>
              <w:tabs>
                <w:tab w:val="left" w:pos="2310"/>
              </w:tabs>
              <w:spacing w:before="5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C、每天到库房检查，对有关情况及时处理，并做好记录。</w:t>
            </w:r>
          </w:p>
          <w:p w14:paraId="35693D3E">
            <w:pPr>
              <w:numPr>
                <w:ilvl w:val="0"/>
                <w:numId w:val="0"/>
              </w:numPr>
              <w:tabs>
                <w:tab w:val="left" w:pos="2310"/>
              </w:tabs>
              <w:spacing w:before="5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d、安排专职热风炉操作人员，操作人员应经过培训，熟悉热风炉操作技能，且持证上岗。</w:t>
            </w:r>
          </w:p>
          <w:p w14:paraId="6F41B4DC">
            <w:pPr>
              <w:numPr>
                <w:ilvl w:val="0"/>
                <w:numId w:val="0"/>
              </w:numPr>
              <w:tabs>
                <w:tab w:val="left" w:pos="2310"/>
              </w:tabs>
              <w:spacing w:before="5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2)风险应急措施</w:t>
            </w:r>
          </w:p>
          <w:p w14:paraId="3A08B35B">
            <w:pPr>
              <w:numPr>
                <w:ilvl w:val="0"/>
                <w:numId w:val="0"/>
              </w:numPr>
              <w:tabs>
                <w:tab w:val="left" w:pos="2310"/>
              </w:tabs>
              <w:spacing w:before="50" w:line="360" w:lineRule="auto"/>
              <w:ind w:firstLine="240" w:firstLineChars="1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a.建设单位应建立已个由主要负责人牵头，由生产、 环保、安全、消防等相关部门负责人参加的高效率的应急事故处理机构， 一旦事故发生，该机构能够根据事故的严重程度及危害迅速作出评估，按照报定的事故应急方案指挥，协调事故的处理，对事故发展进行跟踪。</w:t>
            </w:r>
          </w:p>
          <w:p w14:paraId="1736FAF0">
            <w:pPr>
              <w:numPr>
                <w:ilvl w:val="0"/>
                <w:numId w:val="0"/>
              </w:numPr>
              <w:tabs>
                <w:tab w:val="left" w:pos="2310"/>
              </w:tabs>
              <w:spacing w:before="50" w:line="360" w:lineRule="auto"/>
              <w:ind w:firstLine="240" w:firstLineChars="1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b、针对可能发生的火灾事故制定具体的应急处理方案，使各部门在事故发生后都能有步有次序的采取各项应急措施。</w:t>
            </w:r>
          </w:p>
          <w:p w14:paraId="411D4DA4">
            <w:pPr>
              <w:numPr>
                <w:ilvl w:val="0"/>
                <w:numId w:val="0"/>
              </w:numPr>
              <w:tabs>
                <w:tab w:val="left" w:pos="2310"/>
              </w:tabs>
              <w:spacing w:before="50" w:line="360" w:lineRule="auto"/>
              <w:ind w:firstLine="240" w:firstLineChars="1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c</w:t>
            </w:r>
            <w:r>
              <w:rPr>
                <w:rFonts w:hint="eastAsia" w:ascii="宋体" w:hAnsi="宋体" w:eastAsia="宋体" w:cs="宋体"/>
                <w:b w:val="0"/>
                <w:bCs w:val="0"/>
                <w:color w:val="auto"/>
                <w:sz w:val="24"/>
                <w:szCs w:val="24"/>
                <w:lang w:eastAsia="zh-CN"/>
              </w:rPr>
              <w:t>、配备足够的应急所需的处理设备和材料，如各种消防及个人防护用品等。</w:t>
            </w:r>
          </w:p>
          <w:p w14:paraId="30952098">
            <w:pPr>
              <w:numPr>
                <w:ilvl w:val="0"/>
                <w:numId w:val="0"/>
              </w:numPr>
              <w:tabs>
                <w:tab w:val="left" w:pos="2310"/>
              </w:tabs>
              <w:spacing w:before="50" w:line="360" w:lineRule="auto"/>
              <w:ind w:firstLine="240" w:firstLineChars="100"/>
              <w:rPr>
                <w:rFonts w:hint="eastAsia"/>
                <w:color w:val="auto"/>
                <w:lang w:eastAsia="zh-CN"/>
              </w:rPr>
            </w:pPr>
            <w:r>
              <w:rPr>
                <w:rFonts w:hint="eastAsia" w:ascii="宋体" w:hAnsi="宋体" w:eastAsia="宋体" w:cs="宋体"/>
                <w:b w:val="0"/>
                <w:bCs w:val="0"/>
                <w:color w:val="auto"/>
                <w:sz w:val="24"/>
                <w:szCs w:val="24"/>
                <w:lang w:eastAsia="zh-CN"/>
              </w:rPr>
              <w:t>d、一旦发生火灾，立即进行灭火，并设法降低其它容器物料温度。防止更大火灾发生。</w:t>
            </w:r>
          </w:p>
          <w:p w14:paraId="358F1AA0">
            <w:pPr>
              <w:tabs>
                <w:tab w:val="left" w:pos="2310"/>
              </w:tabs>
              <w:spacing w:before="50" w:line="360" w:lineRule="auto"/>
              <w:rPr>
                <w:rFonts w:hint="eastAsia" w:ascii="Times New Roman" w:hAnsi="Times New Roman" w:cs="宋体"/>
                <w:b/>
                <w:bCs/>
                <w:color w:val="auto"/>
                <w:sz w:val="24"/>
                <w:szCs w:val="24"/>
              </w:rPr>
            </w:pPr>
            <w:r>
              <w:rPr>
                <w:rFonts w:hint="eastAsia" w:ascii="Times New Roman" w:hAnsi="Times New Roman" w:cs="宋体"/>
                <w:b/>
                <w:bCs/>
                <w:color w:val="auto"/>
                <w:sz w:val="24"/>
                <w:szCs w:val="24"/>
                <w:lang w:eastAsia="zh-CN"/>
              </w:rPr>
              <w:t>四</w:t>
            </w:r>
            <w:r>
              <w:rPr>
                <w:rFonts w:hint="eastAsia" w:ascii="Times New Roman" w:hAnsi="Times New Roman" w:cs="宋体"/>
                <w:b/>
                <w:bCs/>
                <w:color w:val="auto"/>
                <w:sz w:val="24"/>
                <w:szCs w:val="24"/>
              </w:rPr>
              <w:t>、清洁生产分析</w:t>
            </w:r>
          </w:p>
          <w:p w14:paraId="7FED4839">
            <w:pPr>
              <w:spacing w:line="360" w:lineRule="auto"/>
              <w:ind w:firstLine="480" w:firstLineChars="200"/>
              <w:rPr>
                <w:rFonts w:hint="eastAsia" w:ascii="Times New Roman" w:hAnsi="Times New Roman" w:cs="宋体"/>
                <w:color w:val="auto"/>
                <w:sz w:val="24"/>
                <w:szCs w:val="24"/>
              </w:rPr>
            </w:pPr>
            <w:r>
              <w:rPr>
                <w:rFonts w:hint="eastAsia" w:ascii="Times New Roman" w:hAnsi="Times New Roman" w:cs="宋体"/>
                <w:color w:val="auto"/>
                <w:sz w:val="24"/>
                <w:szCs w:val="24"/>
              </w:rPr>
              <w:t>清洁生产的含义是：对生产过程，要求节约原材料和能源，淘汰有毒原材料，减降所有废弃物的数量和毒性；对产品，要求减少从原材料提炼到产品最终处置的全生命周期的不利影响；对服务，要求将环境因素纳入设计和所提供的服务中。依据生命周期分析的原则，环评中的清洁生产评价指标可分为四大类，即原材料指标、产品指标、资源指标和污染物产生指标。下面对本项目在清洁生产方面的表现阐述如下：</w:t>
            </w:r>
          </w:p>
          <w:p w14:paraId="0F8DCE48">
            <w:pPr>
              <w:spacing w:line="360" w:lineRule="auto"/>
              <w:rPr>
                <w:rFonts w:hint="eastAsia" w:ascii="Times New Roman" w:hAnsi="Times New Roman" w:cs="宋体"/>
                <w:b/>
                <w:bCs/>
                <w:color w:val="auto"/>
                <w:sz w:val="24"/>
                <w:szCs w:val="24"/>
              </w:rPr>
            </w:pPr>
            <w:r>
              <w:rPr>
                <w:rFonts w:hint="eastAsia" w:ascii="Times New Roman" w:hAnsi="Times New Roman" w:cs="宋体"/>
                <w:b/>
                <w:bCs/>
                <w:color w:val="auto"/>
                <w:sz w:val="24"/>
                <w:szCs w:val="24"/>
              </w:rPr>
              <w:t>1、工艺设备先进性分析</w:t>
            </w:r>
          </w:p>
          <w:p w14:paraId="1D9B1D71">
            <w:pPr>
              <w:spacing w:line="360" w:lineRule="auto"/>
              <w:ind w:firstLine="480" w:firstLineChars="200"/>
              <w:rPr>
                <w:rFonts w:hint="eastAsia" w:ascii="Times New Roman" w:hAnsi="Times New Roman" w:cs="宋体"/>
                <w:color w:val="auto"/>
                <w:sz w:val="24"/>
                <w:szCs w:val="24"/>
              </w:rPr>
            </w:pPr>
            <w:r>
              <w:rPr>
                <w:rFonts w:hint="eastAsia" w:ascii="Times New Roman" w:hAnsi="Times New Roman" w:cs="宋体"/>
                <w:color w:val="auto"/>
                <w:sz w:val="24"/>
                <w:szCs w:val="24"/>
              </w:rPr>
              <w:t>（1）</w:t>
            </w:r>
            <w:r>
              <w:rPr>
                <w:rFonts w:hint="eastAsia" w:ascii="Times New Roman" w:hAnsi="Times New Roman" w:cs="宋体"/>
                <w:color w:val="auto"/>
                <w:sz w:val="24"/>
                <w:szCs w:val="24"/>
                <w:lang w:eastAsia="zh-CN"/>
              </w:rPr>
              <w:t>本项目主要为茶叶加工生产项目，原材料为采摘的无毒无害的新鲜茶叶，生产过程中不添加任何有害物质，</w:t>
            </w:r>
            <w:r>
              <w:rPr>
                <w:rFonts w:hint="eastAsia" w:ascii="Times New Roman" w:hAnsi="Times New Roman" w:cs="宋体"/>
                <w:color w:val="auto"/>
                <w:sz w:val="24"/>
                <w:szCs w:val="24"/>
              </w:rPr>
              <w:t>设备选型坚持高起点，以高、精、尖设备为主，保证产品质量和生产纲领的实现，同时减少污染物的排放。</w:t>
            </w:r>
          </w:p>
          <w:p w14:paraId="2E3D84E8">
            <w:pPr>
              <w:tabs>
                <w:tab w:val="left" w:pos="2310"/>
              </w:tabs>
              <w:spacing w:before="50" w:line="360" w:lineRule="auto"/>
              <w:ind w:firstLine="480" w:firstLineChars="200"/>
              <w:rPr>
                <w:rFonts w:hint="eastAsia" w:ascii="Times New Roman" w:hAnsi="Times New Roman" w:cs="宋体"/>
                <w:color w:val="auto"/>
                <w:sz w:val="24"/>
                <w:szCs w:val="24"/>
              </w:rPr>
            </w:pPr>
            <w:r>
              <w:rPr>
                <w:rFonts w:hint="eastAsia" w:ascii="Times New Roman" w:hAnsi="Times New Roman" w:cs="宋体"/>
                <w:color w:val="auto"/>
                <w:sz w:val="24"/>
                <w:szCs w:val="24"/>
              </w:rPr>
              <w:t>（2）设备选型要考虑企业长远利益发展规划，有利于环境保护，提高企业的研制能力，加速企业产品更新换代。</w:t>
            </w:r>
          </w:p>
          <w:p w14:paraId="6F3172FB">
            <w:pPr>
              <w:spacing w:line="360" w:lineRule="auto"/>
              <w:rPr>
                <w:rFonts w:hint="eastAsia" w:ascii="Times New Roman" w:hAnsi="Times New Roman" w:cs="宋体"/>
                <w:b/>
                <w:bCs/>
                <w:color w:val="auto"/>
                <w:sz w:val="24"/>
                <w:szCs w:val="24"/>
              </w:rPr>
            </w:pPr>
            <w:r>
              <w:rPr>
                <w:rFonts w:hint="eastAsia" w:ascii="Times New Roman" w:hAnsi="Times New Roman" w:cs="宋体"/>
                <w:b/>
                <w:bCs/>
                <w:color w:val="auto"/>
                <w:sz w:val="24"/>
                <w:szCs w:val="24"/>
              </w:rPr>
              <w:t>2、</w:t>
            </w:r>
            <w:r>
              <w:rPr>
                <w:rFonts w:hint="eastAsia" w:ascii="Times New Roman" w:hAnsi="Times New Roman" w:cs="宋体"/>
                <w:b/>
                <w:bCs/>
                <w:color w:val="auto"/>
                <w:sz w:val="24"/>
                <w:szCs w:val="24"/>
                <w:lang w:eastAsia="zh-CN"/>
              </w:rPr>
              <w:t>污染物</w:t>
            </w:r>
            <w:r>
              <w:rPr>
                <w:rFonts w:hint="eastAsia" w:ascii="Times New Roman" w:hAnsi="Times New Roman" w:cs="宋体"/>
                <w:b/>
                <w:bCs/>
                <w:color w:val="auto"/>
                <w:sz w:val="24"/>
                <w:szCs w:val="24"/>
              </w:rPr>
              <w:t>减量化措施</w:t>
            </w:r>
          </w:p>
          <w:p w14:paraId="17BAEC60">
            <w:pPr>
              <w:spacing w:line="360" w:lineRule="auto"/>
              <w:ind w:firstLine="480" w:firstLineChars="200"/>
              <w:rPr>
                <w:rFonts w:hint="eastAsia" w:ascii="Times New Roman" w:hAnsi="Times New Roman"/>
                <w:color w:val="auto"/>
                <w:sz w:val="24"/>
              </w:rPr>
            </w:pPr>
            <w:r>
              <w:rPr>
                <w:rFonts w:hint="eastAsia" w:ascii="Times New Roman" w:hAnsi="Times New Roman" w:cs="宋体"/>
                <w:color w:val="auto"/>
                <w:sz w:val="24"/>
                <w:szCs w:val="24"/>
                <w:lang w:eastAsia="zh-CN"/>
              </w:rPr>
              <w:t>废水：</w:t>
            </w:r>
            <w:r>
              <w:rPr>
                <w:rFonts w:ascii="Times New Roman" w:hAnsi="Times New Roman"/>
                <w:color w:val="auto"/>
                <w:sz w:val="24"/>
              </w:rPr>
              <w:t>本项目</w:t>
            </w:r>
            <w:r>
              <w:rPr>
                <w:rFonts w:hint="eastAsia" w:ascii="Times New Roman" w:hAnsi="Times New Roman"/>
                <w:color w:val="auto"/>
                <w:sz w:val="24"/>
              </w:rPr>
              <w:t>运营期无生产废水产生，产生的废水主要为员工的生活污水。</w:t>
            </w:r>
          </w:p>
          <w:p w14:paraId="54CDC817">
            <w:pPr>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运营期间员工产生的生活</w:t>
            </w:r>
            <w:r>
              <w:rPr>
                <w:rFonts w:hint="eastAsia" w:ascii="Times New Roman" w:hAnsi="Times New Roman"/>
                <w:color w:val="auto"/>
                <w:sz w:val="24"/>
                <w:szCs w:val="24"/>
                <w:lang w:eastAsia="zh-CN"/>
              </w:rPr>
              <w:t>污水</w:t>
            </w:r>
            <w:r>
              <w:rPr>
                <w:rFonts w:hint="eastAsia" w:ascii="Times New Roman" w:hAnsi="Times New Roman"/>
                <w:color w:val="auto"/>
                <w:sz w:val="24"/>
                <w:szCs w:val="24"/>
              </w:rPr>
              <w:t>经</w:t>
            </w:r>
            <w:r>
              <w:rPr>
                <w:rFonts w:hint="eastAsia" w:ascii="Times New Roman" w:hAnsi="Times New Roman"/>
                <w:color w:val="auto"/>
                <w:sz w:val="24"/>
                <w:szCs w:val="24"/>
                <w:lang w:eastAsia="zh-CN"/>
              </w:rPr>
              <w:t>隔油池和化粪池</w:t>
            </w:r>
            <w:r>
              <w:rPr>
                <w:rFonts w:hint="eastAsia" w:ascii="Times New Roman" w:hAnsi="Times New Roman"/>
                <w:color w:val="auto"/>
                <w:sz w:val="24"/>
                <w:szCs w:val="24"/>
              </w:rPr>
              <w:t>处理后用于</w:t>
            </w:r>
            <w:r>
              <w:rPr>
                <w:rFonts w:hint="eastAsia" w:ascii="Times New Roman" w:hAnsi="Times New Roman"/>
                <w:color w:val="auto"/>
                <w:sz w:val="24"/>
                <w:szCs w:val="24"/>
                <w:lang w:eastAsia="zh-CN"/>
              </w:rPr>
              <w:t>周边农田施肥</w:t>
            </w:r>
            <w:r>
              <w:rPr>
                <w:rFonts w:hint="eastAsia" w:ascii="Times New Roman" w:hAnsi="Times New Roman"/>
                <w:color w:val="auto"/>
                <w:sz w:val="24"/>
                <w:szCs w:val="24"/>
              </w:rPr>
              <w:t>，不外排。</w:t>
            </w:r>
          </w:p>
          <w:p w14:paraId="0E07300F">
            <w:pPr>
              <w:adjustRightInd w:val="0"/>
              <w:snapToGrid w:val="0"/>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废气</w:t>
            </w:r>
            <w:r>
              <w:rPr>
                <w:rFonts w:hint="eastAsia" w:ascii="宋体" w:hAnsi="宋体" w:eastAsia="宋体" w:cs="宋体"/>
                <w:b w:val="0"/>
                <w:bCs w:val="0"/>
                <w:color w:val="auto"/>
                <w:sz w:val="24"/>
                <w:szCs w:val="24"/>
                <w:lang w:val="en-US" w:eastAsia="zh-CN"/>
              </w:rPr>
              <w:t>:包括热风</w:t>
            </w:r>
            <w:r>
              <w:rPr>
                <w:rFonts w:hint="eastAsia" w:ascii="宋体" w:hAnsi="宋体" w:eastAsia="宋体" w:cs="宋体"/>
                <w:color w:val="auto"/>
                <w:sz w:val="24"/>
                <w:lang w:eastAsia="zh-CN"/>
              </w:rPr>
              <w:t>炉废气、茶叶在加工过程产生的茶叶粉尘、茶香，厨房产生的油烟以及化粪池异味</w:t>
            </w:r>
            <w:r>
              <w:rPr>
                <w:rFonts w:hint="eastAsia" w:ascii="宋体" w:hAnsi="宋体" w:eastAsia="宋体" w:cs="宋体"/>
                <w:color w:val="auto"/>
                <w:sz w:val="24"/>
              </w:rPr>
              <w:t>。</w:t>
            </w:r>
            <w:r>
              <w:rPr>
                <w:rFonts w:hint="eastAsia" w:ascii="宋体" w:hAnsi="宋体" w:eastAsia="宋体" w:cs="宋体"/>
                <w:bCs/>
                <w:color w:val="auto"/>
                <w:sz w:val="24"/>
                <w:lang w:eastAsia="zh-CN"/>
              </w:rPr>
              <w:t>项目产生的烟尘通过“</w:t>
            </w:r>
            <w:r>
              <w:rPr>
                <w:rFonts w:hint="eastAsia" w:ascii="宋体" w:hAnsi="宋体" w:cs="宋体"/>
                <w:bCs/>
                <w:color w:val="auto"/>
                <w:sz w:val="24"/>
                <w:lang w:val="en-US" w:eastAsia="zh-CN"/>
              </w:rPr>
              <w:t>1套</w:t>
            </w:r>
            <w:r>
              <w:rPr>
                <w:rFonts w:hint="eastAsia" w:ascii="宋体" w:hAnsi="宋体" w:eastAsia="宋体" w:cs="宋体"/>
                <w:bCs/>
                <w:color w:val="auto"/>
                <w:sz w:val="24"/>
                <w:lang w:eastAsia="zh-CN"/>
              </w:rPr>
              <w:t>旋风</w:t>
            </w:r>
            <w:r>
              <w:rPr>
                <w:rFonts w:hint="eastAsia" w:ascii="宋体" w:hAnsi="宋体" w:eastAsia="宋体" w:cs="宋体"/>
                <w:bCs/>
                <w:color w:val="auto"/>
                <w:sz w:val="24"/>
                <w:lang w:val="en-US" w:eastAsia="zh-CN"/>
              </w:rPr>
              <w:t>+布袋除尘器</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处理达标后通过排气烟囱达标排放；粉尘产生量较小，</w:t>
            </w:r>
            <w:r>
              <w:rPr>
                <w:rFonts w:hint="eastAsia" w:ascii="宋体" w:hAnsi="宋体" w:eastAsia="宋体" w:cs="宋体"/>
                <w:color w:val="auto"/>
                <w:sz w:val="24"/>
                <w:szCs w:val="24"/>
              </w:rPr>
              <w:t>通过车间门窗飘散到车间外的粉尘量极其有限，对大气环境污染影响较小</w:t>
            </w:r>
            <w:r>
              <w:rPr>
                <w:rFonts w:hint="eastAsia" w:ascii="宋体" w:hAnsi="宋体" w:eastAsia="宋体" w:cs="宋体"/>
                <w:color w:val="auto"/>
                <w:sz w:val="24"/>
                <w:szCs w:val="24"/>
                <w:lang w:eastAsia="zh-CN"/>
              </w:rPr>
              <w:t>；加工红茶时在</w:t>
            </w:r>
            <w:r>
              <w:rPr>
                <w:rFonts w:hint="eastAsia" w:ascii="宋体" w:hAnsi="宋体" w:eastAsia="宋体" w:cs="宋体"/>
                <w:color w:val="auto"/>
                <w:sz w:val="24"/>
                <w:szCs w:val="24"/>
              </w:rPr>
              <w:t>发酵的过程中会</w:t>
            </w:r>
            <w:r>
              <w:rPr>
                <w:rFonts w:hint="eastAsia" w:ascii="宋体" w:hAnsi="宋体" w:cs="宋体"/>
                <w:color w:val="auto"/>
                <w:sz w:val="24"/>
                <w:szCs w:val="24"/>
                <w:lang w:eastAsia="zh-CN"/>
              </w:rPr>
              <w:t>产生</w:t>
            </w:r>
            <w:r>
              <w:rPr>
                <w:rFonts w:hint="eastAsia" w:ascii="宋体" w:hAnsi="宋体" w:eastAsia="宋体" w:cs="宋体"/>
                <w:color w:val="auto"/>
                <w:sz w:val="24"/>
                <w:szCs w:val="24"/>
                <w:lang w:eastAsia="zh-CN"/>
              </w:rPr>
              <w:t>茶香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其对人体无害，</w:t>
            </w:r>
            <w:r>
              <w:rPr>
                <w:rFonts w:hint="eastAsia" w:ascii="宋体" w:hAnsi="宋体" w:cs="宋体"/>
                <w:color w:val="auto"/>
                <w:sz w:val="24"/>
                <w:szCs w:val="24"/>
                <w:lang w:eastAsia="zh-CN"/>
              </w:rPr>
              <w:t>产生量较少</w:t>
            </w:r>
            <w:r>
              <w:rPr>
                <w:rFonts w:hint="eastAsia" w:ascii="Times New Roman" w:hAnsi="Times New Roman"/>
                <w:color w:val="auto"/>
                <w:sz w:val="24"/>
                <w:szCs w:val="24"/>
              </w:rPr>
              <w:t>，</w:t>
            </w:r>
            <w:r>
              <w:rPr>
                <w:rFonts w:hint="eastAsia"/>
                <w:color w:val="auto"/>
                <w:sz w:val="24"/>
                <w:szCs w:val="24"/>
                <w:lang w:eastAsia="zh-CN"/>
              </w:rPr>
              <w:t>通过门窗阻隔和空气稀释后，</w:t>
            </w:r>
            <w:r>
              <w:rPr>
                <w:rFonts w:hint="eastAsia" w:ascii="Times New Roman" w:hAnsi="Times New Roman"/>
                <w:color w:val="auto"/>
                <w:sz w:val="24"/>
                <w:szCs w:val="24"/>
              </w:rPr>
              <w:t>项目发酵产生的异味较难逸出到厂房外。</w:t>
            </w:r>
            <w:r>
              <w:rPr>
                <w:rFonts w:hint="eastAsia" w:ascii="宋体" w:hAnsi="宋体" w:eastAsia="宋体" w:cs="宋体"/>
                <w:color w:val="auto"/>
                <w:sz w:val="24"/>
                <w:szCs w:val="24"/>
                <w:lang w:eastAsia="zh-CN"/>
              </w:rPr>
              <w:t>项目厨房</w:t>
            </w:r>
            <w:r>
              <w:rPr>
                <w:rFonts w:hint="eastAsia" w:ascii="宋体" w:hAnsi="宋体" w:eastAsia="宋体" w:cs="宋体"/>
                <w:color w:val="auto"/>
                <w:sz w:val="24"/>
                <w:szCs w:val="24"/>
              </w:rPr>
              <w:t>油烟产生量较小，</w:t>
            </w:r>
            <w:r>
              <w:rPr>
                <w:rFonts w:hint="eastAsia" w:ascii="宋体" w:hAnsi="宋体" w:eastAsia="宋体" w:cs="宋体"/>
                <w:color w:val="auto"/>
                <w:sz w:val="24"/>
                <w:lang w:eastAsia="zh-CN"/>
              </w:rPr>
              <w:t>经油烟净化器处理后可达标</w:t>
            </w:r>
            <w:r>
              <w:rPr>
                <w:rFonts w:hint="eastAsia" w:ascii="宋体" w:hAnsi="宋体" w:eastAsia="宋体" w:cs="宋体"/>
                <w:color w:val="auto"/>
                <w:sz w:val="24"/>
              </w:rPr>
              <w:t>排放</w:t>
            </w:r>
            <w:r>
              <w:rPr>
                <w:rFonts w:hint="eastAsia" w:ascii="宋体" w:hAnsi="宋体" w:eastAsia="宋体" w:cs="宋体"/>
                <w:color w:val="auto"/>
                <w:sz w:val="24"/>
                <w:szCs w:val="24"/>
                <w:lang w:val="en-US" w:eastAsia="zh-CN"/>
              </w:rPr>
              <w:t>。</w:t>
            </w:r>
          </w:p>
          <w:p w14:paraId="52002C12">
            <w:pPr>
              <w:spacing w:line="360" w:lineRule="auto"/>
              <w:ind w:firstLine="480" w:firstLineChars="200"/>
              <w:rPr>
                <w:rFonts w:hint="eastAsia" w:ascii="Times New Roman" w:hAnsi="Times New Roman" w:eastAsia="宋体" w:cs="宋体"/>
                <w:b w:val="0"/>
                <w:bCs w:val="0"/>
                <w:color w:val="auto"/>
                <w:sz w:val="24"/>
                <w:szCs w:val="24"/>
                <w:lang w:eastAsia="zh-CN"/>
              </w:rPr>
            </w:pPr>
            <w:r>
              <w:rPr>
                <w:rFonts w:hint="eastAsia" w:ascii="Times New Roman" w:hAnsi="Times New Roman" w:cs="宋体"/>
                <w:b w:val="0"/>
                <w:bCs w:val="0"/>
                <w:color w:val="auto"/>
                <w:sz w:val="24"/>
                <w:szCs w:val="24"/>
                <w:lang w:eastAsia="zh-CN"/>
              </w:rPr>
              <w:t>固废：</w:t>
            </w:r>
            <w:r>
              <w:rPr>
                <w:rFonts w:hint="eastAsia" w:ascii="Times New Roman" w:hAnsi="Times New Roman"/>
                <w:bCs/>
                <w:color w:val="auto"/>
                <w:sz w:val="24"/>
                <w:szCs w:val="24"/>
              </w:rPr>
              <w:t>生活</w:t>
            </w:r>
            <w:r>
              <w:rPr>
                <w:rFonts w:ascii="Times New Roman" w:hAnsi="Times New Roman"/>
                <w:bCs/>
                <w:color w:val="auto"/>
                <w:sz w:val="24"/>
                <w:szCs w:val="24"/>
              </w:rPr>
              <w:t>垃圾</w:t>
            </w:r>
            <w:r>
              <w:rPr>
                <w:rFonts w:hint="eastAsia" w:ascii="宋体" w:hAnsi="宋体" w:eastAsia="宋体" w:cs="宋体"/>
                <w:bCs/>
                <w:color w:val="auto"/>
                <w:sz w:val="24"/>
                <w:szCs w:val="24"/>
              </w:rPr>
              <w:t>集中收集后外运至垃圾堆放点</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由当地环卫部门清运</w:t>
            </w:r>
            <w:r>
              <w:rPr>
                <w:rFonts w:hint="eastAsia" w:ascii="Times New Roman" w:hAnsi="Times New Roman" w:cs="宋体"/>
                <w:color w:val="auto"/>
                <w:sz w:val="24"/>
                <w:szCs w:val="24"/>
                <w:lang w:eastAsia="zh-CN"/>
              </w:rPr>
              <w:t>，对环境影响较小、</w:t>
            </w:r>
            <w:r>
              <w:rPr>
                <w:rFonts w:hint="eastAsia" w:ascii="Times New Roman" w:hAnsi="Times New Roman"/>
                <w:color w:val="auto"/>
                <w:sz w:val="24"/>
                <w:szCs w:val="24"/>
                <w:lang w:eastAsia="zh-CN"/>
              </w:rPr>
              <w:t>化粪池污泥清掏后</w:t>
            </w:r>
            <w:r>
              <w:rPr>
                <w:rFonts w:hint="eastAsia" w:ascii="Times New Roman" w:hAnsi="Times New Roman"/>
                <w:color w:val="auto"/>
                <w:sz w:val="24"/>
                <w:szCs w:val="24"/>
              </w:rPr>
              <w:t>作为农肥使用</w:t>
            </w:r>
            <w:r>
              <w:rPr>
                <w:rFonts w:hint="eastAsia" w:ascii="Times New Roman" w:hAnsi="Times New Roman" w:cs="宋体"/>
                <w:color w:val="auto"/>
                <w:sz w:val="24"/>
                <w:szCs w:val="24"/>
                <w:lang w:eastAsia="zh-CN"/>
              </w:rPr>
              <w:t>。生产固废包括加工过程中的杂质、热风炉灰渣</w:t>
            </w:r>
            <w:r>
              <w:rPr>
                <w:rFonts w:hint="eastAsia" w:ascii="Times New Roman" w:hAnsi="Times New Roman"/>
                <w:color w:val="auto"/>
                <w:sz w:val="24"/>
                <w:szCs w:val="24"/>
                <w:lang w:eastAsia="zh-CN"/>
              </w:rPr>
              <w:t>通过</w:t>
            </w:r>
            <w:r>
              <w:rPr>
                <w:rFonts w:hint="eastAsia" w:ascii="Times New Roman" w:hAnsi="Times New Roman"/>
                <w:color w:val="auto"/>
                <w:sz w:val="24"/>
                <w:szCs w:val="24"/>
              </w:rPr>
              <w:t>集中收集后交由周边农户堆肥，作为农肥使用</w:t>
            </w:r>
            <w:r>
              <w:rPr>
                <w:rFonts w:hint="eastAsia" w:ascii="Times New Roman" w:hAnsi="Times New Roman"/>
                <w:color w:val="auto"/>
                <w:sz w:val="24"/>
                <w:szCs w:val="24"/>
                <w:lang w:eastAsia="zh-CN"/>
              </w:rPr>
              <w:t>，对环境有正面的影响；</w:t>
            </w:r>
            <w:r>
              <w:rPr>
                <w:rFonts w:ascii="Times New Roman" w:hAnsi="Times New Roman"/>
                <w:bCs/>
                <w:color w:val="auto"/>
                <w:sz w:val="24"/>
                <w:szCs w:val="24"/>
              </w:rPr>
              <w:t>项目营运过程中将产生</w:t>
            </w:r>
            <w:r>
              <w:rPr>
                <w:rFonts w:hint="eastAsia" w:ascii="Times New Roman" w:hAnsi="Times New Roman"/>
                <w:bCs/>
                <w:color w:val="auto"/>
                <w:sz w:val="24"/>
                <w:szCs w:val="24"/>
              </w:rPr>
              <w:t>一定</w:t>
            </w:r>
            <w:r>
              <w:rPr>
                <w:rFonts w:ascii="Times New Roman" w:hAnsi="Times New Roman"/>
                <w:bCs/>
                <w:color w:val="auto"/>
                <w:sz w:val="24"/>
                <w:szCs w:val="24"/>
              </w:rPr>
              <w:t>的原辅料包装物，包装物主要为塑料编织袋，</w:t>
            </w:r>
            <w:r>
              <w:rPr>
                <w:rFonts w:hint="eastAsia" w:ascii="Times New Roman" w:hAnsi="Times New Roman"/>
                <w:bCs/>
                <w:color w:val="auto"/>
                <w:sz w:val="24"/>
                <w:szCs w:val="24"/>
              </w:rPr>
              <w:t>由专人收集回收利用，不外</w:t>
            </w:r>
            <w:r>
              <w:rPr>
                <w:rFonts w:hint="eastAsia" w:ascii="Times New Roman" w:hAnsi="Times New Roman"/>
                <w:bCs/>
                <w:color w:val="auto"/>
                <w:sz w:val="24"/>
                <w:szCs w:val="24"/>
                <w:lang w:eastAsia="zh-CN"/>
              </w:rPr>
              <w:t>排，</w:t>
            </w:r>
            <w:r>
              <w:rPr>
                <w:rFonts w:hint="eastAsia" w:ascii="Times New Roman" w:hAnsi="Times New Roman"/>
                <w:color w:val="auto"/>
                <w:sz w:val="24"/>
                <w:szCs w:val="24"/>
                <w:lang w:eastAsia="zh-CN"/>
              </w:rPr>
              <w:t>对环境影响较小。</w:t>
            </w:r>
          </w:p>
          <w:p w14:paraId="43A7B7FB">
            <w:pPr>
              <w:numPr>
                <w:ilvl w:val="0"/>
                <w:numId w:val="0"/>
              </w:numPr>
              <w:spacing w:line="360" w:lineRule="auto"/>
              <w:rPr>
                <w:rFonts w:hint="eastAsia"/>
                <w:color w:val="auto"/>
                <w:lang w:val="en-US" w:eastAsia="zh-CN"/>
              </w:rPr>
            </w:pPr>
            <w:r>
              <w:rPr>
                <w:rFonts w:hint="eastAsia" w:ascii="宋体" w:hAnsi="宋体" w:cs="宋体"/>
                <w:b/>
                <w:color w:val="auto"/>
                <w:sz w:val="24"/>
                <w:szCs w:val="24"/>
                <w:lang w:val="en-US" w:eastAsia="zh-CN"/>
              </w:rPr>
              <w:t>3、生物质燃料可行性分析</w:t>
            </w:r>
          </w:p>
          <w:p w14:paraId="00F0E15C">
            <w:pPr>
              <w:spacing w:line="360" w:lineRule="auto"/>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 xml:space="preserve">    </w:t>
            </w:r>
            <w:r>
              <w:rPr>
                <w:rFonts w:hint="eastAsia" w:ascii="宋体" w:hAnsi="宋体" w:cs="宋体"/>
                <w:b w:val="0"/>
                <w:bCs/>
                <w:color w:val="auto"/>
                <w:sz w:val="24"/>
                <w:szCs w:val="24"/>
                <w:lang w:val="en-US" w:eastAsia="zh-CN"/>
              </w:rPr>
              <w:t>本项目</w:t>
            </w:r>
            <w:r>
              <w:rPr>
                <w:rFonts w:hint="eastAsia" w:ascii="宋体" w:hAnsi="宋体" w:eastAsia="宋体" w:cs="宋体"/>
                <w:color w:val="auto"/>
                <w:sz w:val="24"/>
                <w:szCs w:val="24"/>
                <w:lang w:eastAsia="zh-CN"/>
              </w:rPr>
              <w:t>热风炉主要燃烧废</w:t>
            </w:r>
            <w:r>
              <w:rPr>
                <w:rFonts w:hint="eastAsia" w:ascii="宋体" w:hAnsi="宋体" w:cs="宋体"/>
                <w:color w:val="auto"/>
                <w:sz w:val="24"/>
                <w:szCs w:val="24"/>
                <w:lang w:eastAsia="zh-CN"/>
              </w:rPr>
              <w:t>弃</w:t>
            </w:r>
            <w:r>
              <w:rPr>
                <w:rFonts w:hint="eastAsia" w:ascii="宋体" w:hAnsi="宋体" w:eastAsia="宋体" w:cs="宋体"/>
                <w:color w:val="auto"/>
                <w:sz w:val="24"/>
                <w:szCs w:val="24"/>
                <w:lang w:eastAsia="zh-CN"/>
              </w:rPr>
              <w:t>木材</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木屑等，从项目周边木材厂购买</w:t>
            </w:r>
            <w:r>
              <w:rPr>
                <w:rFonts w:hint="eastAsia" w:ascii="宋体" w:hAnsi="宋体" w:cs="宋体"/>
                <w:color w:val="auto"/>
                <w:sz w:val="24"/>
                <w:szCs w:val="24"/>
                <w:lang w:eastAsia="zh-CN"/>
              </w:rPr>
              <w:t>。废气排放标准参照燃煤锅炉中的标准。根据《国务院关于印发打赢蓝天保卫战三年行动计划的通知》中的第十一条可知，在不具备热电联产集中供热条件的地区，现有多台燃煤小锅炉的，可按照等容量替代原则建设大容量燃煤锅炉，本项目所在地还不具备集中供热条件，本项目使用的是热风炉且燃烧生物质燃料，生物质燃料燃烧产生的废气比燃煤产生的废气少和能够实现废弃物综合利用，减少资源浪费，所以本项目燃烧生物质燃料可行，符合《国务院关于印发打赢蓝天保卫战三年行动计划的通知》中的要求。</w:t>
            </w:r>
          </w:p>
          <w:p w14:paraId="019E5D49">
            <w:pPr>
              <w:spacing w:line="360" w:lineRule="auto"/>
              <w:rPr>
                <w:rFonts w:hint="eastAsia" w:ascii="Times New Roman" w:hAnsi="Times New Roman" w:cs="宋体"/>
                <w:b/>
                <w:bCs/>
                <w:color w:val="auto"/>
                <w:sz w:val="24"/>
                <w:szCs w:val="24"/>
              </w:rPr>
            </w:pPr>
            <w:r>
              <w:rPr>
                <w:rFonts w:hint="eastAsia" w:cs="宋体"/>
                <w:b/>
                <w:bCs/>
                <w:color w:val="auto"/>
                <w:sz w:val="24"/>
                <w:szCs w:val="24"/>
                <w:lang w:val="en-US" w:eastAsia="zh-CN"/>
              </w:rPr>
              <w:t>4</w:t>
            </w:r>
            <w:r>
              <w:rPr>
                <w:rFonts w:hint="eastAsia" w:ascii="Times New Roman" w:hAnsi="Times New Roman" w:cs="宋体"/>
                <w:b/>
                <w:bCs/>
                <w:color w:val="auto"/>
                <w:sz w:val="24"/>
                <w:szCs w:val="24"/>
              </w:rPr>
              <w:t>、资源能源利用率</w:t>
            </w:r>
          </w:p>
          <w:p w14:paraId="3C40A29F">
            <w:pPr>
              <w:spacing w:line="360" w:lineRule="auto"/>
              <w:ind w:firstLine="480" w:firstLineChars="200"/>
              <w:rPr>
                <w:rFonts w:hint="eastAsia" w:ascii="Times New Roman" w:hAnsi="Times New Roman" w:cs="宋体"/>
                <w:color w:val="auto"/>
                <w:sz w:val="24"/>
                <w:szCs w:val="24"/>
              </w:rPr>
            </w:pPr>
            <w:r>
              <w:rPr>
                <w:rFonts w:hint="eastAsia" w:ascii="Times New Roman" w:hAnsi="Times New Roman" w:cs="宋体"/>
                <w:color w:val="auto"/>
                <w:sz w:val="24"/>
                <w:szCs w:val="24"/>
              </w:rPr>
              <w:t>（1）项目选用国内成熟先进的</w:t>
            </w:r>
            <w:r>
              <w:rPr>
                <w:rFonts w:hint="eastAsia" w:ascii="Times New Roman" w:hAnsi="Times New Roman" w:cs="宋体"/>
                <w:color w:val="auto"/>
                <w:sz w:val="24"/>
                <w:szCs w:val="24"/>
                <w:lang w:eastAsia="zh-CN"/>
              </w:rPr>
              <w:t>烘干机和拣梗机</w:t>
            </w:r>
            <w:r>
              <w:rPr>
                <w:rFonts w:hint="eastAsia" w:ascii="Times New Roman" w:hAnsi="Times New Roman" w:cs="宋体"/>
                <w:color w:val="auto"/>
                <w:sz w:val="24"/>
                <w:szCs w:val="24"/>
              </w:rPr>
              <w:t>，减少水、电的用量；</w:t>
            </w:r>
          </w:p>
          <w:p w14:paraId="05B37BED">
            <w:pPr>
              <w:spacing w:line="360" w:lineRule="auto"/>
              <w:ind w:firstLine="480" w:firstLineChars="200"/>
              <w:rPr>
                <w:rFonts w:hint="eastAsia" w:ascii="Times New Roman" w:hAnsi="Times New Roman" w:cs="宋体"/>
                <w:color w:val="auto"/>
                <w:sz w:val="24"/>
                <w:szCs w:val="24"/>
              </w:rPr>
            </w:pPr>
            <w:r>
              <w:rPr>
                <w:rFonts w:hint="eastAsia" w:ascii="Times New Roman" w:hAnsi="Times New Roman" w:cs="宋体"/>
                <w:color w:val="auto"/>
                <w:sz w:val="24"/>
                <w:szCs w:val="24"/>
              </w:rPr>
              <w:t>（2）项目投入运营后，每年将经过</w:t>
            </w:r>
            <w:r>
              <w:rPr>
                <w:rFonts w:hint="eastAsia" w:ascii="Times New Roman" w:hAnsi="Times New Roman" w:cs="宋体"/>
                <w:color w:val="auto"/>
                <w:sz w:val="24"/>
                <w:szCs w:val="24"/>
                <w:lang w:eastAsia="zh-CN"/>
              </w:rPr>
              <w:t>化粪池</w:t>
            </w:r>
            <w:r>
              <w:rPr>
                <w:rFonts w:hint="eastAsia" w:ascii="Times New Roman" w:hAnsi="Times New Roman"/>
                <w:color w:val="auto"/>
                <w:sz w:val="24"/>
                <w:szCs w:val="24"/>
              </w:rPr>
              <w:t>处理后</w:t>
            </w:r>
            <w:r>
              <w:rPr>
                <w:rFonts w:hint="eastAsia"/>
                <w:color w:val="auto"/>
                <w:sz w:val="24"/>
                <w:szCs w:val="24"/>
                <w:lang w:eastAsia="zh-CN"/>
              </w:rPr>
              <w:t>的污水</w:t>
            </w:r>
            <w:r>
              <w:rPr>
                <w:rFonts w:hint="eastAsia" w:ascii="Times New Roman" w:hAnsi="Times New Roman" w:cs="宋体"/>
                <w:bCs/>
                <w:color w:val="auto"/>
                <w:sz w:val="24"/>
                <w:szCs w:val="24"/>
              </w:rPr>
              <w:t>定期清掏作为</w:t>
            </w:r>
            <w:r>
              <w:rPr>
                <w:rFonts w:hint="eastAsia" w:ascii="Times New Roman" w:hAnsi="Times New Roman"/>
                <w:color w:val="auto"/>
                <w:spacing w:val="-6"/>
                <w:sz w:val="24"/>
                <w:szCs w:val="24"/>
              </w:rPr>
              <w:t>项目周边</w:t>
            </w:r>
            <w:r>
              <w:rPr>
                <w:rFonts w:hint="eastAsia" w:ascii="Times New Roman" w:hAnsi="Times New Roman"/>
                <w:color w:val="auto"/>
                <w:spacing w:val="-6"/>
                <w:sz w:val="24"/>
                <w:szCs w:val="24"/>
                <w:lang w:eastAsia="zh-CN"/>
              </w:rPr>
              <w:t>农田施肥</w:t>
            </w:r>
            <w:r>
              <w:rPr>
                <w:rFonts w:hint="eastAsia" w:ascii="Times New Roman" w:hAnsi="Times New Roman"/>
                <w:color w:val="auto"/>
                <w:sz w:val="24"/>
                <w:szCs w:val="24"/>
              </w:rPr>
              <w:t>，能在减少对环境影响的同时提高经济效益。</w:t>
            </w:r>
          </w:p>
          <w:p w14:paraId="6FC777CD">
            <w:pPr>
              <w:adjustRightInd w:val="0"/>
              <w:snapToGrid w:val="0"/>
              <w:spacing w:line="360" w:lineRule="auto"/>
              <w:ind w:firstLine="480" w:firstLineChars="200"/>
              <w:rPr>
                <w:rFonts w:hint="eastAsia" w:ascii="Times New Roman" w:hAnsi="Times New Roman" w:eastAsia="宋体" w:cs="宋体"/>
                <w:color w:val="auto"/>
                <w:sz w:val="24"/>
                <w:szCs w:val="24"/>
                <w:lang w:eastAsia="zh-CN"/>
              </w:rPr>
            </w:pPr>
            <w:r>
              <w:rPr>
                <w:rFonts w:hint="eastAsia" w:cs="宋体"/>
                <w:color w:val="auto"/>
                <w:sz w:val="24"/>
                <w:szCs w:val="24"/>
                <w:lang w:eastAsia="zh-CN"/>
              </w:rPr>
              <w:t>（</w:t>
            </w:r>
            <w:r>
              <w:rPr>
                <w:rFonts w:hint="eastAsia" w:cs="宋体"/>
                <w:color w:val="auto"/>
                <w:sz w:val="24"/>
                <w:szCs w:val="24"/>
                <w:lang w:val="en-US" w:eastAsia="zh-CN"/>
              </w:rPr>
              <w:t>3</w:t>
            </w:r>
            <w:r>
              <w:rPr>
                <w:rFonts w:hint="eastAsia" w:cs="宋体"/>
                <w:color w:val="auto"/>
                <w:sz w:val="24"/>
                <w:szCs w:val="24"/>
                <w:lang w:eastAsia="zh-CN"/>
              </w:rPr>
              <w:t>）本项目生物质燃料符合国家有关规定，且</w:t>
            </w:r>
            <w:r>
              <w:rPr>
                <w:rFonts w:hint="eastAsia" w:ascii="宋体" w:hAnsi="宋体" w:cs="宋体"/>
                <w:color w:val="auto"/>
                <w:sz w:val="24"/>
                <w:szCs w:val="24"/>
                <w:lang w:eastAsia="zh-CN"/>
              </w:rPr>
              <w:t>能够实现废弃物综合利用，减少资源浪费。</w:t>
            </w:r>
          </w:p>
          <w:p w14:paraId="3058DAD9">
            <w:pPr>
              <w:adjustRightInd w:val="0"/>
              <w:snapToGrid w:val="0"/>
              <w:spacing w:line="360" w:lineRule="auto"/>
              <w:ind w:firstLine="480" w:firstLineChars="200"/>
              <w:rPr>
                <w:rFonts w:hint="eastAsia" w:ascii="Times New Roman" w:hAnsi="Times New Roman" w:cs="宋体"/>
                <w:b/>
                <w:color w:val="auto"/>
                <w:sz w:val="24"/>
                <w:szCs w:val="24"/>
                <w:lang w:eastAsia="zh-CN"/>
              </w:rPr>
            </w:pPr>
            <w:r>
              <w:rPr>
                <w:rFonts w:hint="eastAsia" w:ascii="Times New Roman" w:hAnsi="Times New Roman" w:cs="宋体"/>
                <w:color w:val="auto"/>
                <w:sz w:val="24"/>
                <w:szCs w:val="24"/>
              </w:rPr>
              <w:t>综合而言，本项目为</w:t>
            </w:r>
            <w:r>
              <w:rPr>
                <w:rFonts w:hint="eastAsia" w:ascii="Times New Roman" w:hAnsi="Times New Roman"/>
                <w:color w:val="auto"/>
                <w:sz w:val="24"/>
                <w:szCs w:val="24"/>
                <w:lang w:eastAsia="zh-CN"/>
              </w:rPr>
              <w:t>精制茶加工业</w:t>
            </w:r>
            <w:r>
              <w:rPr>
                <w:rFonts w:hint="eastAsia" w:ascii="Times New Roman" w:hAnsi="Times New Roman" w:cs="宋体"/>
                <w:color w:val="auto"/>
                <w:sz w:val="24"/>
                <w:szCs w:val="24"/>
              </w:rPr>
              <w:t>，原料、工艺、能源的使用都尽量节能环保少污染，则建设项目符合清洁生产原则。</w:t>
            </w:r>
          </w:p>
          <w:p w14:paraId="26C8661A">
            <w:pPr>
              <w:adjustRightInd w:val="0"/>
              <w:snapToGrid w:val="0"/>
              <w:spacing w:line="360" w:lineRule="auto"/>
              <w:rPr>
                <w:rFonts w:hint="eastAsia" w:ascii="Times New Roman" w:hAnsi="Times New Roman" w:cs="宋体"/>
                <w:b/>
                <w:color w:val="auto"/>
                <w:sz w:val="24"/>
                <w:szCs w:val="24"/>
              </w:rPr>
            </w:pPr>
            <w:r>
              <w:rPr>
                <w:rFonts w:hint="eastAsia" w:ascii="Times New Roman" w:hAnsi="Times New Roman" w:cs="宋体"/>
                <w:b/>
                <w:color w:val="auto"/>
                <w:sz w:val="24"/>
                <w:szCs w:val="24"/>
                <w:lang w:eastAsia="zh-CN"/>
              </w:rPr>
              <w:t>五</w:t>
            </w:r>
            <w:r>
              <w:rPr>
                <w:rFonts w:hint="eastAsia" w:ascii="Times New Roman" w:hAnsi="Times New Roman" w:cs="宋体"/>
                <w:b/>
                <w:color w:val="auto"/>
                <w:sz w:val="24"/>
                <w:szCs w:val="24"/>
              </w:rPr>
              <w:t>、社会影响分析</w:t>
            </w:r>
          </w:p>
          <w:p w14:paraId="5D4D7510">
            <w:pPr>
              <w:adjustRightInd w:val="0"/>
              <w:snapToGrid w:val="0"/>
              <w:spacing w:line="360" w:lineRule="auto"/>
              <w:rPr>
                <w:rFonts w:hint="eastAsia" w:ascii="Times New Roman" w:hAnsi="Times New Roman" w:cs="宋体"/>
                <w:b/>
                <w:color w:val="auto"/>
                <w:sz w:val="24"/>
                <w:szCs w:val="24"/>
              </w:rPr>
            </w:pPr>
            <w:r>
              <w:rPr>
                <w:rFonts w:hint="eastAsia" w:ascii="Times New Roman" w:hAnsi="Times New Roman" w:cs="宋体"/>
                <w:b/>
                <w:color w:val="auto"/>
                <w:sz w:val="24"/>
                <w:szCs w:val="24"/>
              </w:rPr>
              <w:t>1、对产业结构的影响分析</w:t>
            </w:r>
          </w:p>
          <w:p w14:paraId="7E0B543A">
            <w:pPr>
              <w:adjustRightInd w:val="0"/>
              <w:snapToGrid w:val="0"/>
              <w:spacing w:line="360" w:lineRule="auto"/>
              <w:ind w:firstLine="482"/>
              <w:rPr>
                <w:rFonts w:hint="eastAsia" w:ascii="Times New Roman" w:hAnsi="Times New Roman" w:cs="宋体"/>
                <w:bCs/>
                <w:color w:val="auto"/>
                <w:sz w:val="24"/>
                <w:szCs w:val="24"/>
              </w:rPr>
            </w:pPr>
            <w:r>
              <w:rPr>
                <w:rFonts w:hint="eastAsia" w:ascii="Times New Roman" w:hAnsi="Times New Roman" w:cs="宋体"/>
                <w:bCs/>
                <w:color w:val="auto"/>
                <w:sz w:val="24"/>
                <w:szCs w:val="24"/>
              </w:rPr>
              <w:t>本项目的实施对推动当地</w:t>
            </w:r>
            <w:r>
              <w:rPr>
                <w:rFonts w:hint="eastAsia" w:ascii="Times New Roman" w:hAnsi="Times New Roman" w:cs="宋体"/>
                <w:bCs/>
                <w:color w:val="auto"/>
                <w:sz w:val="24"/>
                <w:szCs w:val="24"/>
                <w:lang w:eastAsia="zh-CN"/>
              </w:rPr>
              <w:t>茶叶鲜叶加工的</w:t>
            </w:r>
            <w:r>
              <w:rPr>
                <w:rFonts w:hint="eastAsia" w:ascii="Times New Roman" w:hAnsi="Times New Roman" w:cs="宋体"/>
                <w:bCs/>
                <w:color w:val="auto"/>
                <w:sz w:val="24"/>
                <w:szCs w:val="24"/>
              </w:rPr>
              <w:t>标准化和规模化，有效满足市场对</w:t>
            </w:r>
            <w:r>
              <w:rPr>
                <w:rFonts w:hint="eastAsia" w:ascii="Times New Roman" w:hAnsi="Times New Roman" w:cs="宋体"/>
                <w:bCs/>
                <w:color w:val="auto"/>
                <w:sz w:val="24"/>
                <w:szCs w:val="24"/>
                <w:lang w:eastAsia="zh-CN"/>
              </w:rPr>
              <w:t>红茶</w:t>
            </w:r>
            <w:r>
              <w:rPr>
                <w:rFonts w:hint="eastAsia" w:ascii="Times New Roman" w:hAnsi="Times New Roman" w:cs="宋体"/>
                <w:bCs/>
                <w:color w:val="auto"/>
                <w:sz w:val="24"/>
                <w:szCs w:val="24"/>
              </w:rPr>
              <w:t>的市场需求，推动</w:t>
            </w:r>
            <w:r>
              <w:rPr>
                <w:rFonts w:hint="eastAsia" w:ascii="Times New Roman" w:hAnsi="Times New Roman" w:cs="宋体"/>
                <w:bCs/>
                <w:color w:val="auto"/>
                <w:sz w:val="24"/>
                <w:szCs w:val="24"/>
                <w:lang w:eastAsia="zh-CN"/>
              </w:rPr>
              <w:t>茶</w:t>
            </w:r>
            <w:r>
              <w:rPr>
                <w:rFonts w:hint="eastAsia" w:ascii="Times New Roman" w:hAnsi="Times New Roman" w:cs="宋体"/>
                <w:bCs/>
                <w:color w:val="auto"/>
                <w:sz w:val="24"/>
                <w:szCs w:val="24"/>
              </w:rPr>
              <w:t>产业上下游产业链的进程，带动相关产业的结构调整、升级有着极为重要的意义。</w:t>
            </w:r>
          </w:p>
          <w:p w14:paraId="4D3AA2A7">
            <w:pPr>
              <w:adjustRightInd w:val="0"/>
              <w:snapToGrid w:val="0"/>
              <w:spacing w:line="360" w:lineRule="auto"/>
              <w:rPr>
                <w:rFonts w:hint="eastAsia" w:ascii="Times New Roman" w:hAnsi="Times New Roman" w:cs="宋体"/>
                <w:b/>
                <w:color w:val="auto"/>
                <w:sz w:val="24"/>
                <w:szCs w:val="24"/>
              </w:rPr>
            </w:pPr>
            <w:r>
              <w:rPr>
                <w:rFonts w:hint="eastAsia" w:ascii="Times New Roman" w:hAnsi="Times New Roman" w:cs="宋体"/>
                <w:b/>
                <w:color w:val="auto"/>
                <w:sz w:val="24"/>
                <w:szCs w:val="24"/>
              </w:rPr>
              <w:t>2、对社会经济影响分析</w:t>
            </w:r>
          </w:p>
          <w:p w14:paraId="322FCBAE">
            <w:pPr>
              <w:pStyle w:val="10"/>
              <w:spacing w:line="360" w:lineRule="auto"/>
              <w:ind w:firstLine="480" w:firstLineChars="200"/>
              <w:rPr>
                <w:rFonts w:hint="eastAsia" w:ascii="Times New Roman" w:hAnsi="Times New Roman" w:cs="宋体"/>
                <w:color w:val="auto"/>
                <w:sz w:val="24"/>
                <w:szCs w:val="24"/>
              </w:rPr>
            </w:pPr>
            <w:r>
              <w:rPr>
                <w:rFonts w:hint="eastAsia" w:ascii="Times New Roman" w:hAnsi="Times New Roman" w:cs="宋体"/>
                <w:color w:val="auto"/>
                <w:sz w:val="24"/>
                <w:szCs w:val="24"/>
              </w:rPr>
              <w:t>项目的实施与运营过程，将增加对当地劳动力的需求，增加</w:t>
            </w:r>
            <w:r>
              <w:rPr>
                <w:rFonts w:hint="eastAsia" w:ascii="Times New Roman" w:hAnsi="Times New Roman" w:cs="宋体"/>
                <w:color w:val="auto"/>
                <w:sz w:val="24"/>
                <w:szCs w:val="24"/>
                <w:lang w:eastAsia="zh-CN"/>
              </w:rPr>
              <w:t>茶农、</w:t>
            </w:r>
            <w:r>
              <w:rPr>
                <w:rFonts w:hint="eastAsia" w:ascii="Times New Roman" w:hAnsi="Times New Roman" w:cs="宋体"/>
                <w:color w:val="auto"/>
                <w:sz w:val="24"/>
                <w:szCs w:val="24"/>
              </w:rPr>
              <w:t>企业、经销商、商家的收入，也会增加当地的税收，有利于芒市私营经济可持续发展。综上所述，项目建成后，有利于提升该区域的总体价值，社会环境影响正效应明显。</w:t>
            </w:r>
          </w:p>
          <w:p w14:paraId="4DA36EB3">
            <w:pPr>
              <w:spacing w:line="360" w:lineRule="auto"/>
              <w:rPr>
                <w:rFonts w:hint="eastAsia" w:ascii="Times New Roman" w:hAnsi="Times New Roman"/>
                <w:color w:val="auto"/>
                <w:sz w:val="24"/>
                <w:szCs w:val="24"/>
              </w:rPr>
            </w:pPr>
          </w:p>
        </w:tc>
      </w:tr>
    </w:tbl>
    <w:p w14:paraId="4FAB2AF0">
      <w:pPr>
        <w:rPr>
          <w:rFonts w:hint="eastAsia"/>
        </w:rPr>
      </w:pPr>
    </w:p>
    <w:p w14:paraId="09CC9D78">
      <w:pPr>
        <w:rPr>
          <w:rFonts w:hint="eastAsia"/>
        </w:rPr>
      </w:pPr>
    </w:p>
    <w:p w14:paraId="7AAFC189">
      <w:pPr>
        <w:pStyle w:val="3"/>
        <w:rPr>
          <w:rFonts w:hint="eastAsia" w:ascii="Times New Roman" w:hAnsi="Times New Roman" w:eastAsia="宋体" w:cs="Times New Roman"/>
          <w:b/>
          <w:bCs/>
          <w:color w:val="auto"/>
          <w:sz w:val="32"/>
          <w:szCs w:val="32"/>
        </w:rPr>
      </w:pPr>
      <w:bookmarkStart w:id="16" w:name="_Toc25885_WPSOffice_Level1"/>
      <w:r>
        <w:rPr>
          <w:rFonts w:hint="eastAsia" w:ascii="Times New Roman" w:hAnsi="Times New Roman" w:eastAsia="宋体" w:cs="Times New Roman"/>
          <w:b/>
          <w:bCs/>
          <w:color w:val="auto"/>
          <w:sz w:val="32"/>
          <w:szCs w:val="32"/>
        </w:rPr>
        <w:t>表八、建设项目拟采取的防治措施</w:t>
      </w:r>
      <w:bookmarkEnd w:id="16"/>
      <w:r>
        <w:rPr>
          <w:rFonts w:ascii="Times New Roman" w:hAnsi="Times New Roman"/>
          <w:color w:val="auto"/>
          <w:sz w:val="32"/>
          <w:szCs w:val="32"/>
        </w:rPr>
        <w:t>及预期治理效果</w:t>
      </w:r>
    </w:p>
    <w:tbl>
      <w:tblPr>
        <w:tblStyle w:val="24"/>
        <w:tblW w:w="89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6"/>
        <w:gridCol w:w="499"/>
        <w:gridCol w:w="1470"/>
        <w:gridCol w:w="1145"/>
        <w:gridCol w:w="3060"/>
        <w:gridCol w:w="1913"/>
      </w:tblGrid>
      <w:tr w14:paraId="089B1D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 w:hRule="atLeast"/>
          <w:jc w:val="center"/>
        </w:trPr>
        <w:tc>
          <w:tcPr>
            <w:tcW w:w="886" w:type="dxa"/>
            <w:tcBorders>
              <w:tl2br w:val="single" w:color="auto" w:sz="6" w:space="0"/>
            </w:tcBorders>
            <w:vAlign w:val="center"/>
          </w:tcPr>
          <w:p w14:paraId="72674594">
            <w:pPr>
              <w:spacing w:line="260" w:lineRule="exact"/>
              <w:ind w:firstLine="103" w:firstLineChars="49"/>
              <w:jc w:val="center"/>
              <w:rPr>
                <w:rFonts w:ascii="Times New Roman" w:hAnsi="Times New Roman"/>
                <w:b/>
                <w:bCs/>
                <w:color w:val="auto"/>
                <w:sz w:val="21"/>
                <w:szCs w:val="21"/>
              </w:rPr>
            </w:pPr>
            <w:r>
              <w:rPr>
                <w:rFonts w:ascii="Times New Roman" w:hAnsi="Times New Roman"/>
                <w:b/>
                <w:bCs/>
                <w:color w:val="auto"/>
                <w:sz w:val="21"/>
                <w:szCs w:val="21"/>
              </w:rPr>
              <w:t>内容</w:t>
            </w:r>
          </w:p>
          <w:p w14:paraId="7AF07942">
            <w:pPr>
              <w:spacing w:line="260" w:lineRule="exact"/>
              <w:jc w:val="center"/>
              <w:rPr>
                <w:rFonts w:ascii="Times New Roman" w:hAnsi="Times New Roman"/>
                <w:b/>
                <w:bCs/>
                <w:color w:val="auto"/>
                <w:sz w:val="21"/>
                <w:szCs w:val="21"/>
              </w:rPr>
            </w:pPr>
          </w:p>
          <w:p w14:paraId="54DE84DF">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类型</w:t>
            </w:r>
          </w:p>
        </w:tc>
        <w:tc>
          <w:tcPr>
            <w:tcW w:w="1969" w:type="dxa"/>
            <w:gridSpan w:val="2"/>
            <w:vAlign w:val="center"/>
          </w:tcPr>
          <w:p w14:paraId="629C9AE2">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排放源</w:t>
            </w:r>
          </w:p>
          <w:p w14:paraId="70111321">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（编号）</w:t>
            </w:r>
          </w:p>
        </w:tc>
        <w:tc>
          <w:tcPr>
            <w:tcW w:w="1145" w:type="dxa"/>
            <w:vAlign w:val="center"/>
          </w:tcPr>
          <w:p w14:paraId="2480B6CD">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污染物</w:t>
            </w:r>
          </w:p>
          <w:p w14:paraId="7DE12642">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名称</w:t>
            </w:r>
          </w:p>
        </w:tc>
        <w:tc>
          <w:tcPr>
            <w:tcW w:w="3060" w:type="dxa"/>
            <w:vAlign w:val="center"/>
          </w:tcPr>
          <w:p w14:paraId="5ACF19EE">
            <w:pPr>
              <w:spacing w:line="260" w:lineRule="exact"/>
              <w:jc w:val="center"/>
              <w:rPr>
                <w:rFonts w:ascii="Times New Roman" w:hAnsi="Times New Roman"/>
                <w:color w:val="auto"/>
                <w:sz w:val="21"/>
                <w:szCs w:val="21"/>
              </w:rPr>
            </w:pPr>
            <w:r>
              <w:rPr>
                <w:rFonts w:ascii="Times New Roman" w:hAnsi="Times New Roman"/>
                <w:b/>
                <w:color w:val="auto"/>
                <w:sz w:val="21"/>
                <w:szCs w:val="21"/>
              </w:rPr>
              <w:t>防治措施</w:t>
            </w:r>
          </w:p>
        </w:tc>
        <w:tc>
          <w:tcPr>
            <w:tcW w:w="1913" w:type="dxa"/>
            <w:vAlign w:val="center"/>
          </w:tcPr>
          <w:p w14:paraId="23B8751A">
            <w:pPr>
              <w:spacing w:line="260" w:lineRule="exact"/>
              <w:jc w:val="center"/>
              <w:rPr>
                <w:rFonts w:ascii="Times New Roman" w:hAnsi="Times New Roman"/>
                <w:color w:val="auto"/>
                <w:sz w:val="21"/>
                <w:szCs w:val="21"/>
              </w:rPr>
            </w:pPr>
            <w:r>
              <w:rPr>
                <w:rFonts w:ascii="Times New Roman" w:hAnsi="Times New Roman"/>
                <w:b/>
                <w:color w:val="auto"/>
                <w:sz w:val="21"/>
                <w:szCs w:val="21"/>
              </w:rPr>
              <w:t>预期治理效果</w:t>
            </w:r>
          </w:p>
        </w:tc>
      </w:tr>
      <w:tr w14:paraId="732DC5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886" w:type="dxa"/>
            <w:vMerge w:val="restart"/>
            <w:vAlign w:val="center"/>
          </w:tcPr>
          <w:p w14:paraId="28107A82">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大</w:t>
            </w:r>
          </w:p>
          <w:p w14:paraId="411BF484">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气</w:t>
            </w:r>
          </w:p>
          <w:p w14:paraId="2EBA80A8">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污</w:t>
            </w:r>
          </w:p>
          <w:p w14:paraId="69D31163">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染</w:t>
            </w:r>
          </w:p>
          <w:p w14:paraId="6F865C26">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物</w:t>
            </w:r>
          </w:p>
        </w:tc>
        <w:tc>
          <w:tcPr>
            <w:tcW w:w="499" w:type="dxa"/>
            <w:vMerge w:val="restart"/>
            <w:vAlign w:val="center"/>
          </w:tcPr>
          <w:p w14:paraId="4E5BDF6D">
            <w:pPr>
              <w:spacing w:line="2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施工期</w:t>
            </w:r>
          </w:p>
        </w:tc>
        <w:tc>
          <w:tcPr>
            <w:tcW w:w="1470" w:type="dxa"/>
            <w:tcBorders>
              <w:bottom w:val="single" w:color="auto" w:sz="6" w:space="0"/>
            </w:tcBorders>
            <w:vAlign w:val="center"/>
          </w:tcPr>
          <w:p w14:paraId="79D43251">
            <w:pPr>
              <w:jc w:val="center"/>
              <w:rPr>
                <w:rFonts w:hint="eastAsia" w:ascii="Times New Roman" w:hAnsi="Times New Roman"/>
                <w:color w:val="auto"/>
                <w:sz w:val="21"/>
                <w:szCs w:val="21"/>
                <w:lang w:eastAsia="zh-CN"/>
              </w:rPr>
            </w:pPr>
            <w:r>
              <w:rPr>
                <w:rFonts w:hint="eastAsia" w:ascii="宋体" w:hAnsi="宋体" w:eastAsia="宋体" w:cs="宋体"/>
                <w:color w:val="auto"/>
                <w:szCs w:val="21"/>
              </w:rPr>
              <w:t>施工场地</w:t>
            </w:r>
          </w:p>
        </w:tc>
        <w:tc>
          <w:tcPr>
            <w:tcW w:w="1145" w:type="dxa"/>
            <w:tcBorders>
              <w:bottom w:val="single" w:color="auto" w:sz="4" w:space="0"/>
            </w:tcBorders>
            <w:vAlign w:val="center"/>
          </w:tcPr>
          <w:p w14:paraId="1E44AF95">
            <w:pPr>
              <w:jc w:val="center"/>
              <w:rPr>
                <w:rFonts w:hint="eastAsia" w:ascii="Times New Roman" w:hAnsi="Times New Roman"/>
                <w:color w:val="auto"/>
                <w:sz w:val="21"/>
                <w:szCs w:val="21"/>
                <w:lang w:eastAsia="zh-CN"/>
              </w:rPr>
            </w:pPr>
            <w:r>
              <w:rPr>
                <w:rFonts w:hint="eastAsia" w:ascii="宋体" w:hAnsi="宋体" w:eastAsia="宋体" w:cs="宋体"/>
                <w:color w:val="auto"/>
                <w:szCs w:val="21"/>
              </w:rPr>
              <w:t>扬尘</w:t>
            </w:r>
          </w:p>
        </w:tc>
        <w:tc>
          <w:tcPr>
            <w:tcW w:w="3060" w:type="dxa"/>
            <w:tcBorders>
              <w:bottom w:val="single" w:color="auto" w:sz="6" w:space="0"/>
            </w:tcBorders>
            <w:vAlign w:val="center"/>
          </w:tcPr>
          <w:p w14:paraId="592165E2">
            <w:pPr>
              <w:jc w:val="center"/>
              <w:rPr>
                <w:rFonts w:hint="eastAsia" w:ascii="Times New Roman" w:hAnsi="Times New Roman"/>
                <w:color w:val="auto"/>
                <w:sz w:val="21"/>
                <w:szCs w:val="21"/>
                <w:lang w:eastAsia="zh-CN"/>
              </w:rPr>
            </w:pPr>
            <w:r>
              <w:rPr>
                <w:rFonts w:hint="eastAsia" w:ascii="宋体" w:hAnsi="宋体" w:eastAsia="宋体" w:cs="宋体"/>
                <w:color w:val="auto"/>
                <w:szCs w:val="21"/>
              </w:rPr>
              <w:t>洒水降尘</w:t>
            </w:r>
          </w:p>
        </w:tc>
        <w:tc>
          <w:tcPr>
            <w:tcW w:w="1913" w:type="dxa"/>
            <w:vMerge w:val="restart"/>
            <w:vAlign w:val="center"/>
          </w:tcPr>
          <w:p w14:paraId="63E2D770">
            <w:pPr>
              <w:spacing w:line="260" w:lineRule="exact"/>
              <w:jc w:val="center"/>
              <w:rPr>
                <w:rFonts w:ascii="Times New Roman" w:hAnsi="Times New Roman"/>
                <w:color w:val="auto"/>
                <w:sz w:val="21"/>
                <w:szCs w:val="21"/>
              </w:rPr>
            </w:pPr>
            <w:r>
              <w:rPr>
                <w:rFonts w:hint="eastAsia" w:ascii="宋体" w:hAnsi="宋体" w:eastAsia="宋体" w:cs="宋体"/>
                <w:color w:val="auto"/>
                <w:szCs w:val="21"/>
              </w:rPr>
              <w:t>达标排放，对环境影响较小</w:t>
            </w:r>
          </w:p>
        </w:tc>
      </w:tr>
      <w:tr w14:paraId="20CDF7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886" w:type="dxa"/>
            <w:vMerge w:val="continue"/>
            <w:vAlign w:val="center"/>
          </w:tcPr>
          <w:p w14:paraId="553BC886">
            <w:pPr>
              <w:spacing w:line="260" w:lineRule="exact"/>
              <w:jc w:val="center"/>
              <w:rPr>
                <w:rFonts w:ascii="Times New Roman" w:hAnsi="Times New Roman"/>
                <w:b/>
                <w:bCs/>
                <w:color w:val="auto"/>
                <w:sz w:val="21"/>
                <w:szCs w:val="21"/>
              </w:rPr>
            </w:pPr>
          </w:p>
        </w:tc>
        <w:tc>
          <w:tcPr>
            <w:tcW w:w="499" w:type="dxa"/>
            <w:vMerge w:val="continue"/>
            <w:tcBorders>
              <w:bottom w:val="single" w:color="auto" w:sz="6" w:space="0"/>
            </w:tcBorders>
            <w:vAlign w:val="center"/>
          </w:tcPr>
          <w:p w14:paraId="356DE300">
            <w:pPr>
              <w:spacing w:line="260" w:lineRule="exact"/>
              <w:jc w:val="center"/>
              <w:rPr>
                <w:rFonts w:hint="eastAsia" w:ascii="Times New Roman" w:hAnsi="Times New Roman"/>
                <w:color w:val="auto"/>
                <w:sz w:val="21"/>
                <w:szCs w:val="21"/>
                <w:lang w:eastAsia="zh-CN"/>
              </w:rPr>
            </w:pPr>
          </w:p>
        </w:tc>
        <w:tc>
          <w:tcPr>
            <w:tcW w:w="1470" w:type="dxa"/>
            <w:tcBorders>
              <w:bottom w:val="single" w:color="auto" w:sz="6" w:space="0"/>
            </w:tcBorders>
            <w:vAlign w:val="center"/>
          </w:tcPr>
          <w:p w14:paraId="4D03D5FF">
            <w:pPr>
              <w:ind w:left="-105" w:leftChars="-50" w:right="-107" w:rightChars="-51"/>
              <w:jc w:val="center"/>
              <w:rPr>
                <w:rFonts w:hint="eastAsia" w:ascii="Times New Roman" w:hAnsi="Times New Roman"/>
                <w:color w:val="auto"/>
                <w:sz w:val="21"/>
                <w:szCs w:val="21"/>
                <w:lang w:eastAsia="zh-CN"/>
              </w:rPr>
            </w:pPr>
            <w:r>
              <w:rPr>
                <w:rFonts w:hint="eastAsia" w:ascii="宋体" w:hAnsi="宋体" w:eastAsia="宋体" w:cs="宋体"/>
                <w:color w:val="auto"/>
                <w:szCs w:val="21"/>
              </w:rPr>
              <w:t>机械和车辆</w:t>
            </w:r>
          </w:p>
        </w:tc>
        <w:tc>
          <w:tcPr>
            <w:tcW w:w="1145" w:type="dxa"/>
            <w:tcBorders>
              <w:bottom w:val="single" w:color="auto" w:sz="4" w:space="0"/>
            </w:tcBorders>
            <w:vAlign w:val="center"/>
          </w:tcPr>
          <w:p w14:paraId="28050272">
            <w:pPr>
              <w:jc w:val="center"/>
              <w:rPr>
                <w:rFonts w:hint="eastAsia" w:ascii="Times New Roman" w:hAnsi="Times New Roman"/>
                <w:color w:val="auto"/>
                <w:sz w:val="21"/>
                <w:szCs w:val="21"/>
                <w:lang w:eastAsia="zh-CN"/>
              </w:rPr>
            </w:pPr>
            <w:r>
              <w:rPr>
                <w:rFonts w:hint="eastAsia" w:ascii="宋体" w:hAnsi="宋体" w:eastAsia="宋体" w:cs="宋体"/>
                <w:color w:val="auto"/>
                <w:szCs w:val="21"/>
              </w:rPr>
              <w:t>NOx、CO、TCH</w:t>
            </w:r>
          </w:p>
        </w:tc>
        <w:tc>
          <w:tcPr>
            <w:tcW w:w="3060" w:type="dxa"/>
            <w:tcBorders>
              <w:bottom w:val="single" w:color="auto" w:sz="6" w:space="0"/>
            </w:tcBorders>
            <w:vAlign w:val="center"/>
          </w:tcPr>
          <w:p w14:paraId="24BCA736">
            <w:pPr>
              <w:jc w:val="center"/>
              <w:rPr>
                <w:rFonts w:hint="eastAsia" w:ascii="Times New Roman" w:hAnsi="Times New Roman" w:eastAsia="宋体"/>
                <w:color w:val="auto"/>
                <w:sz w:val="21"/>
                <w:szCs w:val="21"/>
                <w:lang w:eastAsia="zh-CN"/>
              </w:rPr>
            </w:pPr>
            <w:r>
              <w:rPr>
                <w:rFonts w:hint="eastAsia" w:ascii="宋体" w:hAnsi="宋体" w:eastAsia="宋体" w:cs="宋体"/>
                <w:color w:val="auto"/>
                <w:szCs w:val="21"/>
              </w:rPr>
              <w:t>自然扩散</w:t>
            </w:r>
            <w:r>
              <w:rPr>
                <w:rFonts w:hint="eastAsia" w:ascii="宋体" w:hAnsi="宋体" w:eastAsia="宋体" w:cs="宋体"/>
                <w:color w:val="auto"/>
                <w:szCs w:val="21"/>
                <w:lang w:eastAsia="zh-CN"/>
              </w:rPr>
              <w:t>、稀释</w:t>
            </w:r>
          </w:p>
        </w:tc>
        <w:tc>
          <w:tcPr>
            <w:tcW w:w="1913" w:type="dxa"/>
            <w:vMerge w:val="continue"/>
            <w:vAlign w:val="center"/>
          </w:tcPr>
          <w:p w14:paraId="5E84C8AD">
            <w:pPr>
              <w:spacing w:line="260" w:lineRule="exact"/>
              <w:jc w:val="center"/>
              <w:rPr>
                <w:rFonts w:ascii="Times New Roman" w:hAnsi="Times New Roman"/>
                <w:color w:val="auto"/>
                <w:sz w:val="21"/>
                <w:szCs w:val="21"/>
              </w:rPr>
            </w:pPr>
          </w:p>
        </w:tc>
      </w:tr>
      <w:tr w14:paraId="7CCE61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6" w:type="dxa"/>
            <w:vMerge w:val="continue"/>
            <w:vAlign w:val="center"/>
          </w:tcPr>
          <w:p w14:paraId="0286C991">
            <w:pPr>
              <w:spacing w:line="260" w:lineRule="exact"/>
              <w:jc w:val="center"/>
              <w:rPr>
                <w:rFonts w:ascii="Times New Roman" w:hAnsi="Times New Roman"/>
                <w:b/>
                <w:bCs/>
                <w:color w:val="auto"/>
                <w:sz w:val="21"/>
                <w:szCs w:val="21"/>
              </w:rPr>
            </w:pPr>
          </w:p>
        </w:tc>
        <w:tc>
          <w:tcPr>
            <w:tcW w:w="499" w:type="dxa"/>
            <w:vMerge w:val="restart"/>
            <w:tcBorders>
              <w:bottom w:val="single" w:color="auto" w:sz="6" w:space="0"/>
            </w:tcBorders>
            <w:vAlign w:val="center"/>
          </w:tcPr>
          <w:p w14:paraId="1F648052">
            <w:pPr>
              <w:spacing w:line="260" w:lineRule="exact"/>
              <w:jc w:val="center"/>
              <w:rPr>
                <w:rFonts w:ascii="Times New Roman" w:hAnsi="Times New Roman"/>
                <w:bCs/>
                <w:color w:val="auto"/>
                <w:sz w:val="21"/>
                <w:szCs w:val="21"/>
              </w:rPr>
            </w:pPr>
            <w:r>
              <w:rPr>
                <w:rFonts w:hint="eastAsia" w:ascii="Times New Roman" w:hAnsi="Times New Roman"/>
                <w:color w:val="auto"/>
                <w:sz w:val="21"/>
                <w:szCs w:val="21"/>
                <w:lang w:eastAsia="zh-CN"/>
              </w:rPr>
              <w:t>运营期</w:t>
            </w:r>
          </w:p>
        </w:tc>
        <w:tc>
          <w:tcPr>
            <w:tcW w:w="1470" w:type="dxa"/>
            <w:tcBorders>
              <w:bottom w:val="single" w:color="auto" w:sz="4" w:space="0"/>
            </w:tcBorders>
            <w:vAlign w:val="center"/>
          </w:tcPr>
          <w:p w14:paraId="61855C97">
            <w:pPr>
              <w:jc w:val="center"/>
              <w:rPr>
                <w:rFonts w:ascii="Times New Roman" w:hAnsi="Times New Roman"/>
                <w:bCs/>
                <w:color w:val="auto"/>
                <w:sz w:val="21"/>
                <w:szCs w:val="21"/>
              </w:rPr>
            </w:pPr>
            <w:r>
              <w:rPr>
                <w:rFonts w:hint="eastAsia" w:ascii="Times New Roman" w:hAnsi="Times New Roman"/>
                <w:color w:val="auto"/>
                <w:sz w:val="21"/>
                <w:szCs w:val="21"/>
                <w:lang w:eastAsia="zh-CN"/>
              </w:rPr>
              <w:t>加工过程</w:t>
            </w:r>
          </w:p>
        </w:tc>
        <w:tc>
          <w:tcPr>
            <w:tcW w:w="1145" w:type="dxa"/>
            <w:tcBorders>
              <w:bottom w:val="single" w:color="auto" w:sz="4" w:space="0"/>
            </w:tcBorders>
            <w:vAlign w:val="center"/>
          </w:tcPr>
          <w:p w14:paraId="48C8CE53">
            <w:pPr>
              <w:jc w:val="center"/>
              <w:rPr>
                <w:rFonts w:ascii="Times New Roman" w:hAnsi="Times New Roman"/>
                <w:color w:val="auto"/>
                <w:sz w:val="21"/>
                <w:szCs w:val="21"/>
              </w:rPr>
            </w:pPr>
            <w:r>
              <w:rPr>
                <w:rFonts w:hint="eastAsia" w:ascii="Times New Roman" w:hAnsi="Times New Roman"/>
                <w:color w:val="auto"/>
                <w:sz w:val="21"/>
                <w:szCs w:val="21"/>
                <w:lang w:eastAsia="zh-CN"/>
              </w:rPr>
              <w:t>粉尘</w:t>
            </w:r>
          </w:p>
        </w:tc>
        <w:tc>
          <w:tcPr>
            <w:tcW w:w="3060" w:type="dxa"/>
            <w:tcBorders>
              <w:bottom w:val="single" w:color="auto" w:sz="4" w:space="0"/>
            </w:tcBorders>
            <w:vAlign w:val="center"/>
          </w:tcPr>
          <w:p w14:paraId="51EDA5AD">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门窗阻隔，空气稀释扩散</w:t>
            </w:r>
          </w:p>
        </w:tc>
        <w:tc>
          <w:tcPr>
            <w:tcW w:w="1913" w:type="dxa"/>
            <w:tcBorders>
              <w:bottom w:val="single" w:color="auto" w:sz="4" w:space="0"/>
            </w:tcBorders>
            <w:vAlign w:val="center"/>
          </w:tcPr>
          <w:p w14:paraId="7CEEAC6A">
            <w:pPr>
              <w:spacing w:line="260" w:lineRule="exact"/>
              <w:jc w:val="center"/>
              <w:rPr>
                <w:rFonts w:ascii="Times New Roman" w:hAnsi="Times New Roman"/>
                <w:color w:val="auto"/>
                <w:sz w:val="21"/>
                <w:szCs w:val="21"/>
              </w:rPr>
            </w:pPr>
            <w:r>
              <w:rPr>
                <w:rFonts w:hint="eastAsia" w:ascii="宋体" w:hAnsi="宋体" w:eastAsia="宋体" w:cs="宋体"/>
                <w:bCs/>
                <w:color w:val="auto"/>
                <w:sz w:val="21"/>
                <w:szCs w:val="21"/>
                <w:lang w:eastAsia="zh-CN"/>
              </w:rPr>
              <w:t>达到</w:t>
            </w:r>
            <w:r>
              <w:rPr>
                <w:rFonts w:hint="eastAsia" w:ascii="宋体" w:hAnsi="宋体" w:eastAsia="宋体" w:cs="宋体"/>
                <w:bCs/>
                <w:color w:val="auto"/>
                <w:sz w:val="21"/>
                <w:szCs w:val="21"/>
              </w:rPr>
              <w:t>《大气污染物综合排放标准》（GB16297-1996）</w:t>
            </w:r>
            <w:r>
              <w:rPr>
                <w:rFonts w:hint="eastAsia" w:ascii="宋体" w:hAnsi="宋体" w:eastAsia="宋体" w:cs="宋体"/>
                <w:bCs/>
                <w:color w:val="auto"/>
                <w:sz w:val="21"/>
                <w:szCs w:val="21"/>
                <w:lang w:eastAsia="zh-CN"/>
              </w:rPr>
              <w:t>中</w:t>
            </w:r>
            <w:r>
              <w:rPr>
                <w:rFonts w:hint="eastAsia" w:ascii="宋体" w:hAnsi="宋体" w:eastAsia="宋体" w:cs="宋体"/>
                <w:color w:val="auto"/>
                <w:sz w:val="21"/>
                <w:szCs w:val="21"/>
              </w:rPr>
              <w:t>无组织监控浓度限值</w:t>
            </w:r>
          </w:p>
        </w:tc>
      </w:tr>
      <w:tr w14:paraId="5F18CF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886" w:type="dxa"/>
            <w:vMerge w:val="continue"/>
            <w:vAlign w:val="center"/>
          </w:tcPr>
          <w:p w14:paraId="467D305B">
            <w:pPr>
              <w:spacing w:line="260" w:lineRule="exact"/>
              <w:jc w:val="center"/>
              <w:rPr>
                <w:rFonts w:ascii="Times New Roman" w:hAnsi="Times New Roman"/>
                <w:bCs/>
                <w:color w:val="auto"/>
                <w:sz w:val="21"/>
                <w:szCs w:val="21"/>
              </w:rPr>
            </w:pPr>
          </w:p>
        </w:tc>
        <w:tc>
          <w:tcPr>
            <w:tcW w:w="499" w:type="dxa"/>
            <w:vMerge w:val="continue"/>
            <w:vAlign w:val="center"/>
          </w:tcPr>
          <w:p w14:paraId="52592956">
            <w:pPr>
              <w:spacing w:line="260" w:lineRule="exact"/>
              <w:jc w:val="center"/>
              <w:rPr>
                <w:rFonts w:ascii="Times New Roman" w:hAnsi="Times New Roman"/>
                <w:bCs/>
                <w:color w:val="auto"/>
                <w:sz w:val="21"/>
                <w:szCs w:val="21"/>
              </w:rPr>
            </w:pPr>
          </w:p>
        </w:tc>
        <w:tc>
          <w:tcPr>
            <w:tcW w:w="1470" w:type="dxa"/>
            <w:tcBorders>
              <w:top w:val="single" w:color="auto" w:sz="4" w:space="0"/>
            </w:tcBorders>
            <w:vAlign w:val="center"/>
          </w:tcPr>
          <w:p w14:paraId="03ABDEE3">
            <w:pPr>
              <w:jc w:val="center"/>
              <w:rPr>
                <w:rFonts w:hint="eastAsia" w:ascii="Times New Roman" w:hAnsi="Times New Roman" w:eastAsia="宋体"/>
                <w:bCs/>
                <w:color w:val="auto"/>
                <w:sz w:val="21"/>
                <w:szCs w:val="21"/>
                <w:lang w:eastAsia="zh-CN"/>
              </w:rPr>
            </w:pPr>
            <w:r>
              <w:rPr>
                <w:rFonts w:hint="eastAsia" w:ascii="Times New Roman" w:hAnsi="Times New Roman"/>
                <w:bCs/>
                <w:color w:val="auto"/>
                <w:sz w:val="21"/>
                <w:szCs w:val="21"/>
                <w:lang w:eastAsia="zh-CN"/>
              </w:rPr>
              <w:t>发酵过程</w:t>
            </w:r>
          </w:p>
        </w:tc>
        <w:tc>
          <w:tcPr>
            <w:tcW w:w="1145" w:type="dxa"/>
            <w:tcBorders>
              <w:bottom w:val="single" w:color="auto" w:sz="4" w:space="0"/>
            </w:tcBorders>
            <w:vAlign w:val="center"/>
          </w:tcPr>
          <w:p w14:paraId="14E82390">
            <w:pPr>
              <w:jc w:val="center"/>
              <w:rPr>
                <w:rFonts w:ascii="Times New Roman" w:hAnsi="Times New Roman"/>
                <w:bCs/>
                <w:color w:val="auto"/>
                <w:sz w:val="21"/>
                <w:szCs w:val="21"/>
              </w:rPr>
            </w:pPr>
            <w:r>
              <w:rPr>
                <w:rFonts w:hint="eastAsia" w:ascii="Times New Roman" w:hAnsi="Times New Roman"/>
                <w:color w:val="auto"/>
                <w:sz w:val="21"/>
                <w:szCs w:val="21"/>
                <w:lang w:eastAsia="zh-CN"/>
              </w:rPr>
              <w:t>茶香</w:t>
            </w:r>
          </w:p>
        </w:tc>
        <w:tc>
          <w:tcPr>
            <w:tcW w:w="3060" w:type="dxa"/>
            <w:tcBorders>
              <w:top w:val="single" w:color="auto" w:sz="4" w:space="0"/>
              <w:bottom w:val="single" w:color="auto" w:sz="4" w:space="0"/>
            </w:tcBorders>
            <w:vAlign w:val="center"/>
          </w:tcPr>
          <w:p w14:paraId="3F73ABAA">
            <w:pPr>
              <w:adjustRightInd w:val="0"/>
              <w:snapToGrid w:val="0"/>
              <w:spacing w:line="360" w:lineRule="auto"/>
              <w:rPr>
                <w:rFonts w:hint="default" w:ascii="Times New Roman" w:hAnsi="Times New Roman"/>
                <w:bCs/>
                <w:color w:val="auto"/>
                <w:sz w:val="21"/>
                <w:szCs w:val="21"/>
                <w:lang w:val="en-US"/>
              </w:rPr>
            </w:pPr>
            <w:r>
              <w:rPr>
                <w:rFonts w:hint="eastAsia"/>
                <w:color w:val="auto"/>
                <w:sz w:val="21"/>
                <w:szCs w:val="21"/>
                <w:lang w:eastAsia="zh-CN"/>
              </w:rPr>
              <w:t>通过门窗阻隔和空气稀释</w:t>
            </w:r>
          </w:p>
        </w:tc>
        <w:tc>
          <w:tcPr>
            <w:tcW w:w="1913" w:type="dxa"/>
            <w:tcBorders>
              <w:top w:val="single" w:color="auto" w:sz="4" w:space="0"/>
              <w:bottom w:val="single" w:color="auto" w:sz="4" w:space="0"/>
            </w:tcBorders>
            <w:vAlign w:val="center"/>
          </w:tcPr>
          <w:p w14:paraId="1F39E611">
            <w:pPr>
              <w:spacing w:line="260" w:lineRule="exact"/>
              <w:jc w:val="center"/>
              <w:rPr>
                <w:rFonts w:ascii="Times New Roman" w:hAnsi="Times New Roman"/>
                <w:bCs/>
                <w:color w:val="auto"/>
                <w:sz w:val="21"/>
                <w:szCs w:val="21"/>
              </w:rPr>
            </w:pPr>
            <w:r>
              <w:rPr>
                <w:rFonts w:ascii="Times New Roman" w:hAnsi="Times New Roman"/>
                <w:color w:val="auto"/>
                <w:sz w:val="21"/>
                <w:szCs w:val="21"/>
              </w:rPr>
              <w:t>对环境的影响</w:t>
            </w:r>
            <w:r>
              <w:rPr>
                <w:rFonts w:hint="eastAsia" w:ascii="Times New Roman" w:hAnsi="Times New Roman"/>
                <w:color w:val="auto"/>
                <w:sz w:val="21"/>
                <w:szCs w:val="21"/>
              </w:rPr>
              <w:t>很小</w:t>
            </w:r>
          </w:p>
        </w:tc>
      </w:tr>
      <w:tr w14:paraId="591D2D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6" w:type="dxa"/>
            <w:vMerge w:val="continue"/>
            <w:vAlign w:val="center"/>
          </w:tcPr>
          <w:p w14:paraId="42C4FFA7">
            <w:pPr>
              <w:spacing w:line="260" w:lineRule="exact"/>
              <w:jc w:val="center"/>
              <w:rPr>
                <w:rFonts w:ascii="Times New Roman" w:hAnsi="Times New Roman"/>
                <w:color w:val="auto"/>
                <w:sz w:val="21"/>
                <w:szCs w:val="21"/>
              </w:rPr>
            </w:pPr>
          </w:p>
        </w:tc>
        <w:tc>
          <w:tcPr>
            <w:tcW w:w="499" w:type="dxa"/>
            <w:vMerge w:val="continue"/>
            <w:vAlign w:val="center"/>
          </w:tcPr>
          <w:p w14:paraId="192757D6">
            <w:pPr>
              <w:spacing w:line="260" w:lineRule="exact"/>
              <w:jc w:val="center"/>
              <w:rPr>
                <w:rFonts w:ascii="Times New Roman" w:hAnsi="Times New Roman"/>
                <w:color w:val="auto"/>
                <w:sz w:val="21"/>
                <w:szCs w:val="21"/>
              </w:rPr>
            </w:pPr>
          </w:p>
        </w:tc>
        <w:tc>
          <w:tcPr>
            <w:tcW w:w="1470" w:type="dxa"/>
            <w:vAlign w:val="center"/>
          </w:tcPr>
          <w:p w14:paraId="53555887">
            <w:pPr>
              <w:spacing w:line="260" w:lineRule="exact"/>
              <w:jc w:val="center"/>
              <w:rPr>
                <w:rFonts w:hint="eastAsia" w:ascii="Times New Roman" w:hAnsi="Times New Roman"/>
                <w:color w:val="auto"/>
                <w:sz w:val="21"/>
                <w:szCs w:val="21"/>
              </w:rPr>
            </w:pPr>
            <w:r>
              <w:rPr>
                <w:rFonts w:hint="eastAsia" w:ascii="Times New Roman" w:hAnsi="Times New Roman"/>
                <w:color w:val="auto"/>
                <w:sz w:val="21"/>
                <w:szCs w:val="21"/>
                <w:lang w:eastAsia="zh-CN"/>
              </w:rPr>
              <w:t>厨房</w:t>
            </w:r>
          </w:p>
        </w:tc>
        <w:tc>
          <w:tcPr>
            <w:tcW w:w="1145" w:type="dxa"/>
            <w:vAlign w:val="center"/>
          </w:tcPr>
          <w:p w14:paraId="3584B892">
            <w:pPr>
              <w:spacing w:line="260" w:lineRule="exact"/>
              <w:jc w:val="center"/>
              <w:rPr>
                <w:rFonts w:hint="eastAsia" w:ascii="Times New Roman" w:hAnsi="Times New Roman"/>
                <w:color w:val="auto"/>
                <w:sz w:val="21"/>
                <w:szCs w:val="21"/>
              </w:rPr>
            </w:pPr>
            <w:r>
              <w:rPr>
                <w:rFonts w:hint="eastAsia" w:ascii="Times New Roman" w:hAnsi="Times New Roman"/>
                <w:color w:val="auto"/>
                <w:sz w:val="21"/>
                <w:szCs w:val="21"/>
                <w:lang w:eastAsia="zh-CN"/>
              </w:rPr>
              <w:t>油烟</w:t>
            </w:r>
          </w:p>
        </w:tc>
        <w:tc>
          <w:tcPr>
            <w:tcW w:w="3060" w:type="dxa"/>
            <w:tcBorders>
              <w:top w:val="single" w:color="auto" w:sz="4" w:space="0"/>
            </w:tcBorders>
            <w:vAlign w:val="center"/>
          </w:tcPr>
          <w:p w14:paraId="6CC7D0DB">
            <w:pPr>
              <w:spacing w:line="260" w:lineRule="exact"/>
              <w:jc w:val="center"/>
              <w:rPr>
                <w:rFonts w:hint="eastAsia" w:ascii="Times New Roman" w:hAnsi="Times New Roman"/>
                <w:color w:val="auto"/>
                <w:sz w:val="21"/>
                <w:szCs w:val="21"/>
              </w:rPr>
            </w:pPr>
            <w:r>
              <w:rPr>
                <w:rFonts w:hint="eastAsia" w:ascii="宋体" w:hAnsi="宋体" w:eastAsia="宋体" w:cs="宋体"/>
                <w:bCs/>
                <w:color w:val="auto"/>
                <w:szCs w:val="21"/>
              </w:rPr>
              <w:t>油烟净化器，去除效率不低于60%</w:t>
            </w:r>
          </w:p>
        </w:tc>
        <w:tc>
          <w:tcPr>
            <w:tcW w:w="1913" w:type="dxa"/>
            <w:tcBorders>
              <w:top w:val="single" w:color="auto" w:sz="4" w:space="0"/>
              <w:bottom w:val="single" w:color="auto" w:sz="4" w:space="0"/>
            </w:tcBorders>
            <w:vAlign w:val="center"/>
          </w:tcPr>
          <w:p w14:paraId="2B74D074">
            <w:pPr>
              <w:spacing w:line="240" w:lineRule="auto"/>
              <w:jc w:val="center"/>
              <w:rPr>
                <w:rFonts w:hint="eastAsia" w:ascii="Times New Roman" w:hAnsi="Times New Roman" w:eastAsia="宋体"/>
                <w:color w:val="auto"/>
                <w:sz w:val="21"/>
                <w:szCs w:val="21"/>
                <w:lang w:val="en-US" w:eastAsia="zh-CN"/>
              </w:rPr>
            </w:pPr>
            <w:r>
              <w:rPr>
                <w:rFonts w:hint="eastAsia" w:ascii="宋体" w:hAnsi="宋体" w:eastAsia="宋体" w:cs="宋体"/>
                <w:color w:val="auto"/>
                <w:sz w:val="21"/>
                <w:szCs w:val="21"/>
                <w:lang w:eastAsia="zh-CN"/>
              </w:rPr>
              <w:t>达到《饮食业油烟排放标准》（</w:t>
            </w:r>
            <w:r>
              <w:rPr>
                <w:rFonts w:hint="eastAsia" w:ascii="宋体" w:hAnsi="宋体" w:eastAsia="宋体" w:cs="宋体"/>
                <w:color w:val="auto"/>
                <w:sz w:val="21"/>
                <w:szCs w:val="21"/>
                <w:lang w:val="en-US" w:eastAsia="zh-CN"/>
              </w:rPr>
              <w:t>GB18483-2014</w:t>
            </w:r>
            <w:r>
              <w:rPr>
                <w:rFonts w:hint="eastAsia" w:ascii="宋体" w:hAnsi="宋体" w:eastAsia="宋体" w:cs="宋体"/>
                <w:color w:val="auto"/>
                <w:sz w:val="21"/>
                <w:szCs w:val="21"/>
                <w:lang w:eastAsia="zh-CN"/>
              </w:rPr>
              <w:t>）中相关标准</w:t>
            </w:r>
          </w:p>
        </w:tc>
      </w:tr>
      <w:tr w14:paraId="5B83E0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886" w:type="dxa"/>
            <w:vMerge w:val="continue"/>
            <w:vAlign w:val="center"/>
          </w:tcPr>
          <w:p w14:paraId="36E0FEBC">
            <w:pPr>
              <w:spacing w:line="260" w:lineRule="exact"/>
              <w:jc w:val="center"/>
              <w:rPr>
                <w:rFonts w:ascii="Times New Roman" w:hAnsi="Times New Roman"/>
                <w:color w:val="auto"/>
                <w:sz w:val="21"/>
                <w:szCs w:val="21"/>
              </w:rPr>
            </w:pPr>
          </w:p>
        </w:tc>
        <w:tc>
          <w:tcPr>
            <w:tcW w:w="499" w:type="dxa"/>
            <w:vMerge w:val="continue"/>
            <w:vAlign w:val="center"/>
          </w:tcPr>
          <w:p w14:paraId="4AEB11B3">
            <w:pPr>
              <w:spacing w:line="260" w:lineRule="exact"/>
              <w:jc w:val="center"/>
              <w:rPr>
                <w:rFonts w:ascii="Times New Roman" w:hAnsi="Times New Roman"/>
                <w:color w:val="auto"/>
                <w:sz w:val="21"/>
                <w:szCs w:val="21"/>
              </w:rPr>
            </w:pPr>
          </w:p>
        </w:tc>
        <w:tc>
          <w:tcPr>
            <w:tcW w:w="1470" w:type="dxa"/>
            <w:vAlign w:val="center"/>
          </w:tcPr>
          <w:p w14:paraId="6E2110FD">
            <w:pPr>
              <w:spacing w:line="260" w:lineRule="exact"/>
              <w:jc w:val="center"/>
              <w:rPr>
                <w:rFonts w:ascii="Times New Roman" w:hAnsi="Times New Roman"/>
                <w:color w:val="auto"/>
                <w:sz w:val="21"/>
                <w:szCs w:val="21"/>
              </w:rPr>
            </w:pPr>
            <w:r>
              <w:rPr>
                <w:rFonts w:hint="eastAsia" w:ascii="Times New Roman" w:hAnsi="Times New Roman"/>
                <w:color w:val="auto"/>
                <w:sz w:val="21"/>
                <w:szCs w:val="21"/>
                <w:lang w:eastAsia="zh-CN"/>
              </w:rPr>
              <w:t>热风炉烟气</w:t>
            </w:r>
          </w:p>
        </w:tc>
        <w:tc>
          <w:tcPr>
            <w:tcW w:w="1145" w:type="dxa"/>
            <w:vAlign w:val="center"/>
          </w:tcPr>
          <w:p w14:paraId="660AA7ED">
            <w:pPr>
              <w:spacing w:line="260" w:lineRule="exact"/>
              <w:jc w:val="center"/>
              <w:rPr>
                <w:rFonts w:ascii="Times New Roman" w:hAnsi="Times New Roman"/>
                <w:color w:val="auto"/>
                <w:sz w:val="21"/>
                <w:szCs w:val="21"/>
              </w:rPr>
            </w:pPr>
            <w:r>
              <w:rPr>
                <w:rFonts w:hint="eastAsia" w:ascii="宋体" w:hAnsi="宋体" w:eastAsia="宋体" w:cs="宋体"/>
                <w:color w:val="auto"/>
                <w:szCs w:val="21"/>
              </w:rPr>
              <w:t>氮氧化物、二氧化硫、颗粒物</w:t>
            </w:r>
          </w:p>
        </w:tc>
        <w:tc>
          <w:tcPr>
            <w:tcW w:w="3060" w:type="dxa"/>
            <w:vAlign w:val="center"/>
          </w:tcPr>
          <w:p w14:paraId="69C0C2AC">
            <w:pPr>
              <w:spacing w:line="260" w:lineRule="exact"/>
              <w:jc w:val="center"/>
              <w:rPr>
                <w:rFonts w:hint="eastAsia" w:ascii="Times New Roman" w:hAnsi="Times New Roman" w:eastAsia="宋体"/>
                <w:color w:val="auto"/>
                <w:sz w:val="21"/>
                <w:szCs w:val="21"/>
                <w:lang w:val="en-US" w:eastAsia="zh-CN"/>
              </w:rPr>
            </w:pPr>
            <w:r>
              <w:rPr>
                <w:rFonts w:hint="eastAsia" w:ascii="宋体" w:hAnsi="宋体" w:cs="宋体"/>
                <w:bCs/>
                <w:color w:val="auto"/>
                <w:szCs w:val="21"/>
                <w:lang w:val="en-US" w:eastAsia="zh-CN"/>
              </w:rPr>
              <w:t>1套</w:t>
            </w:r>
            <w:r>
              <w:rPr>
                <w:rFonts w:hint="eastAsia" w:ascii="宋体" w:hAnsi="宋体" w:eastAsia="宋体" w:cs="宋体"/>
                <w:bCs/>
                <w:color w:val="auto"/>
                <w:szCs w:val="21"/>
                <w:lang w:eastAsia="zh-CN"/>
              </w:rPr>
              <w:t>旋风</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lang w:eastAsia="zh-CN"/>
              </w:rPr>
              <w:t>布袋除尘器</w:t>
            </w:r>
            <w:r>
              <w:rPr>
                <w:rFonts w:hint="eastAsia" w:ascii="宋体" w:hAnsi="宋体" w:eastAsia="宋体" w:cs="宋体"/>
                <w:bCs/>
                <w:color w:val="auto"/>
                <w:szCs w:val="21"/>
                <w:lang w:val="en-US" w:eastAsia="zh-CN"/>
              </w:rPr>
              <w:t>+</w:t>
            </w:r>
            <w:r>
              <w:rPr>
                <w:rFonts w:hint="eastAsia" w:ascii="宋体" w:hAnsi="宋体" w:cs="宋体"/>
                <w:bCs/>
                <w:color w:val="auto"/>
                <w:szCs w:val="21"/>
                <w:lang w:val="en-US" w:eastAsia="zh-CN"/>
              </w:rPr>
              <w:t>1根3</w:t>
            </w:r>
            <w:r>
              <w:rPr>
                <w:rFonts w:hint="eastAsia" w:ascii="宋体" w:hAnsi="宋体" w:eastAsia="宋体" w:cs="宋体"/>
                <w:bCs/>
                <w:color w:val="auto"/>
                <w:szCs w:val="21"/>
                <w:lang w:val="en-US" w:eastAsia="zh-CN"/>
              </w:rPr>
              <w:t>5m</w:t>
            </w:r>
            <w:r>
              <w:rPr>
                <w:rFonts w:hint="eastAsia" w:ascii="宋体" w:hAnsi="宋体" w:cs="宋体"/>
                <w:bCs/>
                <w:color w:val="auto"/>
                <w:szCs w:val="21"/>
                <w:lang w:val="en-US" w:eastAsia="zh-CN"/>
              </w:rPr>
              <w:t>高</w:t>
            </w:r>
            <w:r>
              <w:rPr>
                <w:rFonts w:hint="eastAsia" w:ascii="宋体" w:hAnsi="宋体" w:eastAsia="宋体" w:cs="宋体"/>
                <w:bCs/>
                <w:color w:val="auto"/>
                <w:szCs w:val="21"/>
                <w:lang w:val="en-US" w:eastAsia="zh-CN"/>
              </w:rPr>
              <w:t>排气筒</w:t>
            </w:r>
          </w:p>
        </w:tc>
        <w:tc>
          <w:tcPr>
            <w:tcW w:w="1913" w:type="dxa"/>
            <w:tcBorders>
              <w:top w:val="single" w:color="auto" w:sz="4" w:space="0"/>
            </w:tcBorders>
            <w:vAlign w:val="center"/>
          </w:tcPr>
          <w:p w14:paraId="7D7B6C3E">
            <w:pPr>
              <w:spacing w:line="240" w:lineRule="auto"/>
              <w:jc w:val="center"/>
              <w:rPr>
                <w:rFonts w:hint="eastAsia" w:ascii="Times New Roman" w:hAnsi="Times New Roman" w:eastAsia="宋体"/>
                <w:color w:val="auto"/>
                <w:sz w:val="21"/>
                <w:szCs w:val="21"/>
                <w:lang w:eastAsia="zh-CN"/>
              </w:rPr>
            </w:pPr>
            <w:r>
              <w:rPr>
                <w:rFonts w:hint="eastAsia" w:ascii="宋体" w:hAnsi="宋体" w:eastAsia="宋体" w:cs="宋体"/>
                <w:snapToGrid/>
                <w:color w:val="auto"/>
                <w:sz w:val="21"/>
                <w:u w:val="none" w:color="auto"/>
                <w:lang w:val="en-US" w:eastAsia="zh-CN"/>
              </w:rPr>
              <w:t>达《锅炉大气污染物排放标准》（GB12317-2014）中燃煤锅炉的标准</w:t>
            </w:r>
          </w:p>
        </w:tc>
      </w:tr>
      <w:tr w14:paraId="3E3406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86" w:type="dxa"/>
            <w:vMerge w:val="restart"/>
            <w:vAlign w:val="center"/>
          </w:tcPr>
          <w:p w14:paraId="693ADBF1">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水</w:t>
            </w:r>
          </w:p>
          <w:p w14:paraId="01006297">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污</w:t>
            </w:r>
          </w:p>
          <w:p w14:paraId="0E4AF002">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染</w:t>
            </w:r>
          </w:p>
          <w:p w14:paraId="1E2CA146">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物</w:t>
            </w:r>
          </w:p>
        </w:tc>
        <w:tc>
          <w:tcPr>
            <w:tcW w:w="499" w:type="dxa"/>
            <w:vMerge w:val="restart"/>
            <w:vAlign w:val="center"/>
          </w:tcPr>
          <w:p w14:paraId="2CAC38AC">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施工期</w:t>
            </w:r>
          </w:p>
        </w:tc>
        <w:tc>
          <w:tcPr>
            <w:tcW w:w="1470" w:type="dxa"/>
            <w:vAlign w:val="center"/>
          </w:tcPr>
          <w:p w14:paraId="51D1B237">
            <w:pPr>
              <w:widowControl/>
              <w:jc w:val="center"/>
              <w:outlineLvl w:val="9"/>
              <w:rPr>
                <w:rFonts w:ascii="Times New Roman" w:hAnsi="Times New Roman"/>
                <w:color w:val="auto"/>
                <w:sz w:val="21"/>
                <w:szCs w:val="21"/>
              </w:rPr>
            </w:pPr>
            <w:r>
              <w:rPr>
                <w:rFonts w:hint="eastAsia" w:ascii="Times New Roman" w:hAnsi="Times New Roman" w:cs="Times New Roman"/>
                <w:color w:val="auto"/>
                <w:sz w:val="21"/>
                <w:szCs w:val="21"/>
                <w:highlight w:val="none"/>
                <w:u w:val="none" w:color="auto"/>
                <w:lang w:val="en-US" w:eastAsia="zh-CN"/>
              </w:rPr>
              <w:t>生活污水</w:t>
            </w:r>
          </w:p>
        </w:tc>
        <w:tc>
          <w:tcPr>
            <w:tcW w:w="1145" w:type="dxa"/>
            <w:vAlign w:val="center"/>
          </w:tcPr>
          <w:p w14:paraId="20E72CAB">
            <w:pPr>
              <w:widowControl/>
              <w:jc w:val="center"/>
              <w:outlineLvl w:val="9"/>
              <w:rPr>
                <w:rFonts w:ascii="Times New Roman" w:hAnsi="Times New Roman"/>
                <w:color w:val="auto"/>
                <w:sz w:val="21"/>
                <w:szCs w:val="21"/>
              </w:rPr>
            </w:pPr>
            <w:r>
              <w:rPr>
                <w:rFonts w:hint="eastAsia" w:ascii="宋体" w:hAnsi="宋体" w:eastAsia="宋体" w:cs="宋体"/>
                <w:color w:val="auto"/>
                <w:sz w:val="21"/>
                <w:szCs w:val="21"/>
                <w:u w:val="none" w:color="auto"/>
              </w:rPr>
              <w:t>SS、COD和BOD</w:t>
            </w:r>
            <w:r>
              <w:rPr>
                <w:rFonts w:hint="eastAsia" w:ascii="宋体" w:hAnsi="宋体" w:eastAsia="宋体" w:cs="宋体"/>
                <w:color w:val="auto"/>
                <w:sz w:val="21"/>
                <w:szCs w:val="21"/>
                <w:u w:val="none" w:color="auto"/>
                <w:vertAlign w:val="subscript"/>
              </w:rPr>
              <w:t>5</w:t>
            </w:r>
            <w:r>
              <w:rPr>
                <w:rFonts w:hint="eastAsia" w:ascii="宋体" w:hAnsi="宋体" w:eastAsia="宋体" w:cs="宋体"/>
                <w:color w:val="auto"/>
                <w:sz w:val="21"/>
                <w:szCs w:val="21"/>
                <w:u w:val="none" w:color="auto"/>
              </w:rPr>
              <w:t>、氨氮等</w:t>
            </w:r>
          </w:p>
        </w:tc>
        <w:tc>
          <w:tcPr>
            <w:tcW w:w="3060" w:type="dxa"/>
            <w:vMerge w:val="restart"/>
            <w:vAlign w:val="center"/>
          </w:tcPr>
          <w:p w14:paraId="2ED0FE8A">
            <w:pPr>
              <w:spacing w:line="260" w:lineRule="exact"/>
              <w:jc w:val="center"/>
              <w:rPr>
                <w:rFonts w:hint="eastAsia" w:ascii="Times New Roman" w:hAnsi="Times New Roman"/>
                <w:color w:val="auto"/>
                <w:sz w:val="21"/>
                <w:szCs w:val="21"/>
              </w:rPr>
            </w:pPr>
            <w:r>
              <w:rPr>
                <w:rFonts w:hint="eastAsia" w:ascii="Times New Roman" w:hAnsi="Times New Roman" w:cs="Times New Roman"/>
                <w:color w:val="auto"/>
                <w:sz w:val="21"/>
                <w:szCs w:val="21"/>
                <w:highlight w:val="none"/>
                <w:u w:val="none" w:color="auto"/>
                <w:lang w:val="en-US" w:eastAsia="zh-CN"/>
              </w:rPr>
              <w:t>沉淀处理后会用于施工场地洒水降尘</w:t>
            </w:r>
          </w:p>
        </w:tc>
        <w:tc>
          <w:tcPr>
            <w:tcW w:w="1913" w:type="dxa"/>
            <w:vMerge w:val="restart"/>
            <w:vAlign w:val="center"/>
          </w:tcPr>
          <w:p w14:paraId="28E40E76">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不外排，</w:t>
            </w:r>
            <w:r>
              <w:rPr>
                <w:rFonts w:hint="eastAsia" w:ascii="宋体" w:hAnsi="宋体" w:eastAsia="宋体" w:cs="宋体"/>
                <w:color w:val="auto"/>
                <w:szCs w:val="21"/>
              </w:rPr>
              <w:t>对环境影响较小</w:t>
            </w:r>
          </w:p>
        </w:tc>
      </w:tr>
      <w:tr w14:paraId="27CDDF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3" w:hRule="atLeast"/>
          <w:jc w:val="center"/>
        </w:trPr>
        <w:tc>
          <w:tcPr>
            <w:tcW w:w="886" w:type="dxa"/>
            <w:vMerge w:val="continue"/>
            <w:vAlign w:val="center"/>
          </w:tcPr>
          <w:p w14:paraId="7E98941F">
            <w:pPr>
              <w:spacing w:line="260" w:lineRule="exact"/>
              <w:jc w:val="center"/>
              <w:rPr>
                <w:rFonts w:ascii="Times New Roman" w:hAnsi="Times New Roman"/>
                <w:b/>
                <w:bCs/>
                <w:color w:val="auto"/>
                <w:sz w:val="21"/>
                <w:szCs w:val="21"/>
              </w:rPr>
            </w:pPr>
          </w:p>
        </w:tc>
        <w:tc>
          <w:tcPr>
            <w:tcW w:w="499" w:type="dxa"/>
            <w:vMerge w:val="continue"/>
            <w:vAlign w:val="center"/>
          </w:tcPr>
          <w:p w14:paraId="06B890F5">
            <w:pPr>
              <w:spacing w:line="260" w:lineRule="exact"/>
              <w:jc w:val="center"/>
              <w:rPr>
                <w:rFonts w:ascii="Times New Roman" w:hAnsi="Times New Roman"/>
                <w:color w:val="auto"/>
                <w:sz w:val="21"/>
                <w:szCs w:val="21"/>
              </w:rPr>
            </w:pPr>
          </w:p>
        </w:tc>
        <w:tc>
          <w:tcPr>
            <w:tcW w:w="1470" w:type="dxa"/>
            <w:vAlign w:val="center"/>
          </w:tcPr>
          <w:p w14:paraId="3161E1EC">
            <w:pPr>
              <w:widowControl/>
              <w:jc w:val="center"/>
              <w:outlineLvl w:val="9"/>
              <w:rPr>
                <w:rFonts w:ascii="Times New Roman" w:hAnsi="Times New Roman"/>
                <w:color w:val="auto"/>
                <w:sz w:val="21"/>
                <w:szCs w:val="21"/>
              </w:rPr>
            </w:pPr>
            <w:r>
              <w:rPr>
                <w:rFonts w:hint="eastAsia" w:ascii="Times New Roman" w:hAnsi="Times New Roman" w:cs="Times New Roman"/>
                <w:color w:val="auto"/>
                <w:sz w:val="21"/>
                <w:szCs w:val="21"/>
                <w:highlight w:val="none"/>
                <w:u w:val="none" w:color="auto"/>
                <w:lang w:val="en-US" w:eastAsia="zh-CN"/>
              </w:rPr>
              <w:t>施工废水</w:t>
            </w:r>
          </w:p>
        </w:tc>
        <w:tc>
          <w:tcPr>
            <w:tcW w:w="1145" w:type="dxa"/>
            <w:vAlign w:val="center"/>
          </w:tcPr>
          <w:p w14:paraId="03A0635D">
            <w:pPr>
              <w:widowControl/>
              <w:jc w:val="center"/>
              <w:outlineLvl w:val="9"/>
              <w:rPr>
                <w:rFonts w:ascii="Times New Roman" w:hAnsi="Times New Roman"/>
                <w:color w:val="auto"/>
                <w:sz w:val="21"/>
                <w:szCs w:val="21"/>
              </w:rPr>
            </w:pPr>
            <w:r>
              <w:rPr>
                <w:rFonts w:hint="eastAsia" w:ascii="宋体" w:hAnsi="宋体" w:eastAsia="宋体" w:cs="宋体"/>
                <w:color w:val="auto"/>
                <w:sz w:val="21"/>
                <w:szCs w:val="21"/>
                <w:highlight w:val="none"/>
                <w:u w:val="none" w:color="auto"/>
                <w:lang w:val="en-US" w:eastAsia="zh-CN"/>
              </w:rPr>
              <w:t>泥沙、SS</w:t>
            </w:r>
          </w:p>
        </w:tc>
        <w:tc>
          <w:tcPr>
            <w:tcW w:w="3060" w:type="dxa"/>
            <w:vMerge w:val="continue"/>
            <w:vAlign w:val="center"/>
          </w:tcPr>
          <w:p w14:paraId="5FD11B60">
            <w:pPr>
              <w:spacing w:line="260" w:lineRule="exact"/>
              <w:jc w:val="center"/>
              <w:rPr>
                <w:rFonts w:hint="eastAsia" w:ascii="Times New Roman" w:hAnsi="Times New Roman"/>
                <w:color w:val="auto"/>
                <w:sz w:val="21"/>
                <w:szCs w:val="21"/>
              </w:rPr>
            </w:pPr>
          </w:p>
        </w:tc>
        <w:tc>
          <w:tcPr>
            <w:tcW w:w="1913" w:type="dxa"/>
            <w:vMerge w:val="continue"/>
            <w:vAlign w:val="center"/>
          </w:tcPr>
          <w:p w14:paraId="7345378B">
            <w:pPr>
              <w:spacing w:line="260" w:lineRule="exact"/>
              <w:jc w:val="center"/>
              <w:rPr>
                <w:rFonts w:hint="eastAsia" w:ascii="Times New Roman" w:hAnsi="Times New Roman"/>
                <w:color w:val="auto"/>
                <w:sz w:val="21"/>
                <w:szCs w:val="21"/>
              </w:rPr>
            </w:pPr>
          </w:p>
        </w:tc>
      </w:tr>
      <w:tr w14:paraId="316822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886" w:type="dxa"/>
            <w:vMerge w:val="continue"/>
            <w:vAlign w:val="center"/>
          </w:tcPr>
          <w:p w14:paraId="42BFD5DD">
            <w:pPr>
              <w:spacing w:line="260" w:lineRule="exact"/>
              <w:jc w:val="center"/>
              <w:rPr>
                <w:rFonts w:ascii="Times New Roman" w:hAnsi="Times New Roman"/>
                <w:b/>
                <w:bCs/>
                <w:color w:val="auto"/>
                <w:sz w:val="21"/>
                <w:szCs w:val="21"/>
              </w:rPr>
            </w:pPr>
          </w:p>
        </w:tc>
        <w:tc>
          <w:tcPr>
            <w:tcW w:w="499" w:type="dxa"/>
            <w:vAlign w:val="center"/>
          </w:tcPr>
          <w:p w14:paraId="09465CE0">
            <w:pPr>
              <w:spacing w:line="260" w:lineRule="exact"/>
              <w:jc w:val="center"/>
              <w:rPr>
                <w:rFonts w:ascii="Times New Roman" w:hAnsi="Times New Roman"/>
                <w:bCs/>
                <w:color w:val="auto"/>
                <w:sz w:val="21"/>
                <w:szCs w:val="21"/>
              </w:rPr>
            </w:pPr>
            <w:r>
              <w:rPr>
                <w:rFonts w:ascii="Times New Roman" w:hAnsi="Times New Roman"/>
                <w:color w:val="auto"/>
                <w:sz w:val="21"/>
                <w:szCs w:val="21"/>
              </w:rPr>
              <w:t>运营期</w:t>
            </w:r>
          </w:p>
        </w:tc>
        <w:tc>
          <w:tcPr>
            <w:tcW w:w="1470" w:type="dxa"/>
            <w:vAlign w:val="center"/>
          </w:tcPr>
          <w:p w14:paraId="165A25DA">
            <w:pPr>
              <w:adjustRightInd w:val="0"/>
              <w:snapToGrid w:val="0"/>
              <w:spacing w:line="360" w:lineRule="exact"/>
              <w:jc w:val="center"/>
              <w:rPr>
                <w:rFonts w:ascii="Times New Roman" w:hAnsi="Times New Roman"/>
                <w:bCs/>
                <w:color w:val="auto"/>
                <w:sz w:val="21"/>
                <w:szCs w:val="21"/>
              </w:rPr>
            </w:pPr>
            <w:r>
              <w:rPr>
                <w:rFonts w:hint="eastAsia" w:ascii="宋体" w:hAnsi="宋体" w:eastAsia="宋体" w:cs="宋体"/>
                <w:bCs/>
                <w:color w:val="auto"/>
                <w:szCs w:val="21"/>
              </w:rPr>
              <w:t>生活污水、厨房废水</w:t>
            </w:r>
          </w:p>
        </w:tc>
        <w:tc>
          <w:tcPr>
            <w:tcW w:w="1145" w:type="dxa"/>
            <w:vAlign w:val="center"/>
          </w:tcPr>
          <w:p w14:paraId="50CD2289">
            <w:pPr>
              <w:adjustRightInd w:val="0"/>
              <w:snapToGrid w:val="0"/>
              <w:spacing w:line="360" w:lineRule="exact"/>
              <w:jc w:val="center"/>
              <w:rPr>
                <w:rFonts w:hint="eastAsia" w:ascii="宋体" w:hAnsi="宋体" w:eastAsia="宋体" w:cs="宋体"/>
                <w:bCs/>
                <w:color w:val="auto"/>
                <w:szCs w:val="21"/>
              </w:rPr>
            </w:pPr>
            <w:r>
              <w:rPr>
                <w:rFonts w:hint="eastAsia" w:ascii="宋体" w:hAnsi="宋体" w:eastAsia="宋体" w:cs="宋体"/>
                <w:bCs/>
                <w:color w:val="auto"/>
                <w:szCs w:val="21"/>
              </w:rPr>
              <w:t>COD</w:t>
            </w:r>
            <w:r>
              <w:rPr>
                <w:rFonts w:hint="eastAsia" w:ascii="宋体" w:hAnsi="宋体" w:eastAsia="宋体" w:cs="宋体"/>
                <w:bCs/>
                <w:color w:val="auto"/>
                <w:szCs w:val="21"/>
                <w:vertAlign w:val="subscript"/>
              </w:rPr>
              <w:t>cr</w:t>
            </w:r>
            <w:r>
              <w:rPr>
                <w:rFonts w:hint="eastAsia" w:ascii="宋体" w:hAnsi="宋体" w:eastAsia="宋体" w:cs="宋体"/>
                <w:color w:val="auto"/>
                <w:szCs w:val="21"/>
              </w:rPr>
              <w:t>、BOD</w:t>
            </w:r>
            <w:r>
              <w:rPr>
                <w:rFonts w:hint="eastAsia" w:ascii="宋体" w:hAnsi="宋体" w:eastAsia="宋体" w:cs="宋体"/>
                <w:color w:val="auto"/>
                <w:szCs w:val="21"/>
                <w:vertAlign w:val="subscript"/>
              </w:rPr>
              <w:t>5</w:t>
            </w:r>
            <w:r>
              <w:rPr>
                <w:rFonts w:hint="eastAsia" w:ascii="宋体" w:hAnsi="宋体" w:eastAsia="宋体" w:cs="宋体"/>
                <w:color w:val="auto"/>
                <w:szCs w:val="21"/>
              </w:rPr>
              <w:t>、SS</w:t>
            </w:r>
            <w:r>
              <w:rPr>
                <w:rFonts w:hint="eastAsia" w:ascii="宋体" w:hAnsi="宋体" w:eastAsia="宋体" w:cs="宋体"/>
                <w:bCs/>
                <w:color w:val="auto"/>
                <w:szCs w:val="21"/>
              </w:rPr>
              <w:t>、NH</w:t>
            </w:r>
            <w:r>
              <w:rPr>
                <w:rFonts w:hint="eastAsia" w:ascii="宋体" w:hAnsi="宋体" w:eastAsia="宋体" w:cs="宋体"/>
                <w:bCs/>
                <w:color w:val="auto"/>
                <w:szCs w:val="21"/>
                <w:vertAlign w:val="subscript"/>
              </w:rPr>
              <w:t>3</w:t>
            </w:r>
            <w:r>
              <w:rPr>
                <w:rFonts w:hint="eastAsia" w:ascii="宋体" w:hAnsi="宋体" w:eastAsia="宋体" w:cs="宋体"/>
                <w:bCs/>
                <w:color w:val="auto"/>
                <w:szCs w:val="21"/>
              </w:rPr>
              <w:t>-N</w:t>
            </w:r>
          </w:p>
          <w:p w14:paraId="41C8D11E">
            <w:pPr>
              <w:adjustRightInd w:val="0"/>
              <w:snapToGrid w:val="0"/>
              <w:spacing w:line="360" w:lineRule="exact"/>
              <w:jc w:val="center"/>
              <w:rPr>
                <w:rFonts w:ascii="Times New Roman" w:hAnsi="Times New Roman"/>
                <w:color w:val="auto"/>
                <w:sz w:val="21"/>
                <w:szCs w:val="21"/>
              </w:rPr>
            </w:pPr>
            <w:r>
              <w:rPr>
                <w:rFonts w:hint="eastAsia" w:ascii="宋体" w:hAnsi="宋体" w:eastAsia="宋体" w:cs="宋体"/>
                <w:bCs/>
                <w:color w:val="auto"/>
                <w:szCs w:val="21"/>
              </w:rPr>
              <w:t>动植物油</w:t>
            </w:r>
          </w:p>
        </w:tc>
        <w:tc>
          <w:tcPr>
            <w:tcW w:w="3060" w:type="dxa"/>
            <w:vAlign w:val="center"/>
          </w:tcPr>
          <w:p w14:paraId="3CD13667">
            <w:pPr>
              <w:spacing w:line="360" w:lineRule="exact"/>
              <w:rPr>
                <w:rFonts w:ascii="Times New Roman" w:hAnsi="Times New Roman"/>
                <w:color w:val="auto"/>
                <w:sz w:val="21"/>
                <w:szCs w:val="21"/>
              </w:rPr>
            </w:pPr>
            <w:r>
              <w:rPr>
                <w:rFonts w:hint="eastAsia" w:ascii="宋体" w:hAnsi="宋体" w:eastAsia="宋体" w:cs="宋体"/>
                <w:color w:val="auto"/>
                <w:szCs w:val="21"/>
              </w:rPr>
              <w:t>厨房废水先经</w:t>
            </w:r>
            <w:r>
              <w:rPr>
                <w:rFonts w:hint="eastAsia" w:ascii="宋体" w:hAnsi="宋体" w:eastAsia="宋体" w:cs="宋体"/>
                <w:color w:val="auto"/>
                <w:kern w:val="0"/>
                <w:szCs w:val="21"/>
                <w:lang w:bidi="ar"/>
              </w:rPr>
              <w:t>隔油池预处理，再与生活废水一起经化粪池处理后作为农肥使用</w:t>
            </w:r>
          </w:p>
        </w:tc>
        <w:tc>
          <w:tcPr>
            <w:tcW w:w="1913" w:type="dxa"/>
            <w:vAlign w:val="center"/>
          </w:tcPr>
          <w:p w14:paraId="386D4E23">
            <w:pPr>
              <w:spacing w:line="260" w:lineRule="exact"/>
              <w:jc w:val="center"/>
              <w:rPr>
                <w:rFonts w:ascii="Times New Roman" w:hAnsi="Times New Roman"/>
                <w:color w:val="auto"/>
                <w:kern w:val="0"/>
                <w:sz w:val="21"/>
                <w:szCs w:val="21"/>
              </w:rPr>
            </w:pPr>
            <w:r>
              <w:rPr>
                <w:rFonts w:hint="eastAsia" w:ascii="Times New Roman" w:hAnsi="Times New Roman"/>
                <w:color w:val="auto"/>
                <w:sz w:val="21"/>
                <w:szCs w:val="21"/>
                <w:lang w:eastAsia="zh-CN"/>
              </w:rPr>
              <w:t>不外排，</w:t>
            </w:r>
            <w:r>
              <w:rPr>
                <w:rFonts w:hint="eastAsia" w:ascii="宋体" w:hAnsi="宋体" w:eastAsia="宋体" w:cs="宋体"/>
                <w:color w:val="auto"/>
                <w:szCs w:val="21"/>
              </w:rPr>
              <w:t>对环境影响较小</w:t>
            </w:r>
          </w:p>
        </w:tc>
      </w:tr>
      <w:tr w14:paraId="51C212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886" w:type="dxa"/>
            <w:vMerge w:val="restart"/>
            <w:vAlign w:val="center"/>
          </w:tcPr>
          <w:p w14:paraId="1349D316">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固</w:t>
            </w:r>
          </w:p>
          <w:p w14:paraId="5773A5D5">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体</w:t>
            </w:r>
          </w:p>
          <w:p w14:paraId="2094E742">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废</w:t>
            </w:r>
          </w:p>
          <w:p w14:paraId="1FC94520">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物</w:t>
            </w:r>
          </w:p>
        </w:tc>
        <w:tc>
          <w:tcPr>
            <w:tcW w:w="499" w:type="dxa"/>
            <w:vMerge w:val="restart"/>
            <w:vAlign w:val="center"/>
          </w:tcPr>
          <w:p w14:paraId="3FEF9E82">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施工期</w:t>
            </w:r>
          </w:p>
        </w:tc>
        <w:tc>
          <w:tcPr>
            <w:tcW w:w="1470" w:type="dxa"/>
            <w:vAlign w:val="center"/>
          </w:tcPr>
          <w:p w14:paraId="11C73019">
            <w:pPr>
              <w:jc w:val="center"/>
              <w:rPr>
                <w:rFonts w:hint="eastAsia" w:ascii="宋体" w:hAnsi="宋体" w:eastAsia="宋体" w:cs="宋体"/>
                <w:bCs/>
                <w:color w:val="auto"/>
                <w:szCs w:val="21"/>
              </w:rPr>
            </w:pPr>
            <w:r>
              <w:rPr>
                <w:rFonts w:hint="eastAsia" w:ascii="宋体" w:hAnsi="宋体" w:eastAsia="宋体" w:cs="宋体"/>
                <w:color w:val="auto"/>
                <w:kern w:val="0"/>
                <w:szCs w:val="21"/>
              </w:rPr>
              <w:t>建筑施工</w:t>
            </w:r>
          </w:p>
        </w:tc>
        <w:tc>
          <w:tcPr>
            <w:tcW w:w="1145" w:type="dxa"/>
            <w:vAlign w:val="center"/>
          </w:tcPr>
          <w:p w14:paraId="3EE8D301">
            <w:pPr>
              <w:jc w:val="center"/>
              <w:rPr>
                <w:rFonts w:hint="eastAsia" w:ascii="宋体" w:hAnsi="宋体" w:eastAsia="宋体" w:cs="宋体"/>
                <w:bCs/>
                <w:color w:val="auto"/>
                <w:szCs w:val="21"/>
              </w:rPr>
            </w:pPr>
            <w:r>
              <w:rPr>
                <w:rFonts w:hint="eastAsia" w:ascii="宋体" w:hAnsi="宋体" w:eastAsia="宋体" w:cs="宋体"/>
                <w:color w:val="auto"/>
                <w:kern w:val="0"/>
                <w:szCs w:val="21"/>
              </w:rPr>
              <w:t>建筑垃圾</w:t>
            </w:r>
          </w:p>
        </w:tc>
        <w:tc>
          <w:tcPr>
            <w:tcW w:w="3060" w:type="dxa"/>
            <w:vAlign w:val="center"/>
          </w:tcPr>
          <w:p w14:paraId="13BD2644">
            <w:pPr>
              <w:jc w:val="center"/>
              <w:rPr>
                <w:rFonts w:hint="eastAsia" w:ascii="宋体" w:hAnsi="宋体" w:eastAsia="宋体" w:cs="宋体"/>
                <w:color w:val="auto"/>
                <w:szCs w:val="21"/>
              </w:rPr>
            </w:pPr>
            <w:r>
              <w:rPr>
                <w:rFonts w:hint="eastAsia" w:ascii="宋体" w:hAnsi="宋体" w:eastAsia="宋体" w:cs="宋体"/>
                <w:bCs/>
                <w:color w:val="auto"/>
                <w:szCs w:val="21"/>
              </w:rPr>
              <w:t>统一清运至指定地点堆存</w:t>
            </w:r>
          </w:p>
        </w:tc>
        <w:tc>
          <w:tcPr>
            <w:tcW w:w="1913" w:type="dxa"/>
            <w:vMerge w:val="restart"/>
            <w:vAlign w:val="center"/>
          </w:tcPr>
          <w:p w14:paraId="330E0926">
            <w:pPr>
              <w:spacing w:line="260" w:lineRule="exact"/>
              <w:jc w:val="center"/>
              <w:rPr>
                <w:rFonts w:hint="eastAsia" w:ascii="Times New Roman" w:hAnsi="Times New Roman"/>
                <w:color w:val="auto"/>
                <w:sz w:val="21"/>
                <w:szCs w:val="21"/>
                <w:lang w:eastAsia="zh-CN"/>
              </w:rPr>
            </w:pPr>
            <w:r>
              <w:rPr>
                <w:rFonts w:hint="eastAsia" w:ascii="宋体" w:hAnsi="宋体" w:eastAsia="宋体" w:cs="宋体"/>
                <w:color w:val="auto"/>
                <w:sz w:val="21"/>
                <w:szCs w:val="21"/>
                <w:highlight w:val="none"/>
                <w:u w:val="none" w:color="auto"/>
              </w:rPr>
              <w:t>处置率100%</w:t>
            </w:r>
          </w:p>
        </w:tc>
      </w:tr>
      <w:tr w14:paraId="4521CB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886" w:type="dxa"/>
            <w:vMerge w:val="continue"/>
            <w:vAlign w:val="center"/>
          </w:tcPr>
          <w:p w14:paraId="7A8EECDD">
            <w:pPr>
              <w:spacing w:line="260" w:lineRule="exact"/>
              <w:jc w:val="center"/>
              <w:rPr>
                <w:rFonts w:ascii="Times New Roman" w:hAnsi="Times New Roman"/>
                <w:b/>
                <w:bCs/>
                <w:color w:val="auto"/>
                <w:sz w:val="21"/>
                <w:szCs w:val="21"/>
              </w:rPr>
            </w:pPr>
          </w:p>
        </w:tc>
        <w:tc>
          <w:tcPr>
            <w:tcW w:w="499" w:type="dxa"/>
            <w:vMerge w:val="continue"/>
            <w:vAlign w:val="center"/>
          </w:tcPr>
          <w:p w14:paraId="1E3BDE21">
            <w:pPr>
              <w:spacing w:line="260" w:lineRule="exact"/>
              <w:jc w:val="center"/>
              <w:rPr>
                <w:rFonts w:ascii="Times New Roman" w:hAnsi="Times New Roman"/>
                <w:color w:val="auto"/>
                <w:sz w:val="21"/>
                <w:szCs w:val="21"/>
              </w:rPr>
            </w:pPr>
          </w:p>
        </w:tc>
        <w:tc>
          <w:tcPr>
            <w:tcW w:w="1470" w:type="dxa"/>
            <w:vAlign w:val="center"/>
          </w:tcPr>
          <w:p w14:paraId="4F872200">
            <w:pPr>
              <w:jc w:val="center"/>
              <w:rPr>
                <w:rFonts w:hint="eastAsia" w:ascii="宋体" w:hAnsi="宋体" w:eastAsia="宋体" w:cs="宋体"/>
                <w:bCs/>
                <w:color w:val="auto"/>
                <w:szCs w:val="21"/>
              </w:rPr>
            </w:pPr>
            <w:r>
              <w:rPr>
                <w:rFonts w:hint="eastAsia" w:ascii="宋体" w:hAnsi="宋体" w:eastAsia="宋体" w:cs="宋体"/>
                <w:color w:val="auto"/>
                <w:kern w:val="0"/>
                <w:szCs w:val="21"/>
              </w:rPr>
              <w:t>施工人员活动</w:t>
            </w:r>
          </w:p>
        </w:tc>
        <w:tc>
          <w:tcPr>
            <w:tcW w:w="1145" w:type="dxa"/>
            <w:vAlign w:val="center"/>
          </w:tcPr>
          <w:p w14:paraId="002EC2A3">
            <w:pPr>
              <w:jc w:val="center"/>
              <w:rPr>
                <w:rFonts w:hint="eastAsia" w:ascii="宋体" w:hAnsi="宋体" w:eastAsia="宋体" w:cs="宋体"/>
                <w:bCs/>
                <w:color w:val="auto"/>
                <w:szCs w:val="21"/>
              </w:rPr>
            </w:pPr>
            <w:r>
              <w:rPr>
                <w:rFonts w:hint="eastAsia" w:ascii="宋体" w:hAnsi="宋体" w:eastAsia="宋体" w:cs="宋体"/>
                <w:color w:val="auto"/>
                <w:kern w:val="0"/>
                <w:szCs w:val="21"/>
              </w:rPr>
              <w:t>生活垃圾</w:t>
            </w:r>
          </w:p>
        </w:tc>
        <w:tc>
          <w:tcPr>
            <w:tcW w:w="3060" w:type="dxa"/>
            <w:vAlign w:val="center"/>
          </w:tcPr>
          <w:p w14:paraId="5B195C8E">
            <w:pPr>
              <w:jc w:val="center"/>
              <w:rPr>
                <w:rFonts w:hint="eastAsia" w:ascii="宋体" w:hAnsi="宋体" w:eastAsia="宋体" w:cs="宋体"/>
                <w:color w:val="auto"/>
                <w:szCs w:val="21"/>
              </w:rPr>
            </w:pPr>
            <w:r>
              <w:rPr>
                <w:rFonts w:hint="eastAsia" w:ascii="宋体" w:hAnsi="宋体" w:eastAsia="宋体" w:cs="宋体"/>
                <w:bCs/>
                <w:color w:val="auto"/>
                <w:szCs w:val="21"/>
              </w:rPr>
              <w:t>集中收集后外运至垃圾堆放点</w:t>
            </w:r>
            <w:r>
              <w:rPr>
                <w:rFonts w:hint="eastAsia" w:ascii="宋体" w:hAnsi="宋体" w:eastAsia="宋体" w:cs="宋体"/>
                <w:bCs/>
                <w:color w:val="auto"/>
                <w:szCs w:val="21"/>
                <w:lang w:eastAsia="zh-CN"/>
              </w:rPr>
              <w:t>，</w:t>
            </w:r>
            <w:r>
              <w:rPr>
                <w:rFonts w:hint="eastAsia" w:ascii="宋体" w:hAnsi="宋体" w:eastAsia="宋体" w:cs="宋体"/>
                <w:bCs/>
                <w:color w:val="auto"/>
                <w:szCs w:val="21"/>
              </w:rPr>
              <w:t>由当地环卫部门清运</w:t>
            </w:r>
          </w:p>
        </w:tc>
        <w:tc>
          <w:tcPr>
            <w:tcW w:w="1913" w:type="dxa"/>
            <w:vMerge w:val="continue"/>
            <w:vAlign w:val="center"/>
          </w:tcPr>
          <w:p w14:paraId="4FB949F1">
            <w:pPr>
              <w:spacing w:line="260" w:lineRule="exact"/>
              <w:jc w:val="center"/>
              <w:rPr>
                <w:rFonts w:hint="eastAsia" w:ascii="Times New Roman" w:hAnsi="Times New Roman"/>
                <w:color w:val="auto"/>
                <w:sz w:val="21"/>
                <w:szCs w:val="21"/>
                <w:lang w:eastAsia="zh-CN"/>
              </w:rPr>
            </w:pPr>
          </w:p>
        </w:tc>
      </w:tr>
      <w:tr w14:paraId="63F7B3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886" w:type="dxa"/>
            <w:vMerge w:val="continue"/>
            <w:vAlign w:val="center"/>
          </w:tcPr>
          <w:p w14:paraId="1A11FFC4">
            <w:pPr>
              <w:spacing w:line="260" w:lineRule="exact"/>
              <w:jc w:val="center"/>
              <w:rPr>
                <w:rFonts w:ascii="Times New Roman" w:hAnsi="Times New Roman"/>
                <w:b/>
                <w:bCs/>
                <w:color w:val="auto"/>
                <w:sz w:val="21"/>
                <w:szCs w:val="21"/>
              </w:rPr>
            </w:pPr>
          </w:p>
        </w:tc>
        <w:tc>
          <w:tcPr>
            <w:tcW w:w="499" w:type="dxa"/>
            <w:vMerge w:val="restart"/>
            <w:vAlign w:val="center"/>
          </w:tcPr>
          <w:p w14:paraId="68233DCD">
            <w:pPr>
              <w:spacing w:line="260" w:lineRule="exact"/>
              <w:jc w:val="center"/>
              <w:rPr>
                <w:rFonts w:ascii="Times New Roman" w:hAnsi="Times New Roman"/>
                <w:color w:val="auto"/>
                <w:sz w:val="21"/>
                <w:szCs w:val="21"/>
              </w:rPr>
            </w:pPr>
            <w:r>
              <w:rPr>
                <w:rFonts w:ascii="Times New Roman" w:hAnsi="Times New Roman"/>
                <w:color w:val="auto"/>
                <w:sz w:val="21"/>
                <w:szCs w:val="21"/>
              </w:rPr>
              <w:t>营运期</w:t>
            </w:r>
          </w:p>
        </w:tc>
        <w:tc>
          <w:tcPr>
            <w:tcW w:w="1470" w:type="dxa"/>
            <w:vMerge w:val="restart"/>
            <w:tcBorders>
              <w:bottom w:val="single" w:color="auto" w:sz="6" w:space="0"/>
            </w:tcBorders>
            <w:vAlign w:val="center"/>
          </w:tcPr>
          <w:p w14:paraId="742DE54E">
            <w:pPr>
              <w:spacing w:line="260" w:lineRule="exact"/>
              <w:jc w:val="center"/>
              <w:rPr>
                <w:rFonts w:ascii="Times New Roman" w:hAnsi="Times New Roman"/>
                <w:color w:val="auto"/>
                <w:sz w:val="21"/>
                <w:szCs w:val="21"/>
              </w:rPr>
            </w:pPr>
            <w:r>
              <w:rPr>
                <w:rFonts w:ascii="Times New Roman" w:hAnsi="Times New Roman"/>
                <w:color w:val="auto"/>
                <w:sz w:val="21"/>
                <w:szCs w:val="21"/>
              </w:rPr>
              <w:t>生产过程</w:t>
            </w:r>
          </w:p>
        </w:tc>
        <w:tc>
          <w:tcPr>
            <w:tcW w:w="1145" w:type="dxa"/>
            <w:tcBorders>
              <w:bottom w:val="single" w:color="auto" w:sz="6" w:space="0"/>
            </w:tcBorders>
            <w:vAlign w:val="center"/>
          </w:tcPr>
          <w:p w14:paraId="5B607DA9">
            <w:pPr>
              <w:jc w:val="center"/>
              <w:rPr>
                <w:rFonts w:ascii="Times New Roman" w:hAnsi="Times New Roman"/>
                <w:color w:val="auto"/>
                <w:sz w:val="21"/>
                <w:szCs w:val="21"/>
              </w:rPr>
            </w:pPr>
            <w:r>
              <w:rPr>
                <w:rFonts w:hint="eastAsia" w:ascii="Times New Roman" w:hAnsi="Times New Roman"/>
                <w:color w:val="auto"/>
                <w:sz w:val="21"/>
                <w:szCs w:val="21"/>
                <w:lang w:eastAsia="zh-CN"/>
              </w:rPr>
              <w:t>杂质</w:t>
            </w:r>
          </w:p>
        </w:tc>
        <w:tc>
          <w:tcPr>
            <w:tcW w:w="3060" w:type="dxa"/>
            <w:tcBorders>
              <w:bottom w:val="single" w:color="auto" w:sz="6" w:space="0"/>
            </w:tcBorders>
            <w:vAlign w:val="center"/>
          </w:tcPr>
          <w:p w14:paraId="33FE0780">
            <w:pPr>
              <w:spacing w:line="260" w:lineRule="exact"/>
              <w:jc w:val="center"/>
              <w:rPr>
                <w:rFonts w:ascii="Times New Roman" w:hAnsi="Times New Roman"/>
                <w:color w:val="auto"/>
                <w:sz w:val="21"/>
                <w:szCs w:val="21"/>
              </w:rPr>
            </w:pPr>
            <w:r>
              <w:rPr>
                <w:rFonts w:hint="eastAsia" w:ascii="Times New Roman" w:hAnsi="Times New Roman"/>
                <w:color w:val="auto"/>
                <w:sz w:val="21"/>
                <w:szCs w:val="21"/>
              </w:rPr>
              <w:t>集中收集后交由周边农户堆肥，作为农肥使用</w:t>
            </w:r>
          </w:p>
        </w:tc>
        <w:tc>
          <w:tcPr>
            <w:tcW w:w="1913" w:type="dxa"/>
            <w:vMerge w:val="restart"/>
            <w:vAlign w:val="center"/>
          </w:tcPr>
          <w:p w14:paraId="78AEFD12">
            <w:pPr>
              <w:spacing w:line="260" w:lineRule="exact"/>
              <w:jc w:val="center"/>
              <w:rPr>
                <w:rFonts w:ascii="Times New Roman" w:hAnsi="Times New Roman"/>
                <w:color w:val="auto"/>
                <w:sz w:val="21"/>
                <w:szCs w:val="21"/>
              </w:rPr>
            </w:pPr>
            <w:r>
              <w:rPr>
                <w:rFonts w:hint="eastAsia" w:ascii="宋体" w:hAnsi="宋体" w:eastAsia="宋体" w:cs="宋体"/>
                <w:color w:val="auto"/>
                <w:sz w:val="21"/>
                <w:szCs w:val="21"/>
                <w:highlight w:val="none"/>
                <w:u w:val="none" w:color="auto"/>
              </w:rPr>
              <w:t>处置率100%</w:t>
            </w:r>
          </w:p>
        </w:tc>
      </w:tr>
      <w:tr w14:paraId="374877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86" w:type="dxa"/>
            <w:vMerge w:val="continue"/>
            <w:vAlign w:val="center"/>
          </w:tcPr>
          <w:p w14:paraId="1526F7AD">
            <w:pPr>
              <w:spacing w:line="260" w:lineRule="exact"/>
              <w:jc w:val="center"/>
              <w:rPr>
                <w:rFonts w:ascii="Times New Roman" w:hAnsi="Times New Roman"/>
                <w:color w:val="auto"/>
                <w:sz w:val="21"/>
                <w:szCs w:val="21"/>
              </w:rPr>
            </w:pPr>
          </w:p>
        </w:tc>
        <w:tc>
          <w:tcPr>
            <w:tcW w:w="499" w:type="dxa"/>
            <w:vMerge w:val="continue"/>
            <w:vAlign w:val="center"/>
          </w:tcPr>
          <w:p w14:paraId="1CFA52FA">
            <w:pPr>
              <w:spacing w:line="260" w:lineRule="exact"/>
              <w:jc w:val="center"/>
              <w:rPr>
                <w:rFonts w:ascii="Times New Roman" w:hAnsi="Times New Roman"/>
                <w:color w:val="auto"/>
                <w:sz w:val="21"/>
                <w:szCs w:val="21"/>
              </w:rPr>
            </w:pPr>
          </w:p>
        </w:tc>
        <w:tc>
          <w:tcPr>
            <w:tcW w:w="1470" w:type="dxa"/>
            <w:vMerge w:val="continue"/>
            <w:vAlign w:val="center"/>
          </w:tcPr>
          <w:p w14:paraId="7FD2F058">
            <w:pPr>
              <w:spacing w:line="260" w:lineRule="exact"/>
              <w:jc w:val="center"/>
              <w:rPr>
                <w:rFonts w:ascii="Times New Roman" w:hAnsi="Times New Roman"/>
                <w:color w:val="auto"/>
                <w:sz w:val="21"/>
                <w:szCs w:val="21"/>
              </w:rPr>
            </w:pPr>
          </w:p>
        </w:tc>
        <w:tc>
          <w:tcPr>
            <w:tcW w:w="1145" w:type="dxa"/>
            <w:vAlign w:val="center"/>
          </w:tcPr>
          <w:p w14:paraId="758C8868">
            <w:pPr>
              <w:jc w:val="center"/>
              <w:rPr>
                <w:rFonts w:ascii="Times New Roman" w:hAnsi="Times New Roman"/>
                <w:color w:val="auto"/>
                <w:sz w:val="21"/>
                <w:szCs w:val="21"/>
              </w:rPr>
            </w:pPr>
            <w:r>
              <w:rPr>
                <w:rFonts w:hint="eastAsia" w:ascii="Times New Roman" w:hAnsi="Times New Roman"/>
                <w:color w:val="auto"/>
                <w:sz w:val="21"/>
                <w:szCs w:val="21"/>
                <w:lang w:eastAsia="zh-CN"/>
              </w:rPr>
              <w:t>原辅材料包装物</w:t>
            </w:r>
          </w:p>
        </w:tc>
        <w:tc>
          <w:tcPr>
            <w:tcW w:w="3060" w:type="dxa"/>
            <w:vAlign w:val="center"/>
          </w:tcPr>
          <w:p w14:paraId="4B4FC81A">
            <w:pPr>
              <w:tabs>
                <w:tab w:val="left" w:pos="5529"/>
              </w:tabs>
              <w:snapToGrid w:val="0"/>
              <w:spacing w:line="260" w:lineRule="exact"/>
              <w:jc w:val="center"/>
              <w:rPr>
                <w:rFonts w:hint="eastAsia" w:ascii="Times New Roman" w:hAnsi="Times New Roman"/>
                <w:color w:val="auto"/>
                <w:sz w:val="21"/>
                <w:szCs w:val="21"/>
              </w:rPr>
            </w:pPr>
            <w:r>
              <w:rPr>
                <w:rFonts w:hint="eastAsia" w:ascii="Times New Roman" w:hAnsi="Times New Roman"/>
                <w:bCs/>
                <w:color w:val="auto"/>
                <w:sz w:val="21"/>
                <w:szCs w:val="21"/>
              </w:rPr>
              <w:t>由专人收集回收利用，不外排</w:t>
            </w:r>
          </w:p>
        </w:tc>
        <w:tc>
          <w:tcPr>
            <w:tcW w:w="1913" w:type="dxa"/>
            <w:vMerge w:val="continue"/>
            <w:vAlign w:val="center"/>
          </w:tcPr>
          <w:p w14:paraId="110AAB21">
            <w:pPr>
              <w:spacing w:line="260" w:lineRule="exact"/>
              <w:jc w:val="center"/>
              <w:rPr>
                <w:rFonts w:ascii="Times New Roman" w:hAnsi="Times New Roman"/>
                <w:color w:val="auto"/>
                <w:sz w:val="21"/>
                <w:szCs w:val="21"/>
              </w:rPr>
            </w:pPr>
          </w:p>
        </w:tc>
      </w:tr>
      <w:tr w14:paraId="1A0EEC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86" w:type="dxa"/>
            <w:vMerge w:val="continue"/>
            <w:vAlign w:val="center"/>
          </w:tcPr>
          <w:p w14:paraId="2D4FC021">
            <w:pPr>
              <w:spacing w:line="260" w:lineRule="exact"/>
              <w:jc w:val="center"/>
              <w:rPr>
                <w:rFonts w:ascii="Times New Roman" w:hAnsi="Times New Roman"/>
                <w:color w:val="auto"/>
                <w:sz w:val="21"/>
                <w:szCs w:val="21"/>
              </w:rPr>
            </w:pPr>
          </w:p>
        </w:tc>
        <w:tc>
          <w:tcPr>
            <w:tcW w:w="499" w:type="dxa"/>
            <w:vMerge w:val="continue"/>
            <w:vAlign w:val="center"/>
          </w:tcPr>
          <w:p w14:paraId="6C2CE67F">
            <w:pPr>
              <w:spacing w:line="260" w:lineRule="exact"/>
              <w:jc w:val="center"/>
              <w:rPr>
                <w:rFonts w:ascii="Times New Roman" w:hAnsi="Times New Roman"/>
                <w:color w:val="auto"/>
                <w:sz w:val="21"/>
                <w:szCs w:val="21"/>
              </w:rPr>
            </w:pPr>
          </w:p>
        </w:tc>
        <w:tc>
          <w:tcPr>
            <w:tcW w:w="1470" w:type="dxa"/>
            <w:vMerge w:val="continue"/>
            <w:vAlign w:val="center"/>
          </w:tcPr>
          <w:p w14:paraId="693BB001">
            <w:pPr>
              <w:spacing w:line="260" w:lineRule="exact"/>
              <w:jc w:val="center"/>
              <w:rPr>
                <w:rFonts w:ascii="Times New Roman" w:hAnsi="Times New Roman"/>
                <w:color w:val="auto"/>
                <w:sz w:val="21"/>
                <w:szCs w:val="21"/>
              </w:rPr>
            </w:pPr>
          </w:p>
        </w:tc>
        <w:tc>
          <w:tcPr>
            <w:tcW w:w="1145" w:type="dxa"/>
            <w:vAlign w:val="center"/>
          </w:tcPr>
          <w:p w14:paraId="7780190C">
            <w:pPr>
              <w:jc w:val="center"/>
              <w:rPr>
                <w:rFonts w:ascii="Times New Roman" w:hAnsi="Times New Roman"/>
                <w:color w:val="auto"/>
                <w:sz w:val="21"/>
                <w:szCs w:val="21"/>
              </w:rPr>
            </w:pPr>
            <w:r>
              <w:rPr>
                <w:rFonts w:hint="eastAsia" w:ascii="Times New Roman" w:hAnsi="Times New Roman"/>
                <w:color w:val="auto"/>
                <w:sz w:val="21"/>
                <w:szCs w:val="21"/>
                <w:lang w:eastAsia="zh-CN"/>
              </w:rPr>
              <w:t>热风炉灰渣</w:t>
            </w:r>
          </w:p>
        </w:tc>
        <w:tc>
          <w:tcPr>
            <w:tcW w:w="3060" w:type="dxa"/>
            <w:vAlign w:val="center"/>
          </w:tcPr>
          <w:p w14:paraId="3950037C">
            <w:pPr>
              <w:spacing w:line="260" w:lineRule="exact"/>
              <w:jc w:val="center"/>
              <w:rPr>
                <w:rFonts w:ascii="Times New Roman" w:hAnsi="Times New Roman"/>
                <w:color w:val="auto"/>
                <w:sz w:val="21"/>
                <w:szCs w:val="21"/>
              </w:rPr>
            </w:pPr>
            <w:r>
              <w:rPr>
                <w:rFonts w:hint="eastAsia" w:ascii="宋体" w:hAnsi="宋体" w:eastAsia="宋体" w:cs="宋体"/>
                <w:color w:val="auto"/>
                <w:sz w:val="21"/>
                <w:szCs w:val="21"/>
                <w:lang w:val="zh-CN"/>
              </w:rPr>
              <w:t>卖给附近农户作为农田施肥</w:t>
            </w:r>
          </w:p>
        </w:tc>
        <w:tc>
          <w:tcPr>
            <w:tcW w:w="1913" w:type="dxa"/>
            <w:vMerge w:val="continue"/>
            <w:vAlign w:val="center"/>
          </w:tcPr>
          <w:p w14:paraId="5127C7CA">
            <w:pPr>
              <w:spacing w:line="260" w:lineRule="exact"/>
              <w:jc w:val="center"/>
              <w:rPr>
                <w:rFonts w:ascii="Times New Roman" w:hAnsi="Times New Roman"/>
                <w:color w:val="auto"/>
                <w:sz w:val="21"/>
                <w:szCs w:val="21"/>
              </w:rPr>
            </w:pPr>
          </w:p>
        </w:tc>
      </w:tr>
      <w:tr w14:paraId="1ECFB3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86" w:type="dxa"/>
            <w:vMerge w:val="continue"/>
            <w:vAlign w:val="center"/>
          </w:tcPr>
          <w:p w14:paraId="6DF9AEA1">
            <w:pPr>
              <w:spacing w:line="260" w:lineRule="exact"/>
              <w:jc w:val="center"/>
              <w:rPr>
                <w:rFonts w:ascii="Times New Roman" w:hAnsi="Times New Roman"/>
                <w:b/>
                <w:bCs/>
                <w:color w:val="auto"/>
                <w:sz w:val="21"/>
                <w:szCs w:val="21"/>
              </w:rPr>
            </w:pPr>
          </w:p>
        </w:tc>
        <w:tc>
          <w:tcPr>
            <w:tcW w:w="499" w:type="dxa"/>
            <w:vMerge w:val="continue"/>
            <w:vAlign w:val="center"/>
          </w:tcPr>
          <w:p w14:paraId="1529D79F">
            <w:pPr>
              <w:spacing w:line="260" w:lineRule="exact"/>
              <w:jc w:val="center"/>
              <w:rPr>
                <w:rFonts w:ascii="Times New Roman" w:hAnsi="Times New Roman"/>
                <w:color w:val="auto"/>
                <w:sz w:val="21"/>
                <w:szCs w:val="21"/>
              </w:rPr>
            </w:pPr>
          </w:p>
        </w:tc>
        <w:tc>
          <w:tcPr>
            <w:tcW w:w="1470" w:type="dxa"/>
            <w:vMerge w:val="restart"/>
            <w:vAlign w:val="center"/>
          </w:tcPr>
          <w:p w14:paraId="68CC5F06">
            <w:pPr>
              <w:spacing w:line="260" w:lineRule="exact"/>
              <w:jc w:val="center"/>
              <w:rPr>
                <w:rFonts w:ascii="Times New Roman" w:hAnsi="Times New Roman"/>
                <w:bCs/>
                <w:color w:val="auto"/>
                <w:sz w:val="21"/>
                <w:szCs w:val="21"/>
              </w:rPr>
            </w:pPr>
            <w:r>
              <w:rPr>
                <w:rFonts w:ascii="Times New Roman" w:hAnsi="Times New Roman"/>
                <w:bCs/>
                <w:color w:val="auto"/>
                <w:sz w:val="21"/>
                <w:szCs w:val="21"/>
              </w:rPr>
              <w:t>员工</w:t>
            </w:r>
          </w:p>
        </w:tc>
        <w:tc>
          <w:tcPr>
            <w:tcW w:w="1145" w:type="dxa"/>
            <w:vAlign w:val="center"/>
          </w:tcPr>
          <w:p w14:paraId="3867B54E">
            <w:pPr>
              <w:spacing w:line="260" w:lineRule="exact"/>
              <w:jc w:val="center"/>
              <w:rPr>
                <w:rFonts w:ascii="Times New Roman" w:hAnsi="Times New Roman"/>
                <w:bCs/>
                <w:color w:val="auto"/>
                <w:sz w:val="21"/>
                <w:szCs w:val="21"/>
              </w:rPr>
            </w:pPr>
            <w:r>
              <w:rPr>
                <w:rFonts w:ascii="Times New Roman" w:hAnsi="Times New Roman"/>
                <w:bCs/>
                <w:color w:val="auto"/>
                <w:sz w:val="21"/>
                <w:szCs w:val="21"/>
              </w:rPr>
              <w:t>生活垃圾</w:t>
            </w:r>
          </w:p>
        </w:tc>
        <w:tc>
          <w:tcPr>
            <w:tcW w:w="3060" w:type="dxa"/>
            <w:vAlign w:val="center"/>
          </w:tcPr>
          <w:p w14:paraId="54F86921">
            <w:pPr>
              <w:spacing w:line="260" w:lineRule="exact"/>
              <w:jc w:val="center"/>
              <w:rPr>
                <w:rFonts w:ascii="Times New Roman" w:hAnsi="Times New Roman"/>
                <w:bCs/>
                <w:color w:val="auto"/>
                <w:sz w:val="21"/>
                <w:szCs w:val="21"/>
              </w:rPr>
            </w:pPr>
            <w:r>
              <w:rPr>
                <w:rFonts w:hint="eastAsia" w:ascii="宋体" w:hAnsi="宋体" w:eastAsia="宋体" w:cs="宋体"/>
                <w:bCs/>
                <w:color w:val="auto"/>
                <w:szCs w:val="21"/>
              </w:rPr>
              <w:t>集中收集后外运至垃圾堆放点</w:t>
            </w:r>
            <w:r>
              <w:rPr>
                <w:rFonts w:hint="eastAsia" w:ascii="宋体" w:hAnsi="宋体" w:eastAsia="宋体" w:cs="宋体"/>
                <w:bCs/>
                <w:color w:val="auto"/>
                <w:szCs w:val="21"/>
                <w:lang w:eastAsia="zh-CN"/>
              </w:rPr>
              <w:t>，</w:t>
            </w:r>
            <w:r>
              <w:rPr>
                <w:rFonts w:hint="eastAsia" w:ascii="宋体" w:hAnsi="宋体" w:eastAsia="宋体" w:cs="宋体"/>
                <w:bCs/>
                <w:color w:val="auto"/>
                <w:szCs w:val="21"/>
              </w:rPr>
              <w:t>由当地环卫部门清运</w:t>
            </w:r>
          </w:p>
        </w:tc>
        <w:tc>
          <w:tcPr>
            <w:tcW w:w="1913" w:type="dxa"/>
            <w:vMerge w:val="continue"/>
            <w:vAlign w:val="center"/>
          </w:tcPr>
          <w:p w14:paraId="0449D0A7">
            <w:pPr>
              <w:spacing w:line="260" w:lineRule="exact"/>
              <w:jc w:val="center"/>
              <w:rPr>
                <w:rFonts w:ascii="Times New Roman" w:hAnsi="Times New Roman"/>
                <w:bCs/>
                <w:color w:val="auto"/>
                <w:sz w:val="21"/>
                <w:szCs w:val="21"/>
              </w:rPr>
            </w:pPr>
          </w:p>
        </w:tc>
      </w:tr>
      <w:tr w14:paraId="60D5E0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1" w:hRule="atLeast"/>
          <w:jc w:val="center"/>
        </w:trPr>
        <w:tc>
          <w:tcPr>
            <w:tcW w:w="886" w:type="dxa"/>
            <w:vMerge w:val="continue"/>
            <w:vAlign w:val="center"/>
          </w:tcPr>
          <w:p w14:paraId="307F5C90">
            <w:pPr>
              <w:spacing w:line="260" w:lineRule="exact"/>
              <w:jc w:val="center"/>
              <w:rPr>
                <w:rFonts w:ascii="Times New Roman" w:hAnsi="Times New Roman"/>
                <w:b/>
                <w:bCs/>
                <w:color w:val="auto"/>
                <w:sz w:val="21"/>
                <w:szCs w:val="21"/>
              </w:rPr>
            </w:pPr>
          </w:p>
        </w:tc>
        <w:tc>
          <w:tcPr>
            <w:tcW w:w="499" w:type="dxa"/>
            <w:vMerge w:val="continue"/>
            <w:vAlign w:val="center"/>
          </w:tcPr>
          <w:p w14:paraId="662685FF">
            <w:pPr>
              <w:spacing w:line="260" w:lineRule="exact"/>
              <w:jc w:val="center"/>
              <w:rPr>
                <w:rFonts w:ascii="Times New Roman" w:hAnsi="Times New Roman"/>
                <w:color w:val="auto"/>
                <w:sz w:val="21"/>
                <w:szCs w:val="21"/>
              </w:rPr>
            </w:pPr>
          </w:p>
        </w:tc>
        <w:tc>
          <w:tcPr>
            <w:tcW w:w="1470" w:type="dxa"/>
            <w:vMerge w:val="continue"/>
            <w:vAlign w:val="center"/>
          </w:tcPr>
          <w:p w14:paraId="6381EE5C">
            <w:pPr>
              <w:spacing w:line="260" w:lineRule="exact"/>
              <w:jc w:val="center"/>
              <w:rPr>
                <w:rFonts w:ascii="Times New Roman" w:hAnsi="Times New Roman"/>
                <w:bCs/>
                <w:color w:val="auto"/>
                <w:sz w:val="21"/>
                <w:szCs w:val="21"/>
              </w:rPr>
            </w:pPr>
          </w:p>
        </w:tc>
        <w:tc>
          <w:tcPr>
            <w:tcW w:w="1145" w:type="dxa"/>
            <w:vAlign w:val="center"/>
          </w:tcPr>
          <w:p w14:paraId="4B421A59">
            <w:pPr>
              <w:spacing w:line="260" w:lineRule="exact"/>
              <w:jc w:val="center"/>
              <w:rPr>
                <w:rFonts w:hint="eastAsia" w:ascii="Times New Roman" w:hAnsi="Times New Roman" w:eastAsia="宋体"/>
                <w:bCs/>
                <w:color w:val="auto"/>
                <w:sz w:val="21"/>
                <w:szCs w:val="21"/>
                <w:lang w:eastAsia="zh-CN"/>
              </w:rPr>
            </w:pPr>
            <w:r>
              <w:rPr>
                <w:rFonts w:hint="eastAsia" w:ascii="Times New Roman" w:hAnsi="Times New Roman"/>
                <w:bCs/>
                <w:color w:val="auto"/>
                <w:sz w:val="21"/>
                <w:szCs w:val="21"/>
                <w:lang w:eastAsia="zh-CN"/>
              </w:rPr>
              <w:t>化粪池污泥</w:t>
            </w:r>
          </w:p>
        </w:tc>
        <w:tc>
          <w:tcPr>
            <w:tcW w:w="3060" w:type="dxa"/>
            <w:vAlign w:val="center"/>
          </w:tcPr>
          <w:p w14:paraId="08B867C4">
            <w:pPr>
              <w:spacing w:line="260" w:lineRule="exact"/>
              <w:jc w:val="center"/>
              <w:rPr>
                <w:rFonts w:hint="eastAsia" w:ascii="Times New Roman" w:hAnsi="Times New Roman"/>
                <w:color w:val="auto"/>
                <w:sz w:val="21"/>
                <w:szCs w:val="21"/>
              </w:rPr>
            </w:pPr>
            <w:r>
              <w:rPr>
                <w:rFonts w:hint="eastAsia" w:ascii="宋体" w:hAnsi="宋体" w:cs="宋体"/>
                <w:color w:val="auto"/>
                <w:sz w:val="21"/>
                <w:szCs w:val="21"/>
                <w:lang w:eastAsia="zh-CN"/>
              </w:rPr>
              <w:t>由周边农民清掏后作为农家肥</w:t>
            </w:r>
          </w:p>
        </w:tc>
        <w:tc>
          <w:tcPr>
            <w:tcW w:w="1913" w:type="dxa"/>
            <w:vMerge w:val="continue"/>
            <w:vAlign w:val="center"/>
          </w:tcPr>
          <w:p w14:paraId="316E66E7">
            <w:pPr>
              <w:spacing w:line="260" w:lineRule="exact"/>
              <w:jc w:val="center"/>
              <w:rPr>
                <w:rFonts w:ascii="Times New Roman" w:hAnsi="Times New Roman"/>
                <w:bCs/>
                <w:color w:val="auto"/>
                <w:sz w:val="21"/>
                <w:szCs w:val="21"/>
              </w:rPr>
            </w:pPr>
          </w:p>
        </w:tc>
      </w:tr>
      <w:tr w14:paraId="0252DF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886" w:type="dxa"/>
            <w:vMerge w:val="restart"/>
            <w:vAlign w:val="center"/>
          </w:tcPr>
          <w:p w14:paraId="49B4C5FA">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噪</w:t>
            </w:r>
          </w:p>
          <w:p w14:paraId="59AFE746">
            <w:pPr>
              <w:spacing w:line="260" w:lineRule="exact"/>
              <w:jc w:val="center"/>
              <w:rPr>
                <w:rFonts w:ascii="Times New Roman" w:hAnsi="Times New Roman"/>
                <w:b/>
                <w:bCs/>
                <w:color w:val="auto"/>
                <w:sz w:val="21"/>
                <w:szCs w:val="21"/>
              </w:rPr>
            </w:pPr>
            <w:r>
              <w:rPr>
                <w:rFonts w:ascii="Times New Roman" w:hAnsi="Times New Roman"/>
                <w:b/>
                <w:bCs/>
                <w:color w:val="auto"/>
                <w:sz w:val="21"/>
                <w:szCs w:val="21"/>
              </w:rPr>
              <w:t>声</w:t>
            </w:r>
          </w:p>
        </w:tc>
        <w:tc>
          <w:tcPr>
            <w:tcW w:w="499" w:type="dxa"/>
            <w:vAlign w:val="center"/>
          </w:tcPr>
          <w:p w14:paraId="67E7778F">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施工期</w:t>
            </w:r>
          </w:p>
        </w:tc>
        <w:tc>
          <w:tcPr>
            <w:tcW w:w="2615" w:type="dxa"/>
            <w:gridSpan w:val="2"/>
            <w:vAlign w:val="center"/>
          </w:tcPr>
          <w:p w14:paraId="781D87C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bCs/>
                <w:color w:val="auto"/>
                <w:sz w:val="21"/>
                <w:szCs w:val="21"/>
                <w:lang w:eastAsia="zh-CN"/>
              </w:rPr>
            </w:pPr>
            <w:r>
              <w:rPr>
                <w:rFonts w:hint="eastAsia" w:ascii="Times New Roman" w:hAnsi="Times New Roman" w:cs="Times New Roman"/>
                <w:color w:val="auto"/>
                <w:sz w:val="21"/>
                <w:szCs w:val="21"/>
                <w:highlight w:val="none"/>
                <w:u w:val="none" w:color="auto"/>
                <w:lang w:eastAsia="zh-CN"/>
              </w:rPr>
              <w:t>施工机械、运输车辆</w:t>
            </w:r>
          </w:p>
        </w:tc>
        <w:tc>
          <w:tcPr>
            <w:tcW w:w="3060" w:type="dxa"/>
            <w:vAlign w:val="center"/>
          </w:tcPr>
          <w:p w14:paraId="1AF39B6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lang w:eastAsia="zh-CN"/>
              </w:rPr>
            </w:pPr>
            <w:r>
              <w:rPr>
                <w:rFonts w:hint="eastAsia" w:ascii="Times New Roman" w:hAnsi="Times New Roman" w:cs="Times New Roman"/>
                <w:color w:val="auto"/>
                <w:sz w:val="21"/>
                <w:szCs w:val="21"/>
                <w:highlight w:val="none"/>
                <w:u w:val="none" w:color="auto"/>
                <w:lang w:val="en-US" w:eastAsia="zh-CN"/>
              </w:rPr>
              <w:t>距离衰减、绿化吸收</w:t>
            </w:r>
          </w:p>
        </w:tc>
        <w:tc>
          <w:tcPr>
            <w:tcW w:w="1913" w:type="dxa"/>
            <w:vAlign w:val="center"/>
          </w:tcPr>
          <w:p w14:paraId="0220C07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bCs/>
                <w:color w:val="auto"/>
                <w:sz w:val="21"/>
                <w:szCs w:val="21"/>
              </w:rPr>
            </w:pPr>
            <w:r>
              <w:rPr>
                <w:rFonts w:hint="eastAsia" w:ascii="宋体" w:hAnsi="宋体" w:cs="宋体"/>
                <w:color w:val="auto"/>
                <w:sz w:val="21"/>
                <w:szCs w:val="21"/>
                <w:u w:val="none" w:color="auto"/>
              </w:rPr>
              <w:t>满足GB12523-2011《建筑施工场界环境噪声排放标准》表中标准限值要求。</w:t>
            </w:r>
          </w:p>
        </w:tc>
      </w:tr>
      <w:tr w14:paraId="11004A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886" w:type="dxa"/>
            <w:vMerge w:val="continue"/>
            <w:vAlign w:val="center"/>
          </w:tcPr>
          <w:p w14:paraId="588BC8D3">
            <w:pPr>
              <w:spacing w:line="260" w:lineRule="exact"/>
              <w:jc w:val="center"/>
              <w:rPr>
                <w:rFonts w:ascii="Times New Roman" w:hAnsi="Times New Roman"/>
                <w:b/>
                <w:bCs/>
                <w:color w:val="auto"/>
                <w:sz w:val="21"/>
                <w:szCs w:val="21"/>
              </w:rPr>
            </w:pPr>
          </w:p>
        </w:tc>
        <w:tc>
          <w:tcPr>
            <w:tcW w:w="499" w:type="dxa"/>
            <w:vAlign w:val="center"/>
          </w:tcPr>
          <w:p w14:paraId="7054B0BC">
            <w:pPr>
              <w:spacing w:line="260" w:lineRule="exact"/>
              <w:jc w:val="center"/>
              <w:rPr>
                <w:rFonts w:ascii="Times New Roman" w:hAnsi="Times New Roman"/>
                <w:color w:val="auto"/>
                <w:sz w:val="21"/>
                <w:szCs w:val="21"/>
              </w:rPr>
            </w:pPr>
            <w:r>
              <w:rPr>
                <w:rFonts w:ascii="Times New Roman" w:hAnsi="Times New Roman"/>
                <w:color w:val="auto"/>
                <w:sz w:val="21"/>
                <w:szCs w:val="21"/>
              </w:rPr>
              <w:t>营运期</w:t>
            </w:r>
          </w:p>
        </w:tc>
        <w:tc>
          <w:tcPr>
            <w:tcW w:w="2615" w:type="dxa"/>
            <w:gridSpan w:val="2"/>
            <w:vAlign w:val="center"/>
          </w:tcPr>
          <w:p w14:paraId="2C683042">
            <w:pPr>
              <w:spacing w:line="260" w:lineRule="exact"/>
              <w:jc w:val="center"/>
              <w:rPr>
                <w:rFonts w:ascii="Times New Roman" w:hAnsi="Times New Roman"/>
                <w:color w:val="auto"/>
                <w:sz w:val="21"/>
                <w:szCs w:val="21"/>
              </w:rPr>
            </w:pPr>
            <w:r>
              <w:rPr>
                <w:rFonts w:ascii="Times New Roman" w:hAnsi="Times New Roman"/>
                <w:color w:val="auto"/>
                <w:sz w:val="21"/>
                <w:szCs w:val="21"/>
              </w:rPr>
              <w:t>设备噪声</w:t>
            </w:r>
          </w:p>
        </w:tc>
        <w:tc>
          <w:tcPr>
            <w:tcW w:w="3060" w:type="dxa"/>
            <w:vAlign w:val="center"/>
          </w:tcPr>
          <w:p w14:paraId="5191257A">
            <w:pPr>
              <w:jc w:val="center"/>
              <w:rPr>
                <w:rFonts w:ascii="Times New Roman" w:hAnsi="Times New Roman"/>
                <w:color w:val="auto"/>
                <w:sz w:val="21"/>
                <w:szCs w:val="21"/>
              </w:rPr>
            </w:pPr>
            <w:r>
              <w:rPr>
                <w:rFonts w:hint="eastAsia" w:ascii="Times New Roman" w:hAnsi="Times New Roman"/>
                <w:color w:val="auto"/>
                <w:sz w:val="21"/>
                <w:szCs w:val="21"/>
                <w:lang w:eastAsia="zh-CN"/>
              </w:rPr>
              <w:t>厂房隔声、减震垫、设备安置</w:t>
            </w:r>
            <w:r>
              <w:rPr>
                <w:rFonts w:ascii="Times New Roman" w:hAnsi="Times New Roman"/>
                <w:color w:val="auto"/>
                <w:sz w:val="21"/>
                <w:szCs w:val="21"/>
              </w:rPr>
              <w:t>在</w:t>
            </w:r>
            <w:r>
              <w:rPr>
                <w:rFonts w:hint="eastAsia" w:ascii="Times New Roman" w:hAnsi="Times New Roman"/>
                <w:color w:val="auto"/>
                <w:sz w:val="21"/>
                <w:szCs w:val="21"/>
                <w:lang w:eastAsia="zh-CN"/>
              </w:rPr>
              <w:t>加工车间</w:t>
            </w:r>
            <w:r>
              <w:rPr>
                <w:rFonts w:ascii="Times New Roman" w:hAnsi="Times New Roman"/>
                <w:color w:val="auto"/>
                <w:sz w:val="21"/>
                <w:szCs w:val="21"/>
              </w:rPr>
              <w:t>内</w:t>
            </w:r>
          </w:p>
        </w:tc>
        <w:tc>
          <w:tcPr>
            <w:tcW w:w="1913" w:type="dxa"/>
            <w:vAlign w:val="center"/>
          </w:tcPr>
          <w:p w14:paraId="2C4429BA">
            <w:pPr>
              <w:spacing w:line="260" w:lineRule="exact"/>
              <w:jc w:val="center"/>
              <w:rPr>
                <w:rFonts w:ascii="Times New Roman" w:hAnsi="Times New Roman"/>
                <w:color w:val="auto"/>
                <w:sz w:val="21"/>
                <w:szCs w:val="21"/>
              </w:rPr>
            </w:pPr>
            <w:r>
              <w:rPr>
                <w:rFonts w:hint="eastAsia" w:ascii="宋体" w:hAnsi="宋体" w:eastAsia="宋体" w:cs="宋体"/>
                <w:color w:val="auto"/>
                <w:sz w:val="21"/>
                <w:szCs w:val="21"/>
              </w:rPr>
              <w:t>厂界噪声达到《工业企业厂界环境噪声排放标准》（GB12348—2008）2类区标准，即：昼间≤60dB(A)，夜间≤50dB(A)</w:t>
            </w:r>
          </w:p>
        </w:tc>
      </w:tr>
      <w:tr w14:paraId="125909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80" w:hRule="atLeast"/>
          <w:jc w:val="center"/>
        </w:trPr>
        <w:tc>
          <w:tcPr>
            <w:tcW w:w="8973" w:type="dxa"/>
            <w:gridSpan w:val="6"/>
            <w:vAlign w:val="center"/>
          </w:tcPr>
          <w:p w14:paraId="51E55BC1">
            <w:pPr>
              <w:spacing w:line="360" w:lineRule="auto"/>
              <w:rPr>
                <w:rFonts w:ascii="Times New Roman" w:hAnsi="Times New Roman"/>
                <w:b/>
                <w:color w:val="auto"/>
                <w:sz w:val="24"/>
                <w:szCs w:val="24"/>
              </w:rPr>
            </w:pPr>
            <w:r>
              <w:rPr>
                <w:rFonts w:ascii="Times New Roman" w:hAnsi="Times New Roman"/>
                <w:b/>
                <w:color w:val="auto"/>
                <w:sz w:val="24"/>
                <w:szCs w:val="24"/>
              </w:rPr>
              <w:t>生态保护措施及预期效果：</w:t>
            </w:r>
          </w:p>
          <w:p w14:paraId="32FFB0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color w:val="auto"/>
                <w:sz w:val="24"/>
                <w:szCs w:val="24"/>
              </w:rPr>
            </w:pPr>
            <w:r>
              <w:rPr>
                <w:rFonts w:hint="eastAsia" w:ascii="Times New Roman" w:hAnsi="Times New Roman"/>
                <w:color w:val="auto"/>
                <w:sz w:val="24"/>
                <w:szCs w:val="24"/>
                <w:lang w:val="zh-CN"/>
              </w:rPr>
              <w:t>在项目运营后要进一步加强管理，减少废气、废水、固体废物的排放。合理布置，并在厂区周围边界和道路两旁增加绿化，恢复部分植被；绿化植物兼顾较强的除尘、减噪功能，以使该项目运营对厂区周围生态环境的影响减少到最低程度。</w:t>
            </w:r>
          </w:p>
        </w:tc>
      </w:tr>
    </w:tbl>
    <w:p w14:paraId="44556566">
      <w:pPr>
        <w:rPr>
          <w:rFonts w:hint="eastAsia"/>
          <w:lang w:val="en-US" w:eastAsia="zh-CN"/>
        </w:rPr>
      </w:pPr>
      <w:r>
        <w:rPr>
          <w:rFonts w:hint="eastAsia"/>
          <w:lang w:val="en-US" w:eastAsia="zh-CN"/>
        </w:rPr>
        <w:br w:type="page"/>
      </w:r>
    </w:p>
    <w:p w14:paraId="293B33DE">
      <w:pPr>
        <w:pStyle w:val="3"/>
        <w:tabs>
          <w:tab w:val="left" w:pos="432"/>
        </w:tabs>
        <w:jc w:val="both"/>
        <w:rPr>
          <w:rFonts w:hint="eastAsia" w:ascii="Times New Roman" w:hAnsi="Times New Roman" w:eastAsia="宋体" w:cs="Times New Roman"/>
          <w:b/>
          <w:bCs/>
          <w:color w:val="auto"/>
          <w:sz w:val="32"/>
          <w:szCs w:val="32"/>
        </w:rPr>
      </w:pPr>
      <w:bookmarkStart w:id="17" w:name="_Toc10067_WPSOffice_Level1"/>
      <w:r>
        <w:rPr>
          <w:rFonts w:hint="eastAsia" w:ascii="Times New Roman" w:hAnsi="Times New Roman" w:eastAsia="宋体" w:cs="Times New Roman"/>
          <w:b/>
          <w:bCs/>
          <w:color w:val="auto"/>
          <w:sz w:val="32"/>
          <w:szCs w:val="32"/>
        </w:rPr>
        <w:t>表九、结论与建议</w:t>
      </w:r>
      <w:bookmarkEnd w:id="17"/>
    </w:p>
    <w:tbl>
      <w:tblPr>
        <w:tblStyle w:val="2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7A65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4" w:hRule="atLeast"/>
        </w:trPr>
        <w:tc>
          <w:tcPr>
            <w:tcW w:w="8948" w:type="dxa"/>
            <w:vAlign w:val="top"/>
          </w:tcPr>
          <w:p w14:paraId="783DD077">
            <w:pPr>
              <w:spacing w:before="100" w:beforeAutospacing="1" w:line="360" w:lineRule="auto"/>
              <w:rPr>
                <w:rFonts w:hint="eastAsia" w:ascii="Times New Roman" w:hAnsi="Times New Roman" w:cs="宋体"/>
                <w:b/>
                <w:color w:val="auto"/>
                <w:sz w:val="24"/>
                <w:szCs w:val="24"/>
              </w:rPr>
            </w:pPr>
            <w:r>
              <w:rPr>
                <w:rFonts w:hint="eastAsia" w:ascii="Times New Roman" w:hAnsi="Times New Roman" w:cs="宋体"/>
                <w:b/>
                <w:color w:val="auto"/>
                <w:sz w:val="24"/>
                <w:szCs w:val="24"/>
              </w:rPr>
              <w:t>（一）结论</w:t>
            </w:r>
          </w:p>
          <w:p w14:paraId="55567CCB">
            <w:pPr>
              <w:spacing w:line="360" w:lineRule="auto"/>
              <w:jc w:val="left"/>
              <w:rPr>
                <w:rFonts w:hint="eastAsia" w:ascii="Times New Roman" w:hAnsi="Times New Roman"/>
                <w:b/>
                <w:color w:val="auto"/>
                <w:sz w:val="24"/>
                <w:szCs w:val="24"/>
              </w:rPr>
            </w:pPr>
            <w:r>
              <w:rPr>
                <w:rFonts w:hint="eastAsia" w:ascii="Times New Roman" w:hAnsi="Times New Roman"/>
                <w:b/>
                <w:color w:val="auto"/>
                <w:sz w:val="24"/>
                <w:szCs w:val="24"/>
              </w:rPr>
              <w:t>一、</w:t>
            </w:r>
            <w:r>
              <w:rPr>
                <w:rFonts w:ascii="Times New Roman" w:hAnsi="Times New Roman"/>
                <w:b/>
                <w:color w:val="auto"/>
                <w:sz w:val="24"/>
                <w:szCs w:val="24"/>
              </w:rPr>
              <w:t>产业政策符合</w:t>
            </w:r>
            <w:r>
              <w:rPr>
                <w:rFonts w:hint="eastAsia" w:ascii="Times New Roman" w:hAnsi="Times New Roman"/>
                <w:b/>
                <w:color w:val="auto"/>
                <w:sz w:val="24"/>
                <w:szCs w:val="24"/>
              </w:rPr>
              <w:t>性分析</w:t>
            </w:r>
          </w:p>
          <w:p w14:paraId="29A8D0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bCs/>
                <w:color w:val="auto"/>
                <w:sz w:val="24"/>
                <w:szCs w:val="24"/>
              </w:rPr>
            </w:pPr>
            <w:r>
              <w:rPr>
                <w:rFonts w:ascii="Times New Roman" w:hAnsi="Times New Roman"/>
                <w:color w:val="auto"/>
                <w:sz w:val="24"/>
              </w:rPr>
              <w:t>本项目主要进行</w:t>
            </w:r>
            <w:r>
              <w:rPr>
                <w:rFonts w:hint="eastAsia" w:ascii="Times New Roman" w:hAnsi="Times New Roman"/>
                <w:color w:val="auto"/>
                <w:sz w:val="24"/>
                <w:lang w:eastAsia="zh-CN"/>
              </w:rPr>
              <w:t>红茶</w:t>
            </w:r>
            <w:r>
              <w:rPr>
                <w:rFonts w:hint="eastAsia" w:ascii="Times New Roman" w:hAnsi="Times New Roman"/>
                <w:color w:val="auto"/>
                <w:sz w:val="24"/>
              </w:rPr>
              <w:t>的生产</w:t>
            </w:r>
            <w:r>
              <w:rPr>
                <w:rFonts w:ascii="Times New Roman" w:hAnsi="Times New Roman"/>
                <w:color w:val="auto"/>
                <w:sz w:val="24"/>
              </w:rPr>
              <w:t>，</w:t>
            </w:r>
            <w:r>
              <w:rPr>
                <w:rFonts w:hint="eastAsia" w:ascii="Times New Roman" w:hAnsi="Times New Roman"/>
                <w:color w:val="auto"/>
                <w:sz w:val="24"/>
              </w:rPr>
              <w:t>根据国家发展和改革委员会</w:t>
            </w:r>
            <w:r>
              <w:rPr>
                <w:rFonts w:ascii="Times New Roman" w:hAnsi="Times New Roman"/>
                <w:color w:val="auto"/>
                <w:sz w:val="24"/>
              </w:rPr>
              <w:t>《产业结构调整指导目录（2011年本）（2013修正）》</w:t>
            </w:r>
            <w:r>
              <w:rPr>
                <w:rFonts w:hint="eastAsia" w:ascii="Times New Roman" w:hAnsi="Times New Roman"/>
                <w:color w:val="auto"/>
                <w:sz w:val="24"/>
              </w:rPr>
              <w:t>，</w:t>
            </w:r>
            <w:r>
              <w:rPr>
                <w:rFonts w:hint="eastAsia" w:ascii="宋体" w:hAnsi="宋体" w:eastAsia="宋体" w:cs="宋体"/>
                <w:b w:val="0"/>
                <w:bCs w:val="0"/>
                <w:color w:val="auto"/>
                <w:spacing w:val="8"/>
                <w:sz w:val="24"/>
              </w:rPr>
              <w:t>本项目不属于其中规定的鼓励类限制类及淘汰类，依据《促进产业结构调整暂行规定》 (国发( 2005)40号文)的相关规定:“不属于鼓励类，限制类和淘汰类，且符合国家有关法律、法规和政策规定的，为允许类因此本项目属于允许类</w:t>
            </w:r>
            <w:r>
              <w:rPr>
                <w:rFonts w:ascii="Times New Roman" w:hAnsi="Times New Roman"/>
                <w:color w:val="auto"/>
                <w:sz w:val="24"/>
              </w:rPr>
              <w:t>。</w:t>
            </w:r>
          </w:p>
          <w:p w14:paraId="6F0D3379">
            <w:pPr>
              <w:adjustRightInd w:val="0"/>
              <w:snapToGrid w:val="0"/>
              <w:spacing w:line="360" w:lineRule="auto"/>
              <w:rPr>
                <w:rFonts w:ascii="Times New Roman" w:hAnsi="Times New Roman"/>
                <w:b/>
                <w:color w:val="auto"/>
                <w:sz w:val="24"/>
                <w:szCs w:val="24"/>
              </w:rPr>
            </w:pPr>
            <w:r>
              <w:rPr>
                <w:rFonts w:hint="eastAsia" w:ascii="Times New Roman" w:hAnsi="Times New Roman"/>
                <w:b/>
                <w:color w:val="auto"/>
                <w:sz w:val="24"/>
                <w:szCs w:val="24"/>
              </w:rPr>
              <w:t>二、</w:t>
            </w:r>
            <w:r>
              <w:rPr>
                <w:rFonts w:ascii="Times New Roman" w:hAnsi="Times New Roman"/>
                <w:b/>
                <w:color w:val="auto"/>
                <w:sz w:val="24"/>
                <w:szCs w:val="24"/>
              </w:rPr>
              <w:t>项目选址可行性分析</w:t>
            </w:r>
          </w:p>
          <w:p w14:paraId="72897C07">
            <w:pPr>
              <w:spacing w:line="360" w:lineRule="auto"/>
              <w:ind w:firstLine="512" w:firstLineChars="200"/>
              <w:rPr>
                <w:rFonts w:hint="eastAsia" w:ascii="宋体" w:hAnsi="宋体" w:eastAsia="宋体" w:cs="宋体"/>
                <w:b w:val="0"/>
                <w:bCs w:val="0"/>
                <w:color w:val="auto"/>
                <w:sz w:val="24"/>
                <w:szCs w:val="24"/>
                <w:lang w:eastAsia="zh-CN"/>
              </w:rPr>
            </w:pPr>
            <w:r>
              <w:rPr>
                <w:rFonts w:hint="eastAsia" w:ascii="Times New Roman" w:hAnsi="Times New Roman"/>
                <w:b w:val="0"/>
                <w:bCs w:val="0"/>
                <w:color w:val="auto"/>
                <w:spacing w:val="8"/>
                <w:sz w:val="24"/>
                <w:szCs w:val="24"/>
                <w:lang w:val="en-US" w:eastAsia="zh-CN"/>
              </w:rPr>
              <w:t>本项目茶叶加工厂选址位于</w:t>
            </w:r>
            <w:r>
              <w:rPr>
                <w:rFonts w:hint="eastAsia" w:ascii="宋体" w:hAnsi="宋体" w:eastAsia="宋体" w:cs="宋体"/>
                <w:b w:val="0"/>
                <w:bCs w:val="0"/>
                <w:color w:val="auto"/>
                <w:sz w:val="24"/>
                <w:szCs w:val="24"/>
              </w:rPr>
              <w:t>德宏州芒市</w:t>
            </w:r>
            <w:r>
              <w:rPr>
                <w:rFonts w:hint="eastAsia" w:ascii="宋体" w:hAnsi="宋体" w:eastAsia="宋体" w:cs="宋体"/>
                <w:b w:val="0"/>
                <w:bCs w:val="0"/>
                <w:color w:val="auto"/>
                <w:sz w:val="24"/>
                <w:szCs w:val="24"/>
                <w:lang w:eastAsia="zh-CN"/>
              </w:rPr>
              <w:t>轩岗乡遮相居委会第一居民小组，目前该区域内已具备较强的基础承载力和产业配套能力，水、电、气通讯</w:t>
            </w:r>
            <w:r>
              <w:rPr>
                <w:rFonts w:hint="eastAsia" w:ascii="宋体" w:hAnsi="宋体" w:cs="宋体"/>
                <w:b w:val="0"/>
                <w:bCs w:val="0"/>
                <w:color w:val="auto"/>
                <w:sz w:val="24"/>
                <w:szCs w:val="24"/>
                <w:lang w:eastAsia="zh-CN"/>
              </w:rPr>
              <w:t>齐全</w:t>
            </w:r>
            <w:r>
              <w:rPr>
                <w:rFonts w:hint="eastAsia" w:ascii="宋体" w:hAnsi="宋体" w:eastAsia="宋体" w:cs="宋体"/>
                <w:b w:val="0"/>
                <w:bCs w:val="0"/>
                <w:color w:val="auto"/>
                <w:sz w:val="24"/>
                <w:szCs w:val="24"/>
                <w:lang w:eastAsia="zh-CN"/>
              </w:rPr>
              <w:t>，项目区出入口靠近轩岗乡乡村道路，交通便利，便于项目的建设与运营。</w:t>
            </w:r>
          </w:p>
          <w:p w14:paraId="6109D219">
            <w:pPr>
              <w:keepNext w:val="0"/>
              <w:keepLines w:val="0"/>
              <w:widowControl/>
              <w:suppressLineNumbers w:val="0"/>
              <w:spacing w:line="360" w:lineRule="auto"/>
              <w:jc w:val="left"/>
              <w:rPr>
                <w:color w:val="auto"/>
                <w:sz w:val="24"/>
                <w:szCs w:val="24"/>
              </w:rPr>
            </w:pPr>
            <w:r>
              <w:rPr>
                <w:rFonts w:hint="eastAsia" w:ascii="宋体" w:hAnsi="宋体" w:eastAsia="宋体" w:cs="宋体"/>
                <w:b w:val="0"/>
                <w:bCs w:val="0"/>
                <w:color w:val="auto"/>
                <w:sz w:val="24"/>
                <w:szCs w:val="24"/>
                <w:lang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本项目选址于农村区域，周边以居民为主，</w:t>
            </w:r>
            <w:r>
              <w:rPr>
                <w:rFonts w:hint="eastAsia" w:ascii="宋体" w:hAnsi="宋体" w:cs="宋体"/>
                <w:b w:val="0"/>
                <w:bCs w:val="0"/>
                <w:color w:val="auto"/>
                <w:sz w:val="24"/>
                <w:szCs w:val="24"/>
                <w:lang w:eastAsia="zh-CN"/>
              </w:rPr>
              <w:t>经业主向芒市自然资源局核实得知，项目区不涉及基本农田</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eastAsia="zh-CN"/>
              </w:rPr>
              <w:t>耕地和生态红线</w:t>
            </w:r>
            <w:r>
              <w:rPr>
                <w:rFonts w:hint="eastAsia" w:ascii="宋体" w:hAnsi="宋体" w:eastAsia="宋体" w:cs="宋体"/>
                <w:b w:val="0"/>
                <w:bCs w:val="0"/>
                <w:color w:val="auto"/>
                <w:sz w:val="24"/>
                <w:szCs w:val="24"/>
                <w:lang w:eastAsia="zh-CN"/>
              </w:rPr>
              <w:t>，</w:t>
            </w:r>
            <w:r>
              <w:rPr>
                <w:rFonts w:ascii="宋体" w:hAnsi="宋体" w:eastAsia="宋体" w:cs="宋体"/>
                <w:color w:val="auto"/>
                <w:kern w:val="0"/>
                <w:sz w:val="24"/>
                <w:szCs w:val="24"/>
                <w:lang w:val="en-US" w:eastAsia="zh-CN" w:bidi="ar"/>
              </w:rPr>
              <w:t>项目建设地外环境关系较为单一，周边200米范围内无名胜古迹和重点文物呆护单位，也无自然保护区、风景名胜区等特殊需要保护的对象，周边环境对项</w:t>
            </w:r>
            <w:r>
              <w:rPr>
                <w:rFonts w:hint="eastAsia" w:ascii="宋体" w:hAnsi="宋体" w:eastAsia="宋体" w:cs="宋体"/>
                <w:color w:val="auto"/>
                <w:kern w:val="0"/>
                <w:sz w:val="24"/>
                <w:szCs w:val="24"/>
                <w:lang w:val="en-US" w:eastAsia="zh-CN" w:bidi="ar"/>
              </w:rPr>
              <w:t>目</w:t>
            </w:r>
            <w:r>
              <w:rPr>
                <w:rFonts w:ascii="宋体" w:hAnsi="宋体" w:eastAsia="宋体" w:cs="宋体"/>
                <w:color w:val="auto"/>
                <w:kern w:val="0"/>
                <w:sz w:val="24"/>
                <w:szCs w:val="24"/>
                <w:lang w:val="en-US" w:eastAsia="zh-CN" w:bidi="ar"/>
              </w:rPr>
              <w:t>的建设无明显环境制约因素。</w:t>
            </w:r>
          </w:p>
          <w:p w14:paraId="711ECD41">
            <w:pPr>
              <w:spacing w:line="360" w:lineRule="auto"/>
              <w:ind w:firstLine="512" w:firstLineChars="200"/>
              <w:rPr>
                <w:rFonts w:hint="eastAsia" w:ascii="Times New Roman" w:hAnsi="Times New Roman" w:eastAsia="宋体"/>
                <w:b w:val="0"/>
                <w:bCs w:val="0"/>
                <w:color w:val="auto"/>
                <w:spacing w:val="8"/>
                <w:sz w:val="24"/>
                <w:lang w:val="en-US" w:eastAsia="zh-CN"/>
              </w:rPr>
            </w:pPr>
            <w:r>
              <w:rPr>
                <w:rFonts w:hint="eastAsia" w:ascii="Times New Roman" w:hAnsi="Times New Roman" w:eastAsia="宋体"/>
                <w:b w:val="0"/>
                <w:bCs w:val="0"/>
                <w:color w:val="auto"/>
                <w:spacing w:val="8"/>
                <w:sz w:val="24"/>
                <w:lang w:val="en-US" w:eastAsia="zh-CN"/>
              </w:rPr>
              <w:t>综上所述，本项目拟选地块周围无重大外环境制约因素，其所在地外环境相对简单，适宜项目建设，项目选址合理。</w:t>
            </w:r>
          </w:p>
          <w:p w14:paraId="5EA1131F">
            <w:pPr>
              <w:spacing w:line="360" w:lineRule="auto"/>
              <w:ind w:firstLine="496" w:firstLineChars="200"/>
              <w:rPr>
                <w:rFonts w:hint="eastAsia" w:ascii="Times New Roman" w:hAnsi="Times New Roman"/>
                <w:color w:val="auto"/>
                <w:spacing w:val="4"/>
                <w:sz w:val="24"/>
                <w:szCs w:val="24"/>
              </w:rPr>
            </w:pPr>
          </w:p>
          <w:p w14:paraId="71CE422A">
            <w:pPr>
              <w:adjustRightInd w:val="0"/>
              <w:snapToGrid w:val="0"/>
              <w:spacing w:line="360" w:lineRule="auto"/>
              <w:rPr>
                <w:rFonts w:hint="eastAsia" w:ascii="Times New Roman" w:hAnsi="Times New Roman"/>
                <w:b/>
                <w:color w:val="auto"/>
                <w:sz w:val="24"/>
              </w:rPr>
            </w:pPr>
            <w:r>
              <w:rPr>
                <w:rFonts w:hint="eastAsia" w:ascii="Times New Roman" w:hAnsi="Times New Roman"/>
                <w:b/>
                <w:bCs/>
                <w:color w:val="auto"/>
                <w:sz w:val="24"/>
                <w:szCs w:val="24"/>
              </w:rPr>
              <w:t>三、</w:t>
            </w:r>
            <w:r>
              <w:rPr>
                <w:rFonts w:ascii="Times New Roman" w:hAnsi="Times New Roman"/>
                <w:b/>
                <w:color w:val="auto"/>
                <w:sz w:val="24"/>
                <w:szCs w:val="24"/>
              </w:rPr>
              <w:t>环境质量现状</w:t>
            </w:r>
          </w:p>
          <w:p w14:paraId="222D4DB5">
            <w:pPr>
              <w:adjustRightInd w:val="0"/>
              <w:snapToGrid w:val="0"/>
              <w:spacing w:line="360" w:lineRule="auto"/>
              <w:ind w:firstLine="470" w:firstLineChars="196"/>
              <w:rPr>
                <w:rFonts w:ascii="Times New Roman" w:hAnsi="Times New Roman"/>
                <w:b/>
                <w:color w:val="auto"/>
                <w:sz w:val="24"/>
              </w:rPr>
            </w:pPr>
            <w:r>
              <w:rPr>
                <w:rFonts w:ascii="Times New Roman" w:hAnsi="Times New Roman"/>
                <w:color w:val="auto"/>
                <w:sz w:val="24"/>
              </w:rPr>
              <w:t>项目区环境空气质量</w:t>
            </w:r>
            <w:r>
              <w:rPr>
                <w:rFonts w:hint="eastAsia" w:ascii="Times New Roman" w:hAnsi="Times New Roman"/>
                <w:color w:val="auto"/>
                <w:sz w:val="24"/>
                <w:szCs w:val="24"/>
              </w:rPr>
              <w:t>现状良好</w:t>
            </w:r>
            <w:r>
              <w:rPr>
                <w:rFonts w:ascii="Times New Roman" w:hAnsi="Times New Roman"/>
                <w:color w:val="auto"/>
                <w:sz w:val="24"/>
              </w:rPr>
              <w:t>。地表水体</w:t>
            </w:r>
            <w:r>
              <w:rPr>
                <w:rFonts w:hint="eastAsia" w:ascii="Times New Roman" w:hAnsi="Times New Roman"/>
                <w:color w:val="auto"/>
                <w:sz w:val="24"/>
                <w:szCs w:val="24"/>
                <w:lang w:eastAsia="zh-CN"/>
              </w:rPr>
              <w:t>芒市</w:t>
            </w:r>
            <w:r>
              <w:rPr>
                <w:rFonts w:hint="eastAsia"/>
                <w:color w:val="auto"/>
                <w:sz w:val="24"/>
                <w:szCs w:val="24"/>
                <w:lang w:eastAsia="zh-CN"/>
              </w:rPr>
              <w:t>大</w:t>
            </w:r>
            <w:r>
              <w:rPr>
                <w:rFonts w:hint="eastAsia" w:ascii="Times New Roman" w:hAnsi="Times New Roman"/>
                <w:color w:val="auto"/>
                <w:sz w:val="24"/>
                <w:szCs w:val="24"/>
                <w:lang w:eastAsia="zh-CN"/>
              </w:rPr>
              <w:t>河</w:t>
            </w:r>
            <w:r>
              <w:rPr>
                <w:rFonts w:hint="eastAsia" w:ascii="Times New Roman" w:hAnsi="Times New Roman"/>
                <w:color w:val="auto"/>
                <w:sz w:val="24"/>
              </w:rPr>
              <w:t>现状良好</w:t>
            </w:r>
            <w:r>
              <w:rPr>
                <w:rFonts w:ascii="Times New Roman" w:hAnsi="Times New Roman"/>
                <w:color w:val="auto"/>
                <w:sz w:val="24"/>
              </w:rPr>
              <w:t>。项目区域声环境质量良好</w:t>
            </w:r>
            <w:r>
              <w:rPr>
                <w:rFonts w:hint="eastAsia" w:ascii="Times New Roman" w:hAnsi="Times New Roman"/>
                <w:color w:val="auto"/>
                <w:sz w:val="24"/>
              </w:rPr>
              <w:t>。</w:t>
            </w:r>
            <w:r>
              <w:rPr>
                <w:rFonts w:ascii="Times New Roman" w:hAnsi="Times New Roman"/>
                <w:color w:val="auto"/>
                <w:sz w:val="24"/>
              </w:rPr>
              <w:t>生态环境</w:t>
            </w:r>
            <w:r>
              <w:rPr>
                <w:rFonts w:hint="eastAsia" w:ascii="Times New Roman" w:hAnsi="Times New Roman"/>
                <w:color w:val="auto"/>
                <w:sz w:val="24"/>
                <w:lang w:eastAsia="zh-CN"/>
              </w:rPr>
              <w:t>良好</w:t>
            </w:r>
            <w:r>
              <w:rPr>
                <w:rFonts w:ascii="Times New Roman" w:hAnsi="Times New Roman"/>
                <w:color w:val="auto"/>
                <w:sz w:val="24"/>
              </w:rPr>
              <w:t>。</w:t>
            </w:r>
          </w:p>
          <w:p w14:paraId="0DC1829D">
            <w:pPr>
              <w:adjustRightInd w:val="0"/>
              <w:snapToGrid w:val="0"/>
              <w:spacing w:line="360" w:lineRule="auto"/>
              <w:rPr>
                <w:rFonts w:hint="eastAsia" w:ascii="Times New Roman" w:hAnsi="Times New Roman" w:cs="宋体"/>
                <w:b/>
                <w:color w:val="auto"/>
                <w:kern w:val="0"/>
                <w:sz w:val="24"/>
                <w:szCs w:val="24"/>
              </w:rPr>
            </w:pPr>
            <w:r>
              <w:rPr>
                <w:rFonts w:hint="eastAsia" w:ascii="Times New Roman" w:hAnsi="Times New Roman" w:cs="宋体"/>
                <w:b/>
                <w:color w:val="auto"/>
                <w:kern w:val="0"/>
                <w:sz w:val="24"/>
                <w:szCs w:val="24"/>
                <w:lang w:eastAsia="zh-CN"/>
              </w:rPr>
              <w:t>四、</w:t>
            </w:r>
            <w:r>
              <w:rPr>
                <w:rFonts w:hint="eastAsia" w:ascii="Times New Roman" w:hAnsi="Times New Roman" w:cs="宋体"/>
                <w:b/>
                <w:color w:val="auto"/>
                <w:kern w:val="0"/>
                <w:sz w:val="24"/>
                <w:szCs w:val="24"/>
              </w:rPr>
              <w:t>施工期环境影响分析</w:t>
            </w:r>
          </w:p>
          <w:p w14:paraId="2989B079">
            <w:pPr>
              <w:keepNext w:val="0"/>
              <w:keepLines w:val="0"/>
              <w:pageBreakBefore w:val="0"/>
              <w:kinsoku/>
              <w:wordWrap/>
              <w:overflowPunct/>
              <w:topLinePunct w:val="0"/>
              <w:autoSpaceDE/>
              <w:bidi w:val="0"/>
              <w:spacing w:before="0" w:beforeLines="0" w:after="0" w:afterLines="0" w:line="360" w:lineRule="auto"/>
              <w:ind w:right="0" w:rightChars="0" w:firstLine="480" w:firstLineChars="200"/>
              <w:outlineLvl w:val="9"/>
              <w:rPr>
                <w:rFonts w:hint="eastAsia" w:ascii="Times New Roman" w:hAnsi="Times New Roman"/>
                <w:bCs/>
                <w:color w:val="auto"/>
                <w:sz w:val="24"/>
              </w:rPr>
            </w:pPr>
            <w:r>
              <w:rPr>
                <w:rFonts w:hint="default" w:ascii="Times New Roman" w:hAnsi="Times New Roman" w:eastAsia="宋体" w:cs="Times New Roman"/>
                <w:b w:val="0"/>
                <w:bCs/>
                <w:color w:val="auto"/>
                <w:sz w:val="24"/>
                <w:szCs w:val="28"/>
                <w:highlight w:val="none"/>
                <w:u w:val="none" w:color="auto"/>
              </w:rPr>
              <w:t>施工期</w:t>
            </w:r>
            <w:r>
              <w:rPr>
                <w:rFonts w:hint="eastAsia" w:ascii="Times New Roman" w:hAnsi="Times New Roman" w:cs="Times New Roman"/>
                <w:b w:val="0"/>
                <w:bCs/>
                <w:color w:val="auto"/>
                <w:sz w:val="24"/>
                <w:szCs w:val="28"/>
                <w:highlight w:val="none"/>
                <w:u w:val="none" w:color="auto"/>
                <w:lang w:eastAsia="zh-CN"/>
              </w:rPr>
              <w:t>影响</w:t>
            </w:r>
            <w:r>
              <w:rPr>
                <w:rFonts w:hint="default" w:ascii="Times New Roman" w:hAnsi="Times New Roman" w:eastAsia="宋体" w:cs="Times New Roman"/>
                <w:b w:val="0"/>
                <w:bCs/>
                <w:color w:val="auto"/>
                <w:sz w:val="24"/>
                <w:szCs w:val="28"/>
                <w:highlight w:val="none"/>
                <w:u w:val="none" w:color="auto"/>
              </w:rPr>
              <w:t>主要为</w:t>
            </w:r>
            <w:r>
              <w:rPr>
                <w:rFonts w:hint="eastAsia" w:ascii="宋体" w:hAnsi="宋体" w:cs="宋体"/>
                <w:b w:val="0"/>
                <w:bCs/>
                <w:color w:val="auto"/>
                <w:sz w:val="24"/>
                <w:szCs w:val="24"/>
                <w:u w:val="none"/>
                <w:lang w:eastAsia="zh-CN"/>
              </w:rPr>
              <w:t>建设化粪池、隔油池、安装</w:t>
            </w:r>
            <w:r>
              <w:rPr>
                <w:rFonts w:hint="eastAsia" w:ascii="宋体" w:hAnsi="宋体" w:cs="宋体"/>
                <w:b w:val="0"/>
                <w:bCs/>
                <w:color w:val="auto"/>
                <w:sz w:val="24"/>
                <w:szCs w:val="24"/>
                <w:u w:val="none"/>
                <w:lang w:val="en-US" w:eastAsia="zh-CN"/>
              </w:rPr>
              <w:t>油烟净化器和除尘设备</w:t>
            </w:r>
            <w:r>
              <w:rPr>
                <w:rFonts w:hint="default" w:ascii="Times New Roman" w:hAnsi="Times New Roman" w:eastAsia="宋体" w:cs="Times New Roman"/>
                <w:b w:val="0"/>
                <w:bCs/>
                <w:color w:val="auto"/>
                <w:sz w:val="24"/>
                <w:szCs w:val="28"/>
                <w:highlight w:val="none"/>
                <w:u w:val="none" w:color="auto"/>
              </w:rPr>
              <w:t>等环保措施过程产生的</w:t>
            </w:r>
            <w:r>
              <w:rPr>
                <w:rFonts w:hint="eastAsia" w:ascii="Times New Roman" w:hAnsi="Times New Roman" w:cs="Times New Roman"/>
                <w:b w:val="0"/>
                <w:bCs/>
                <w:color w:val="auto"/>
                <w:sz w:val="24"/>
                <w:szCs w:val="28"/>
                <w:highlight w:val="none"/>
                <w:u w:val="none" w:color="auto"/>
                <w:lang w:eastAsia="zh-CN"/>
              </w:rPr>
              <w:t>扬</w:t>
            </w:r>
            <w:r>
              <w:rPr>
                <w:rFonts w:hint="default" w:ascii="Times New Roman" w:hAnsi="Times New Roman" w:eastAsia="宋体" w:cs="Times New Roman"/>
                <w:b w:val="0"/>
                <w:bCs/>
                <w:color w:val="auto"/>
                <w:sz w:val="24"/>
                <w:szCs w:val="28"/>
                <w:highlight w:val="none"/>
                <w:u w:val="none" w:color="auto"/>
              </w:rPr>
              <w:t>尘、施工废水、机械噪声及建筑垃圾对外环境的影响，通过采取洒水抑尘、设置沉淀池处理施工废水、选用低噪声设备、隔声围墙等措施以降低施</w:t>
            </w:r>
            <w:r>
              <w:rPr>
                <w:rFonts w:hint="eastAsia" w:ascii="Times New Roman" w:hAnsi="Times New Roman" w:cs="Times New Roman"/>
                <w:b w:val="0"/>
                <w:bCs/>
                <w:color w:val="auto"/>
                <w:sz w:val="24"/>
                <w:szCs w:val="28"/>
                <w:highlight w:val="none"/>
                <w:u w:val="none" w:color="auto"/>
                <w:lang w:eastAsia="zh-CN"/>
              </w:rPr>
              <w:t>工</w:t>
            </w:r>
            <w:r>
              <w:rPr>
                <w:rFonts w:hint="default" w:ascii="Times New Roman" w:hAnsi="Times New Roman" w:eastAsia="宋体" w:cs="Times New Roman"/>
                <w:b w:val="0"/>
                <w:bCs/>
                <w:color w:val="auto"/>
                <w:sz w:val="24"/>
                <w:szCs w:val="28"/>
                <w:highlight w:val="none"/>
                <w:u w:val="none" w:color="auto"/>
              </w:rPr>
              <w:t>期的影响。项目施工期工程量较小，施工期较短且施工期的影响将随施工期结束而消失，对环境影响不大。</w:t>
            </w:r>
          </w:p>
          <w:p w14:paraId="6ADC0AA5">
            <w:pPr>
              <w:spacing w:line="360" w:lineRule="auto"/>
              <w:jc w:val="left"/>
              <w:rPr>
                <w:rFonts w:hint="eastAsia" w:ascii="Times New Roman" w:hAnsi="Times New Roman" w:cs="宋体"/>
                <w:b/>
                <w:color w:val="auto"/>
                <w:kern w:val="0"/>
                <w:sz w:val="24"/>
                <w:szCs w:val="24"/>
              </w:rPr>
            </w:pPr>
            <w:r>
              <w:rPr>
                <w:rFonts w:hint="eastAsia" w:ascii="Times New Roman" w:hAnsi="Times New Roman" w:cs="宋体"/>
                <w:b/>
                <w:color w:val="auto"/>
                <w:kern w:val="0"/>
                <w:sz w:val="24"/>
                <w:szCs w:val="24"/>
                <w:lang w:eastAsia="zh-CN"/>
              </w:rPr>
              <w:t>五</w:t>
            </w:r>
            <w:r>
              <w:rPr>
                <w:rFonts w:hint="eastAsia" w:ascii="Times New Roman" w:hAnsi="Times New Roman" w:cs="宋体"/>
                <w:b/>
                <w:color w:val="auto"/>
                <w:kern w:val="0"/>
                <w:sz w:val="24"/>
                <w:szCs w:val="24"/>
              </w:rPr>
              <w:t>、运营期环境影响分析</w:t>
            </w:r>
          </w:p>
          <w:p w14:paraId="5BB86124">
            <w:pPr>
              <w:spacing w:line="360" w:lineRule="auto"/>
              <w:rPr>
                <w:rFonts w:hint="eastAsia" w:ascii="Times New Roman" w:hAnsi="Times New Roman" w:cs="宋体"/>
                <w:b/>
                <w:bCs/>
                <w:color w:val="auto"/>
                <w:spacing w:val="-6"/>
                <w:sz w:val="24"/>
                <w:szCs w:val="24"/>
              </w:rPr>
            </w:pPr>
            <w:r>
              <w:rPr>
                <w:rFonts w:hint="eastAsia" w:ascii="Times New Roman" w:hAnsi="Times New Roman" w:cs="宋体"/>
                <w:b/>
                <w:bCs/>
                <w:color w:val="auto"/>
                <w:spacing w:val="-6"/>
                <w:sz w:val="24"/>
                <w:szCs w:val="24"/>
              </w:rPr>
              <w:t>1、废气</w:t>
            </w:r>
          </w:p>
          <w:p w14:paraId="61AF883D">
            <w:pPr>
              <w:spacing w:before="156" w:beforeLines="50" w:after="156" w:afterLines="50" w:line="36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项目运营过程中产生的废气主要来源于</w:t>
            </w:r>
            <w:r>
              <w:rPr>
                <w:rFonts w:hint="eastAsia" w:ascii="宋体" w:hAnsi="宋体" w:eastAsia="宋体" w:cs="宋体"/>
                <w:color w:val="auto"/>
                <w:sz w:val="24"/>
                <w:lang w:eastAsia="zh-CN"/>
              </w:rPr>
              <w:t>热风炉废气、茶叶在加工过程产生的茶叶粉尘、茶香，厨房产生的油烟</w:t>
            </w:r>
            <w:r>
              <w:rPr>
                <w:rFonts w:hint="eastAsia" w:ascii="宋体" w:hAnsi="宋体" w:cs="宋体"/>
                <w:color w:val="auto"/>
                <w:sz w:val="24"/>
                <w:lang w:eastAsia="zh-CN"/>
              </w:rPr>
              <w:t>等</w:t>
            </w:r>
            <w:r>
              <w:rPr>
                <w:rFonts w:hint="eastAsia" w:ascii="宋体" w:hAnsi="宋体" w:eastAsia="宋体" w:cs="宋体"/>
                <w:color w:val="auto"/>
                <w:sz w:val="24"/>
              </w:rPr>
              <w:t>。</w:t>
            </w:r>
          </w:p>
          <w:p w14:paraId="05B69C19">
            <w:pPr>
              <w:adjustRightInd w:val="0"/>
              <w:snapToGrid w:val="0"/>
              <w:spacing w:line="360" w:lineRule="auto"/>
              <w:ind w:firstLine="480"/>
              <w:rPr>
                <w:rFonts w:hint="eastAsia" w:ascii="宋体" w:hAnsi="宋体" w:eastAsia="宋体" w:cs="宋体"/>
                <w:bCs/>
                <w:color w:val="auto"/>
                <w:sz w:val="24"/>
                <w:szCs w:val="24"/>
                <w:lang w:eastAsia="zh-CN"/>
              </w:rPr>
            </w:pPr>
            <w:r>
              <w:rPr>
                <w:rFonts w:hint="eastAsia" w:ascii="宋体" w:hAnsi="宋体" w:eastAsia="宋体" w:cs="宋体"/>
                <w:bCs/>
                <w:color w:val="auto"/>
                <w:sz w:val="24"/>
                <w:lang w:eastAsia="zh-CN"/>
              </w:rPr>
              <w:t>项目产生的烟尘</w:t>
            </w:r>
            <w:r>
              <w:rPr>
                <w:rFonts w:hint="eastAsia" w:ascii="宋体" w:hAnsi="宋体" w:cs="宋体"/>
                <w:bCs/>
                <w:color w:val="auto"/>
                <w:sz w:val="24"/>
                <w:lang w:eastAsia="zh-CN"/>
              </w:rPr>
              <w:t>统一</w:t>
            </w:r>
            <w:r>
              <w:rPr>
                <w:rFonts w:hint="eastAsia" w:ascii="宋体" w:hAnsi="宋体" w:eastAsia="宋体" w:cs="宋体"/>
                <w:bCs/>
                <w:color w:val="auto"/>
                <w:sz w:val="24"/>
                <w:lang w:eastAsia="zh-CN"/>
              </w:rPr>
              <w:t>通过</w:t>
            </w:r>
            <w:r>
              <w:rPr>
                <w:rFonts w:hint="eastAsia" w:ascii="宋体" w:hAnsi="宋体" w:cs="宋体"/>
                <w:bCs/>
                <w:color w:val="auto"/>
                <w:sz w:val="24"/>
                <w:lang w:val="en-US" w:eastAsia="zh-CN"/>
              </w:rPr>
              <w:t>1套</w:t>
            </w:r>
            <w:r>
              <w:rPr>
                <w:rFonts w:hint="eastAsia" w:ascii="宋体" w:hAnsi="宋体" w:eastAsia="宋体" w:cs="宋体"/>
                <w:bCs/>
                <w:color w:val="auto"/>
                <w:sz w:val="24"/>
                <w:lang w:eastAsia="zh-CN"/>
              </w:rPr>
              <w:t>“旋风</w:t>
            </w:r>
            <w:r>
              <w:rPr>
                <w:rFonts w:hint="eastAsia" w:ascii="宋体" w:hAnsi="宋体" w:eastAsia="宋体" w:cs="宋体"/>
                <w:bCs/>
                <w:color w:val="auto"/>
                <w:sz w:val="24"/>
                <w:lang w:val="en-US" w:eastAsia="zh-CN"/>
              </w:rPr>
              <w:t>+布袋除尘器</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处理达标后通过排气烟囱达标排放；粉尘产生量较小，</w:t>
            </w:r>
            <w:r>
              <w:rPr>
                <w:rFonts w:hint="eastAsia" w:ascii="宋体" w:hAnsi="宋体" w:eastAsia="宋体" w:cs="宋体"/>
                <w:color w:val="auto"/>
                <w:sz w:val="24"/>
                <w:szCs w:val="24"/>
              </w:rPr>
              <w:t>通过车间门窗飘散到车间外的粉尘量极其有限，对大气环境污染影响较小</w:t>
            </w:r>
            <w:r>
              <w:rPr>
                <w:rFonts w:hint="eastAsia" w:ascii="宋体" w:hAnsi="宋体" w:eastAsia="宋体" w:cs="宋体"/>
                <w:color w:val="auto"/>
                <w:sz w:val="24"/>
                <w:szCs w:val="24"/>
                <w:lang w:eastAsia="zh-CN"/>
              </w:rPr>
              <w:t>；加工红茶时在</w:t>
            </w:r>
            <w:r>
              <w:rPr>
                <w:rFonts w:hint="eastAsia" w:ascii="宋体" w:hAnsi="宋体" w:eastAsia="宋体" w:cs="宋体"/>
                <w:color w:val="auto"/>
                <w:sz w:val="24"/>
                <w:szCs w:val="24"/>
              </w:rPr>
              <w:t>发酵的过程中会</w:t>
            </w:r>
            <w:r>
              <w:rPr>
                <w:rFonts w:hint="eastAsia" w:ascii="宋体" w:hAnsi="宋体" w:eastAsia="宋体" w:cs="宋体"/>
                <w:color w:val="auto"/>
                <w:sz w:val="24"/>
                <w:szCs w:val="24"/>
                <w:lang w:eastAsia="zh-CN"/>
              </w:rPr>
              <w:t>茶香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其对人体无害，</w:t>
            </w:r>
            <w:r>
              <w:rPr>
                <w:rFonts w:hint="eastAsia" w:ascii="宋体" w:hAnsi="宋体" w:cs="宋体"/>
                <w:color w:val="auto"/>
                <w:sz w:val="24"/>
                <w:szCs w:val="24"/>
                <w:lang w:eastAsia="zh-CN"/>
              </w:rPr>
              <w:t>产生量较少</w:t>
            </w:r>
            <w:r>
              <w:rPr>
                <w:rFonts w:hint="eastAsia" w:ascii="Times New Roman" w:hAnsi="Times New Roman"/>
                <w:color w:val="auto"/>
                <w:sz w:val="24"/>
                <w:szCs w:val="24"/>
              </w:rPr>
              <w:t>，</w:t>
            </w:r>
            <w:r>
              <w:rPr>
                <w:rFonts w:hint="eastAsia"/>
                <w:color w:val="auto"/>
                <w:sz w:val="24"/>
                <w:szCs w:val="24"/>
                <w:lang w:eastAsia="zh-CN"/>
              </w:rPr>
              <w:t>通过门窗阻隔和空气稀释后，</w:t>
            </w:r>
            <w:r>
              <w:rPr>
                <w:rFonts w:hint="eastAsia" w:ascii="Times New Roman" w:hAnsi="Times New Roman"/>
                <w:color w:val="auto"/>
                <w:sz w:val="24"/>
                <w:szCs w:val="24"/>
              </w:rPr>
              <w:t>项目发酵产生的异味较难逸出到厂房外。</w:t>
            </w:r>
            <w:r>
              <w:rPr>
                <w:rFonts w:hint="eastAsia" w:ascii="宋体" w:hAnsi="宋体" w:eastAsia="宋体" w:cs="宋体"/>
                <w:color w:val="auto"/>
                <w:sz w:val="24"/>
                <w:szCs w:val="24"/>
                <w:lang w:eastAsia="zh-CN"/>
              </w:rPr>
              <w:t>项目厨房</w:t>
            </w:r>
            <w:r>
              <w:rPr>
                <w:rFonts w:hint="eastAsia" w:ascii="宋体" w:hAnsi="宋体" w:eastAsia="宋体" w:cs="宋体"/>
                <w:color w:val="auto"/>
                <w:sz w:val="24"/>
                <w:szCs w:val="24"/>
              </w:rPr>
              <w:t>油烟产生量较小，</w:t>
            </w:r>
            <w:r>
              <w:rPr>
                <w:rFonts w:hint="eastAsia" w:ascii="宋体" w:hAnsi="宋体" w:eastAsia="宋体" w:cs="宋体"/>
                <w:color w:val="auto"/>
                <w:sz w:val="24"/>
                <w:lang w:eastAsia="zh-CN"/>
              </w:rPr>
              <w:t>经油烟净化器处理后可达标</w:t>
            </w:r>
            <w:r>
              <w:rPr>
                <w:rFonts w:hint="eastAsia" w:ascii="宋体" w:hAnsi="宋体" w:eastAsia="宋体" w:cs="宋体"/>
                <w:color w:val="auto"/>
                <w:sz w:val="24"/>
              </w:rPr>
              <w:t>排放</w:t>
            </w:r>
            <w:r>
              <w:rPr>
                <w:rFonts w:hint="eastAsia" w:ascii="宋体" w:hAnsi="宋体" w:eastAsia="宋体" w:cs="宋体"/>
                <w:color w:val="auto"/>
                <w:sz w:val="24"/>
                <w:szCs w:val="24"/>
              </w:rPr>
              <w:t>，</w:t>
            </w:r>
            <w:r>
              <w:rPr>
                <w:rFonts w:hint="eastAsia" w:ascii="宋体" w:hAnsi="宋体" w:cs="宋体"/>
                <w:color w:val="auto"/>
                <w:sz w:val="24"/>
                <w:szCs w:val="24"/>
                <w:lang w:eastAsia="zh-CN"/>
              </w:rPr>
              <w:t>对周围</w:t>
            </w:r>
            <w:r>
              <w:rPr>
                <w:rFonts w:hint="eastAsia" w:ascii="宋体" w:hAnsi="宋体" w:eastAsia="宋体" w:cs="宋体"/>
                <w:color w:val="auto"/>
                <w:sz w:val="24"/>
                <w:szCs w:val="24"/>
                <w:lang w:val="en-US" w:eastAsia="zh-CN"/>
              </w:rPr>
              <w:t>环境影响较小。</w:t>
            </w:r>
          </w:p>
          <w:p w14:paraId="307D88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综上所述，项目产生的废气对外环境影响不大。</w:t>
            </w:r>
          </w:p>
          <w:p w14:paraId="60AF737C">
            <w:pPr>
              <w:spacing w:line="360" w:lineRule="auto"/>
              <w:rPr>
                <w:rFonts w:ascii="Times New Roman" w:hAnsi="Times New Roman"/>
                <w:b/>
                <w:bCs/>
                <w:color w:val="auto"/>
                <w:sz w:val="24"/>
              </w:rPr>
            </w:pPr>
            <w:r>
              <w:rPr>
                <w:rFonts w:hint="eastAsia" w:ascii="Times New Roman" w:hAnsi="Times New Roman"/>
                <w:b/>
                <w:bCs/>
                <w:color w:val="auto"/>
                <w:sz w:val="24"/>
              </w:rPr>
              <w:t>2、废水</w:t>
            </w:r>
          </w:p>
          <w:p w14:paraId="6BADF0E2">
            <w:pPr>
              <w:spacing w:line="360" w:lineRule="auto"/>
              <w:ind w:firstLine="480" w:firstLineChars="200"/>
              <w:rPr>
                <w:rFonts w:hint="eastAsia" w:ascii="Times New Roman" w:hAnsi="Times New Roman"/>
                <w:color w:val="auto"/>
                <w:sz w:val="24"/>
              </w:rPr>
            </w:pPr>
            <w:r>
              <w:rPr>
                <w:rFonts w:ascii="Times New Roman" w:hAnsi="Times New Roman"/>
                <w:color w:val="auto"/>
                <w:sz w:val="24"/>
              </w:rPr>
              <w:t>本项目</w:t>
            </w:r>
            <w:r>
              <w:rPr>
                <w:rFonts w:hint="eastAsia" w:ascii="Times New Roman" w:hAnsi="Times New Roman"/>
                <w:color w:val="auto"/>
                <w:sz w:val="24"/>
              </w:rPr>
              <w:t>运营期无生产废水产生，产生的废水主要为员工的生活污水。</w:t>
            </w:r>
          </w:p>
          <w:p w14:paraId="7B71202F">
            <w:pPr>
              <w:widowControl/>
              <w:spacing w:line="360" w:lineRule="auto"/>
              <w:ind w:firstLine="480" w:firstLineChars="200"/>
              <w:jc w:val="left"/>
              <w:rPr>
                <w:rFonts w:ascii="Times New Roman" w:hAnsi="Times New Roman"/>
                <w:color w:val="auto"/>
                <w:sz w:val="24"/>
                <w:szCs w:val="24"/>
              </w:rPr>
            </w:pPr>
            <w:r>
              <w:rPr>
                <w:rFonts w:hint="eastAsia" w:ascii="Times New Roman" w:hAnsi="Times New Roman"/>
                <w:color w:val="auto"/>
                <w:sz w:val="24"/>
                <w:szCs w:val="24"/>
              </w:rPr>
              <w:t>运营期间员工产生的生活</w:t>
            </w:r>
            <w:r>
              <w:rPr>
                <w:rFonts w:hint="eastAsia" w:ascii="Times New Roman" w:hAnsi="Times New Roman"/>
                <w:color w:val="auto"/>
                <w:sz w:val="24"/>
                <w:szCs w:val="24"/>
                <w:lang w:eastAsia="zh-CN"/>
              </w:rPr>
              <w:t>污水</w:t>
            </w:r>
            <w:r>
              <w:rPr>
                <w:rFonts w:hint="eastAsia" w:ascii="Times New Roman" w:hAnsi="Times New Roman"/>
                <w:color w:val="auto"/>
                <w:sz w:val="24"/>
                <w:szCs w:val="24"/>
              </w:rPr>
              <w:t>经</w:t>
            </w:r>
            <w:r>
              <w:rPr>
                <w:rFonts w:hint="eastAsia" w:ascii="Times New Roman" w:hAnsi="Times New Roman"/>
                <w:color w:val="auto"/>
                <w:sz w:val="24"/>
                <w:szCs w:val="24"/>
                <w:lang w:eastAsia="zh-CN"/>
              </w:rPr>
              <w:t>隔油池和化粪池</w:t>
            </w:r>
            <w:r>
              <w:rPr>
                <w:rFonts w:hint="eastAsia" w:ascii="Times New Roman" w:hAnsi="Times New Roman"/>
                <w:color w:val="auto"/>
                <w:sz w:val="24"/>
                <w:szCs w:val="24"/>
              </w:rPr>
              <w:t>处理后用于</w:t>
            </w:r>
            <w:r>
              <w:rPr>
                <w:rFonts w:hint="eastAsia" w:ascii="Times New Roman" w:hAnsi="Times New Roman"/>
                <w:color w:val="auto"/>
                <w:sz w:val="24"/>
                <w:szCs w:val="24"/>
                <w:lang w:eastAsia="zh-CN"/>
              </w:rPr>
              <w:t>周边农田施肥</w:t>
            </w:r>
            <w:r>
              <w:rPr>
                <w:rFonts w:hint="eastAsia" w:ascii="Times New Roman" w:hAnsi="Times New Roman"/>
                <w:color w:val="auto"/>
                <w:sz w:val="24"/>
                <w:szCs w:val="24"/>
              </w:rPr>
              <w:t>，不外排。本项目废水不排入周围地表水体，对周围环境的影响较小。</w:t>
            </w:r>
          </w:p>
          <w:p w14:paraId="295B5C3A">
            <w:pPr>
              <w:numPr>
                <w:ilvl w:val="0"/>
                <w:numId w:val="12"/>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噪声</w:t>
            </w:r>
          </w:p>
          <w:p w14:paraId="67C9E02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本项目</w:t>
            </w:r>
            <w:r>
              <w:rPr>
                <w:rFonts w:hint="eastAsia" w:ascii="宋体" w:hAnsi="宋体" w:eastAsia="宋体" w:cs="宋体"/>
                <w:bCs/>
                <w:color w:val="auto"/>
                <w:sz w:val="24"/>
                <w:szCs w:val="24"/>
                <w:lang w:eastAsia="zh-CN"/>
              </w:rPr>
              <w:t>设烘干机</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台</w:t>
            </w:r>
            <w:r>
              <w:rPr>
                <w:rFonts w:hint="eastAsia" w:ascii="宋体" w:hAnsi="宋体" w:eastAsia="宋体" w:cs="宋体"/>
                <w:bCs/>
                <w:color w:val="auto"/>
                <w:sz w:val="24"/>
                <w:szCs w:val="24"/>
                <w:lang w:eastAsia="zh-CN"/>
              </w:rPr>
              <w:t>、拣梗机</w:t>
            </w:r>
            <w:r>
              <w:rPr>
                <w:rFonts w:hint="eastAsia" w:ascii="宋体" w:hAnsi="宋体" w:eastAsia="宋体" w:cs="宋体"/>
                <w:bCs/>
                <w:color w:val="auto"/>
                <w:sz w:val="24"/>
                <w:szCs w:val="24"/>
                <w:lang w:val="en-US" w:eastAsia="zh-CN"/>
              </w:rPr>
              <w:t>4台，</w:t>
            </w:r>
            <w:r>
              <w:rPr>
                <w:rFonts w:hint="eastAsia" w:ascii="宋体" w:hAnsi="宋体" w:eastAsia="宋体" w:cs="宋体"/>
                <w:color w:val="auto"/>
                <w:sz w:val="24"/>
                <w:szCs w:val="24"/>
              </w:rPr>
              <w:t>噪声声级</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70-80</w:t>
            </w:r>
            <w:r>
              <w:rPr>
                <w:rFonts w:hint="eastAsia" w:ascii="宋体" w:hAnsi="宋体" w:eastAsia="宋体" w:cs="宋体"/>
                <w:color w:val="auto"/>
                <w:sz w:val="24"/>
                <w:szCs w:val="24"/>
              </w:rPr>
              <w:t>dB(A)</w:t>
            </w:r>
            <w:r>
              <w:rPr>
                <w:rFonts w:hint="eastAsia" w:ascii="宋体" w:hAnsi="宋体" w:eastAsia="宋体" w:cs="宋体"/>
                <w:color w:val="auto"/>
                <w:sz w:val="24"/>
                <w:szCs w:val="24"/>
                <w:lang w:eastAsia="zh-CN"/>
              </w:rPr>
              <w:t>之间</w:t>
            </w:r>
            <w:r>
              <w:rPr>
                <w:rFonts w:hint="eastAsia" w:ascii="宋体" w:hAnsi="宋体" w:eastAsia="宋体" w:cs="宋体"/>
                <w:bCs/>
                <w:color w:val="auto"/>
                <w:sz w:val="24"/>
                <w:szCs w:val="24"/>
              </w:rPr>
              <w:t>，经项目合理规划布局、选用低噪设备、采取减震、隔声、厂区绿化、距离衰减等措施后，噪声影响预测表明，厂界周围的噪声能够达到《工业企业厂界环境噪声排放标准》（GB12348-2008）2类标准的要求，对区域声环境质量影响很小。</w:t>
            </w:r>
          </w:p>
          <w:p w14:paraId="260D609B">
            <w:pPr>
              <w:numPr>
                <w:ilvl w:val="0"/>
                <w:numId w:val="12"/>
              </w:numPr>
              <w:spacing w:line="360" w:lineRule="auto"/>
              <w:rPr>
                <w:rFonts w:hint="eastAsia" w:ascii="Times New Roman" w:hAnsi="Times New Roman"/>
                <w:b/>
                <w:color w:val="auto"/>
                <w:sz w:val="24"/>
                <w:szCs w:val="24"/>
              </w:rPr>
            </w:pPr>
            <w:r>
              <w:rPr>
                <w:rFonts w:hint="eastAsia" w:ascii="Times New Roman" w:hAnsi="Times New Roman"/>
                <w:b/>
                <w:color w:val="auto"/>
                <w:sz w:val="24"/>
                <w:szCs w:val="24"/>
              </w:rPr>
              <w:t>固体废物</w:t>
            </w:r>
          </w:p>
          <w:p w14:paraId="23DDE725">
            <w:pPr>
              <w:adjustRightInd w:val="0"/>
              <w:snapToGrid w:val="0"/>
              <w:spacing w:line="360" w:lineRule="auto"/>
              <w:ind w:firstLine="480"/>
              <w:rPr>
                <w:rFonts w:hint="eastAsia" w:ascii="Times New Roman" w:hAnsi="Times New Roman"/>
                <w:bCs/>
                <w:color w:val="auto"/>
                <w:sz w:val="24"/>
                <w:szCs w:val="24"/>
              </w:rPr>
            </w:pPr>
            <w:r>
              <w:rPr>
                <w:rFonts w:ascii="Times New Roman" w:hAnsi="Times New Roman"/>
                <w:color w:val="auto"/>
                <w:sz w:val="24"/>
                <w:szCs w:val="24"/>
              </w:rPr>
              <w:t>项目运营期产生的固体废弃物包括员工办公生活垃圾和</w:t>
            </w:r>
            <w:r>
              <w:rPr>
                <w:rFonts w:hint="eastAsia" w:ascii="Times New Roman" w:hAnsi="Times New Roman"/>
                <w:color w:val="auto"/>
                <w:sz w:val="24"/>
                <w:szCs w:val="24"/>
              </w:rPr>
              <w:t>生产过程产生的生产固废。</w:t>
            </w:r>
          </w:p>
          <w:p w14:paraId="700194F5">
            <w:pPr>
              <w:adjustRightInd w:val="0"/>
              <w:snapToGrid w:val="0"/>
              <w:spacing w:line="360" w:lineRule="auto"/>
              <w:ind w:firstLine="480"/>
              <w:rPr>
                <w:rFonts w:hint="eastAsia" w:ascii="Times New Roman" w:hAnsi="Times New Roman"/>
                <w:color w:val="auto"/>
                <w:sz w:val="24"/>
                <w:szCs w:val="24"/>
              </w:rPr>
            </w:pPr>
            <w:r>
              <w:rPr>
                <w:rFonts w:hint="eastAsia" w:ascii="Times New Roman" w:hAnsi="Times New Roman"/>
                <w:bCs/>
                <w:color w:val="auto"/>
                <w:sz w:val="24"/>
                <w:szCs w:val="24"/>
              </w:rPr>
              <w:t>生活</w:t>
            </w:r>
            <w:r>
              <w:rPr>
                <w:rFonts w:ascii="Times New Roman" w:hAnsi="Times New Roman"/>
                <w:bCs/>
                <w:color w:val="auto"/>
                <w:sz w:val="24"/>
                <w:szCs w:val="24"/>
              </w:rPr>
              <w:t>垃圾</w:t>
            </w:r>
            <w:r>
              <w:rPr>
                <w:rFonts w:hint="eastAsia" w:ascii="宋体" w:hAnsi="宋体" w:eastAsia="宋体" w:cs="宋体"/>
                <w:bCs/>
                <w:color w:val="auto"/>
                <w:sz w:val="24"/>
                <w:szCs w:val="24"/>
              </w:rPr>
              <w:t>集中收集后外运至垃圾堆放点</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由当地环卫部门清运</w:t>
            </w:r>
            <w:r>
              <w:rPr>
                <w:rFonts w:hint="eastAsia" w:ascii="Times New Roman" w:hAnsi="Times New Roman" w:cs="宋体"/>
                <w:color w:val="auto"/>
                <w:sz w:val="24"/>
                <w:szCs w:val="24"/>
                <w:lang w:eastAsia="zh-CN"/>
              </w:rPr>
              <w:t>，对环境影响较小。加工过程中的杂质</w:t>
            </w:r>
            <w:r>
              <w:rPr>
                <w:rFonts w:hint="eastAsia" w:ascii="Times New Roman" w:hAnsi="Times New Roman"/>
                <w:color w:val="auto"/>
                <w:sz w:val="24"/>
                <w:szCs w:val="24"/>
                <w:lang w:eastAsia="zh-CN"/>
              </w:rPr>
              <w:t>通过</w:t>
            </w:r>
            <w:r>
              <w:rPr>
                <w:rFonts w:hint="eastAsia" w:ascii="Times New Roman" w:hAnsi="Times New Roman"/>
                <w:color w:val="auto"/>
                <w:sz w:val="24"/>
                <w:szCs w:val="24"/>
              </w:rPr>
              <w:t>集中收集后交由周边农户堆肥，作为农肥使用</w:t>
            </w:r>
            <w:r>
              <w:rPr>
                <w:rFonts w:hint="eastAsia" w:ascii="Times New Roman" w:hAnsi="Times New Roman"/>
                <w:color w:val="auto"/>
                <w:sz w:val="24"/>
                <w:szCs w:val="24"/>
                <w:lang w:eastAsia="zh-CN"/>
              </w:rPr>
              <w:t>，对环境有正面的影响；</w:t>
            </w:r>
            <w:r>
              <w:rPr>
                <w:rFonts w:ascii="Times New Roman" w:hAnsi="Times New Roman"/>
                <w:bCs/>
                <w:color w:val="auto"/>
                <w:sz w:val="24"/>
                <w:szCs w:val="24"/>
              </w:rPr>
              <w:t>项目营运过程中将产生</w:t>
            </w:r>
            <w:r>
              <w:rPr>
                <w:rFonts w:hint="eastAsia" w:ascii="Times New Roman" w:hAnsi="Times New Roman"/>
                <w:bCs/>
                <w:color w:val="auto"/>
                <w:sz w:val="24"/>
                <w:szCs w:val="24"/>
              </w:rPr>
              <w:t>一定</w:t>
            </w:r>
            <w:r>
              <w:rPr>
                <w:rFonts w:ascii="Times New Roman" w:hAnsi="Times New Roman"/>
                <w:bCs/>
                <w:color w:val="auto"/>
                <w:sz w:val="24"/>
                <w:szCs w:val="24"/>
              </w:rPr>
              <w:t>的原辅料包装物，包装物主要为塑料编织袋，</w:t>
            </w:r>
            <w:r>
              <w:rPr>
                <w:rFonts w:hint="eastAsia" w:ascii="Times New Roman" w:hAnsi="Times New Roman"/>
                <w:bCs/>
                <w:color w:val="auto"/>
                <w:sz w:val="24"/>
                <w:szCs w:val="24"/>
              </w:rPr>
              <w:t>由专人收集回收利用，不外</w:t>
            </w:r>
            <w:r>
              <w:rPr>
                <w:rFonts w:hint="eastAsia" w:ascii="Times New Roman" w:hAnsi="Times New Roman"/>
                <w:bCs/>
                <w:color w:val="auto"/>
                <w:sz w:val="24"/>
                <w:szCs w:val="24"/>
                <w:lang w:eastAsia="zh-CN"/>
              </w:rPr>
              <w:t>排，热风炉灰渣</w:t>
            </w:r>
            <w:r>
              <w:rPr>
                <w:rFonts w:hint="eastAsia" w:ascii="Times New Roman" w:hAnsi="Times New Roman" w:cs="宋体"/>
                <w:color w:val="auto"/>
                <w:sz w:val="24"/>
                <w:szCs w:val="24"/>
                <w:lang w:val="zh-CN"/>
              </w:rPr>
              <w:t>经集中收集后</w:t>
            </w:r>
            <w:r>
              <w:rPr>
                <w:rFonts w:hint="eastAsia" w:ascii="宋体" w:hAnsi="宋体" w:eastAsia="宋体" w:cs="宋体"/>
                <w:color w:val="auto"/>
                <w:sz w:val="24"/>
                <w:szCs w:val="24"/>
                <w:lang w:val="zh-CN"/>
              </w:rPr>
              <w:t>卖给附近农户作为农田施肥</w:t>
            </w:r>
            <w:r>
              <w:rPr>
                <w:rFonts w:hint="eastAsia" w:ascii="Times New Roman" w:hAnsi="Times New Roman"/>
                <w:color w:val="auto"/>
                <w:sz w:val="24"/>
                <w:szCs w:val="24"/>
              </w:rPr>
              <w:t>，</w:t>
            </w:r>
            <w:r>
              <w:rPr>
                <w:rFonts w:hint="eastAsia" w:ascii="Times New Roman" w:hAnsi="Times New Roman"/>
                <w:color w:val="auto"/>
                <w:sz w:val="24"/>
                <w:szCs w:val="24"/>
                <w:lang w:eastAsia="zh-CN"/>
              </w:rPr>
              <w:t>化粪池污泥清掏后</w:t>
            </w:r>
            <w:r>
              <w:rPr>
                <w:rFonts w:hint="eastAsia" w:ascii="Times New Roman" w:hAnsi="Times New Roman"/>
                <w:color w:val="auto"/>
                <w:sz w:val="24"/>
                <w:szCs w:val="24"/>
              </w:rPr>
              <w:t>作为农肥使用</w:t>
            </w:r>
            <w:r>
              <w:rPr>
                <w:rFonts w:hint="eastAsia" w:ascii="Times New Roman" w:hAnsi="Times New Roman"/>
                <w:color w:val="auto"/>
                <w:sz w:val="24"/>
                <w:szCs w:val="24"/>
                <w:lang w:eastAsia="zh-CN"/>
              </w:rPr>
              <w:t>，对环境有正面的影响</w:t>
            </w:r>
            <w:r>
              <w:rPr>
                <w:rFonts w:hint="eastAsia" w:ascii="Times New Roman" w:hAnsi="Times New Roman"/>
                <w:color w:val="auto"/>
                <w:sz w:val="24"/>
                <w:szCs w:val="24"/>
              </w:rPr>
              <w:t>。</w:t>
            </w:r>
          </w:p>
          <w:p w14:paraId="5708979C">
            <w:pPr>
              <w:adjustRightInd w:val="0"/>
              <w:snapToGrid w:val="0"/>
              <w:spacing w:line="360" w:lineRule="auto"/>
              <w:ind w:firstLine="480"/>
              <w:rPr>
                <w:rFonts w:ascii="Times New Roman" w:hAnsi="Times New Roman"/>
                <w:color w:val="auto"/>
                <w:sz w:val="24"/>
                <w:szCs w:val="24"/>
              </w:rPr>
            </w:pPr>
            <w:r>
              <w:rPr>
                <w:rFonts w:hint="eastAsia" w:ascii="Times New Roman" w:hAnsi="Times New Roman" w:cs="宋体"/>
                <w:color w:val="auto"/>
                <w:sz w:val="24"/>
                <w:szCs w:val="24"/>
              </w:rPr>
              <w:t>综上</w:t>
            </w:r>
            <w:r>
              <w:rPr>
                <w:rFonts w:ascii="Times New Roman" w:hAnsi="Times New Roman" w:cs="宋体"/>
                <w:color w:val="auto"/>
                <w:sz w:val="24"/>
                <w:szCs w:val="24"/>
              </w:rPr>
              <w:t>，</w:t>
            </w:r>
            <w:r>
              <w:rPr>
                <w:rFonts w:ascii="Times New Roman" w:hAnsi="Times New Roman"/>
                <w:color w:val="auto"/>
                <w:sz w:val="24"/>
                <w:szCs w:val="24"/>
              </w:rPr>
              <w:t>本项目产生的各种固体废物均得到妥善处理处置，不会造成二次污染，对厂内外环境无影响。</w:t>
            </w:r>
          </w:p>
          <w:p w14:paraId="6ACD7DB8">
            <w:pPr>
              <w:adjustRightInd w:val="0"/>
              <w:snapToGrid w:val="0"/>
              <w:spacing w:line="360" w:lineRule="auto"/>
              <w:ind w:firstLine="480"/>
              <w:rPr>
                <w:rFonts w:ascii="Times New Roman" w:hAnsi="Times New Roman"/>
                <w:b/>
                <w:color w:val="auto"/>
                <w:sz w:val="24"/>
              </w:rPr>
            </w:pPr>
            <w:r>
              <w:rPr>
                <w:rFonts w:hint="eastAsia" w:ascii="Times New Roman" w:hAnsi="Times New Roman" w:cs="宋体"/>
                <w:b/>
                <w:color w:val="auto"/>
                <w:sz w:val="24"/>
                <w:szCs w:val="24"/>
              </w:rPr>
              <w:t>（二）</w:t>
            </w:r>
            <w:r>
              <w:rPr>
                <w:rFonts w:ascii="Times New Roman" w:hAnsi="Times New Roman"/>
                <w:b/>
                <w:color w:val="auto"/>
                <w:sz w:val="24"/>
              </w:rPr>
              <w:t>对策措施</w:t>
            </w:r>
          </w:p>
          <w:p w14:paraId="1D1E81AE">
            <w:pPr>
              <w:tabs>
                <w:tab w:val="left" w:pos="1802"/>
              </w:tabs>
              <w:spacing w:line="360" w:lineRule="auto"/>
              <w:ind w:firstLine="480" w:firstLineChars="200"/>
              <w:rPr>
                <w:rFonts w:hint="eastAsia" w:ascii="宋体" w:hAnsi="宋体" w:eastAsia="宋体" w:cs="宋体"/>
                <w:color w:val="auto"/>
                <w:sz w:val="24"/>
              </w:rPr>
            </w:pPr>
            <w:r>
              <w:rPr>
                <w:rFonts w:ascii="Times New Roman" w:hAnsi="Times New Roman"/>
                <w:color w:val="auto"/>
                <w:sz w:val="24"/>
              </w:rPr>
              <w:t>项目</w:t>
            </w:r>
            <w:r>
              <w:rPr>
                <w:rFonts w:hint="eastAsia" w:ascii="宋体" w:hAnsi="宋体" w:eastAsia="宋体" w:cs="宋体"/>
                <w:color w:val="auto"/>
                <w:sz w:val="24"/>
              </w:rPr>
              <w:t>环境保护防治对策措施如表9-1所示。</w:t>
            </w:r>
          </w:p>
          <w:p w14:paraId="2E2E46A2">
            <w:pPr>
              <w:tabs>
                <w:tab w:val="left" w:pos="1802"/>
              </w:tabs>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表9-1  项目环境保护防治对策措施一览表</w:t>
            </w:r>
          </w:p>
          <w:tbl>
            <w:tblPr>
              <w:tblStyle w:val="2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6915"/>
            </w:tblGrid>
            <w:tr w14:paraId="5C55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45" w:type="dxa"/>
                  <w:vAlign w:val="center"/>
                </w:tcPr>
                <w:p w14:paraId="78EABD92">
                  <w:pPr>
                    <w:tabs>
                      <w:tab w:val="left" w:pos="1802"/>
                    </w:tabs>
                    <w:jc w:val="center"/>
                    <w:rPr>
                      <w:rFonts w:ascii="Times New Roman" w:hAnsi="Times New Roman"/>
                      <w:b/>
                      <w:bCs/>
                      <w:color w:val="auto"/>
                      <w:kern w:val="0"/>
                      <w:sz w:val="21"/>
                      <w:szCs w:val="21"/>
                    </w:rPr>
                  </w:pPr>
                  <w:r>
                    <w:rPr>
                      <w:rFonts w:ascii="Times New Roman" w:hAnsi="Times New Roman"/>
                      <w:b/>
                      <w:bCs/>
                      <w:color w:val="auto"/>
                      <w:kern w:val="0"/>
                      <w:sz w:val="21"/>
                      <w:szCs w:val="21"/>
                    </w:rPr>
                    <w:t>污染物</w:t>
                  </w:r>
                </w:p>
              </w:tc>
              <w:tc>
                <w:tcPr>
                  <w:tcW w:w="6915" w:type="dxa"/>
                  <w:vAlign w:val="center"/>
                </w:tcPr>
                <w:p w14:paraId="46C5A373">
                  <w:pPr>
                    <w:tabs>
                      <w:tab w:val="left" w:pos="1802"/>
                    </w:tabs>
                    <w:jc w:val="center"/>
                    <w:rPr>
                      <w:rFonts w:ascii="Times New Roman" w:hAnsi="Times New Roman"/>
                      <w:b/>
                      <w:bCs/>
                      <w:color w:val="auto"/>
                      <w:kern w:val="0"/>
                      <w:sz w:val="21"/>
                      <w:szCs w:val="21"/>
                    </w:rPr>
                  </w:pPr>
                  <w:r>
                    <w:rPr>
                      <w:rFonts w:ascii="Times New Roman" w:hAnsi="Times New Roman"/>
                      <w:b/>
                      <w:bCs/>
                      <w:color w:val="auto"/>
                      <w:kern w:val="0"/>
                      <w:sz w:val="21"/>
                      <w:szCs w:val="21"/>
                    </w:rPr>
                    <w:t>对策措施</w:t>
                  </w:r>
                </w:p>
              </w:tc>
            </w:tr>
            <w:tr w14:paraId="4F52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60" w:type="dxa"/>
                  <w:gridSpan w:val="2"/>
                  <w:vAlign w:val="center"/>
                </w:tcPr>
                <w:p w14:paraId="2555BBC2">
                  <w:pPr>
                    <w:tabs>
                      <w:tab w:val="left" w:pos="1802"/>
                    </w:tabs>
                    <w:jc w:val="center"/>
                    <w:rPr>
                      <w:rFonts w:ascii="Times New Roman" w:hAnsi="Times New Roman"/>
                      <w:color w:val="auto"/>
                      <w:kern w:val="0"/>
                      <w:sz w:val="21"/>
                      <w:szCs w:val="21"/>
                    </w:rPr>
                  </w:pPr>
                  <w:r>
                    <w:rPr>
                      <w:rFonts w:ascii="Times New Roman" w:hAnsi="Times New Roman"/>
                      <w:b/>
                      <w:bCs/>
                      <w:color w:val="auto"/>
                      <w:kern w:val="0"/>
                      <w:sz w:val="21"/>
                      <w:szCs w:val="21"/>
                    </w:rPr>
                    <w:t>运营期</w:t>
                  </w:r>
                </w:p>
              </w:tc>
            </w:tr>
            <w:tr w14:paraId="69A1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845" w:type="dxa"/>
                  <w:vAlign w:val="center"/>
                </w:tcPr>
                <w:p w14:paraId="3BF89B30">
                  <w:pPr>
                    <w:tabs>
                      <w:tab w:val="left" w:pos="1802"/>
                    </w:tabs>
                    <w:jc w:val="center"/>
                    <w:rPr>
                      <w:rFonts w:ascii="Times New Roman" w:hAnsi="Times New Roman"/>
                      <w:color w:val="auto"/>
                      <w:kern w:val="0"/>
                      <w:sz w:val="21"/>
                      <w:szCs w:val="21"/>
                    </w:rPr>
                  </w:pPr>
                  <w:r>
                    <w:rPr>
                      <w:rFonts w:ascii="Times New Roman" w:hAnsi="Times New Roman"/>
                      <w:color w:val="auto"/>
                      <w:kern w:val="0"/>
                      <w:sz w:val="21"/>
                      <w:szCs w:val="21"/>
                    </w:rPr>
                    <w:t>废气</w:t>
                  </w:r>
                </w:p>
              </w:tc>
              <w:tc>
                <w:tcPr>
                  <w:tcW w:w="6915" w:type="dxa"/>
                  <w:vAlign w:val="center"/>
                </w:tcPr>
                <w:p w14:paraId="1729723A">
                  <w:pPr>
                    <w:spacing w:line="240" w:lineRule="auto"/>
                    <w:jc w:val="left"/>
                    <w:outlineLvl w:val="0"/>
                    <w:rPr>
                      <w:rFonts w:hint="eastAsia" w:ascii="宋体" w:hAnsi="宋体" w:eastAsia="宋体" w:cs="宋体"/>
                      <w:bCs/>
                      <w:color w:val="auto"/>
                      <w:sz w:val="21"/>
                      <w:szCs w:val="21"/>
                    </w:rPr>
                  </w:pPr>
                  <w:r>
                    <w:rPr>
                      <w:rFonts w:hint="eastAsia" w:ascii="Times New Roman" w:hAnsi="Times New Roman"/>
                      <w:color w:val="auto"/>
                      <w:sz w:val="21"/>
                      <w:szCs w:val="21"/>
                    </w:rPr>
                    <w:t>①</w:t>
                  </w:r>
                  <w:r>
                    <w:rPr>
                      <w:rFonts w:hint="eastAsia" w:ascii="宋体" w:hAnsi="宋体" w:eastAsia="宋体" w:cs="宋体"/>
                      <w:color w:val="auto"/>
                      <w:sz w:val="21"/>
                      <w:szCs w:val="21"/>
                      <w:lang w:eastAsia="zh-CN"/>
                    </w:rPr>
                    <w:t>生产工序</w:t>
                  </w:r>
                  <w:r>
                    <w:rPr>
                      <w:rFonts w:hint="eastAsia" w:ascii="宋体" w:hAnsi="宋体" w:cs="宋体"/>
                      <w:color w:val="auto"/>
                      <w:sz w:val="21"/>
                      <w:szCs w:val="21"/>
                      <w:lang w:eastAsia="zh-CN"/>
                    </w:rPr>
                    <w:t>（烘干、捡梗、筛分过程）</w:t>
                  </w:r>
                  <w:r>
                    <w:rPr>
                      <w:rFonts w:hint="eastAsia" w:ascii="宋体" w:hAnsi="宋体" w:eastAsia="宋体" w:cs="宋体"/>
                      <w:color w:val="auto"/>
                      <w:sz w:val="21"/>
                      <w:szCs w:val="21"/>
                      <w:lang w:eastAsia="zh-CN"/>
                    </w:rPr>
                    <w:t>产生的粉尘</w:t>
                  </w:r>
                  <w:r>
                    <w:rPr>
                      <w:rFonts w:hint="eastAsia" w:ascii="宋体" w:hAnsi="宋体" w:cs="宋体"/>
                      <w:color w:val="auto"/>
                      <w:sz w:val="21"/>
                      <w:szCs w:val="21"/>
                      <w:lang w:eastAsia="zh-CN"/>
                    </w:rPr>
                    <w:t>量较少，</w:t>
                  </w:r>
                  <w:r>
                    <w:rPr>
                      <w:rFonts w:hint="eastAsia" w:ascii="宋体" w:hAnsi="宋体" w:eastAsia="宋体" w:cs="宋体"/>
                      <w:color w:val="auto"/>
                      <w:sz w:val="21"/>
                      <w:szCs w:val="21"/>
                      <w:lang w:eastAsia="zh-CN"/>
                    </w:rPr>
                    <w:t>通过门窗阻隔，空气稀释扩散排放</w:t>
                  </w:r>
                  <w:r>
                    <w:rPr>
                      <w:rFonts w:hint="eastAsia" w:ascii="宋体" w:hAnsi="宋体" w:eastAsia="宋体" w:cs="宋体"/>
                      <w:bCs/>
                      <w:color w:val="auto"/>
                      <w:sz w:val="21"/>
                      <w:szCs w:val="21"/>
                    </w:rPr>
                    <w:t>；</w:t>
                  </w:r>
                </w:p>
                <w:p w14:paraId="5B5F1DF6">
                  <w:pPr>
                    <w:spacing w:line="240" w:lineRule="auto"/>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rPr>
                    <w:t>②</w:t>
                  </w:r>
                  <w:r>
                    <w:rPr>
                      <w:rFonts w:hint="eastAsia" w:ascii="宋体" w:hAnsi="宋体" w:eastAsia="宋体" w:cs="宋体"/>
                      <w:color w:val="auto"/>
                      <w:sz w:val="21"/>
                      <w:szCs w:val="21"/>
                      <w:lang w:eastAsia="zh-CN"/>
                    </w:rPr>
                    <w:t>烘干机运行时生物质燃料燃烧产生的烟尘</w:t>
                  </w:r>
                  <w:r>
                    <w:rPr>
                      <w:rFonts w:hint="eastAsia" w:ascii="宋体" w:hAnsi="宋体" w:cs="宋体"/>
                      <w:color w:val="auto"/>
                      <w:sz w:val="21"/>
                      <w:szCs w:val="21"/>
                      <w:lang w:eastAsia="zh-CN"/>
                    </w:rPr>
                    <w:t>统一</w:t>
                  </w:r>
                  <w:r>
                    <w:rPr>
                      <w:rFonts w:hint="eastAsia" w:ascii="宋体" w:hAnsi="宋体" w:eastAsia="宋体" w:cs="宋体"/>
                      <w:color w:val="auto"/>
                      <w:sz w:val="21"/>
                      <w:szCs w:val="21"/>
                      <w:lang w:eastAsia="zh-CN"/>
                    </w:rPr>
                    <w:t>经过</w:t>
                  </w:r>
                  <w:r>
                    <w:rPr>
                      <w:rFonts w:hint="eastAsia" w:ascii="宋体" w:hAnsi="宋体" w:cs="宋体"/>
                      <w:color w:val="auto"/>
                      <w:sz w:val="21"/>
                      <w:szCs w:val="21"/>
                      <w:lang w:val="en-US" w:eastAsia="zh-CN"/>
                    </w:rPr>
                    <w:t>1套</w:t>
                  </w:r>
                  <w:r>
                    <w:rPr>
                      <w:rFonts w:hint="eastAsia" w:ascii="宋体" w:hAnsi="宋体" w:eastAsia="宋体" w:cs="宋体"/>
                      <w:color w:val="auto"/>
                      <w:sz w:val="21"/>
                      <w:szCs w:val="21"/>
                      <w:lang w:eastAsia="zh-CN"/>
                    </w:rPr>
                    <w:t>旋风</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布袋除尘器处理后通过不低于</w:t>
                  </w:r>
                  <w:r>
                    <w:rPr>
                      <w:rFonts w:hint="eastAsia" w:ascii="宋体" w:hAnsi="宋体" w:cs="宋体"/>
                      <w:color w:val="auto"/>
                      <w:sz w:val="21"/>
                      <w:szCs w:val="21"/>
                      <w:lang w:val="en-US" w:eastAsia="zh-CN"/>
                    </w:rPr>
                    <w:t>1根3</w:t>
                  </w:r>
                  <w:r>
                    <w:rPr>
                      <w:rFonts w:hint="eastAsia" w:ascii="宋体" w:hAnsi="宋体" w:eastAsia="宋体" w:cs="宋体"/>
                      <w:color w:val="auto"/>
                      <w:sz w:val="21"/>
                      <w:szCs w:val="21"/>
                      <w:lang w:val="en-US" w:eastAsia="zh-CN"/>
                    </w:rPr>
                    <w:t>5m高的排气筒排放</w:t>
                  </w:r>
                  <w:r>
                    <w:rPr>
                      <w:rFonts w:hint="eastAsia" w:ascii="宋体" w:hAnsi="宋体" w:eastAsia="宋体" w:cs="宋体"/>
                      <w:color w:val="auto"/>
                      <w:sz w:val="21"/>
                      <w:szCs w:val="21"/>
                    </w:rPr>
                    <w:t>；</w:t>
                  </w:r>
                </w:p>
                <w:p w14:paraId="431E18C8">
                  <w:pPr>
                    <w:spacing w:line="240" w:lineRule="auto"/>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rPr>
                    <w:t>③</w:t>
                  </w:r>
                  <w:r>
                    <w:rPr>
                      <w:rFonts w:hint="eastAsia" w:ascii="宋体" w:hAnsi="宋体" w:eastAsia="宋体" w:cs="宋体"/>
                      <w:color w:val="auto"/>
                      <w:sz w:val="21"/>
                      <w:szCs w:val="21"/>
                      <w:lang w:eastAsia="zh-CN"/>
                    </w:rPr>
                    <w:t>厨房油烟</w:t>
                  </w:r>
                  <w:r>
                    <w:rPr>
                      <w:rFonts w:hint="eastAsia" w:ascii="宋体" w:hAnsi="宋体" w:eastAsia="宋体" w:cs="宋体"/>
                      <w:color w:val="auto"/>
                      <w:kern w:val="0"/>
                      <w:sz w:val="21"/>
                      <w:szCs w:val="21"/>
                      <w:highlight w:val="none"/>
                      <w:u w:val="none" w:color="auto"/>
                      <w:lang w:eastAsia="zh-CN"/>
                    </w:rPr>
                    <w:t>通过油烟净化器（油烟去除率不低于</w:t>
                  </w:r>
                  <w:r>
                    <w:rPr>
                      <w:rFonts w:hint="eastAsia" w:ascii="宋体" w:hAnsi="宋体" w:eastAsia="宋体" w:cs="宋体"/>
                      <w:color w:val="auto"/>
                      <w:kern w:val="0"/>
                      <w:sz w:val="21"/>
                      <w:szCs w:val="21"/>
                      <w:highlight w:val="none"/>
                      <w:u w:val="none" w:color="auto"/>
                      <w:lang w:val="en-US" w:eastAsia="zh-CN"/>
                    </w:rPr>
                    <w:t>60%</w:t>
                  </w:r>
                  <w:r>
                    <w:rPr>
                      <w:rFonts w:hint="eastAsia" w:ascii="宋体" w:hAnsi="宋体" w:eastAsia="宋体" w:cs="宋体"/>
                      <w:color w:val="auto"/>
                      <w:kern w:val="0"/>
                      <w:sz w:val="21"/>
                      <w:szCs w:val="21"/>
                      <w:highlight w:val="none"/>
                      <w:u w:val="none" w:color="auto"/>
                      <w:lang w:eastAsia="zh-CN"/>
                    </w:rPr>
                    <w:t>）处理后达标排放</w:t>
                  </w:r>
                  <w:r>
                    <w:rPr>
                      <w:rFonts w:hint="eastAsia" w:ascii="宋体" w:hAnsi="宋体" w:eastAsia="宋体" w:cs="宋体"/>
                      <w:color w:val="auto"/>
                      <w:sz w:val="21"/>
                      <w:szCs w:val="21"/>
                    </w:rPr>
                    <w:t>；</w:t>
                  </w:r>
                </w:p>
                <w:p w14:paraId="3237C3BC">
                  <w:pPr>
                    <w:adjustRightInd w:val="0"/>
                    <w:snapToGrid w:val="0"/>
                    <w:spacing w:line="240" w:lineRule="auto"/>
                    <w:jc w:val="left"/>
                    <w:rPr>
                      <w:rFonts w:hint="eastAsia" w:ascii="Times New Roman" w:hAnsi="Times New Roman"/>
                      <w:color w:val="auto"/>
                      <w:sz w:val="21"/>
                      <w:szCs w:val="21"/>
                    </w:rPr>
                  </w:pPr>
                  <w:r>
                    <w:rPr>
                      <w:rFonts w:hint="eastAsia" w:ascii="宋体" w:hAnsi="宋体" w:eastAsia="宋体" w:cs="宋体"/>
                      <w:color w:val="auto"/>
                      <w:sz w:val="21"/>
                      <w:szCs w:val="21"/>
                    </w:rPr>
                    <w:t>④</w:t>
                  </w:r>
                  <w:r>
                    <w:rPr>
                      <w:rFonts w:hint="eastAsia" w:ascii="宋体" w:hAnsi="宋体" w:eastAsia="宋体" w:cs="宋体"/>
                      <w:color w:val="auto"/>
                      <w:sz w:val="21"/>
                      <w:szCs w:val="21"/>
                      <w:lang w:eastAsia="zh-CN"/>
                    </w:rPr>
                    <w:t>红茶发酵</w:t>
                  </w:r>
                  <w:r>
                    <w:rPr>
                      <w:rFonts w:hint="eastAsia" w:ascii="宋体" w:hAnsi="宋体" w:eastAsia="宋体" w:cs="宋体"/>
                      <w:color w:val="auto"/>
                      <w:sz w:val="21"/>
                      <w:szCs w:val="21"/>
                    </w:rPr>
                    <w:t>异味，</w:t>
                  </w:r>
                  <w:r>
                    <w:rPr>
                      <w:rFonts w:hint="eastAsia" w:ascii="宋体" w:hAnsi="宋体" w:eastAsia="宋体" w:cs="宋体"/>
                      <w:color w:val="auto"/>
                      <w:sz w:val="21"/>
                      <w:szCs w:val="21"/>
                      <w:lang w:eastAsia="zh-CN"/>
                    </w:rPr>
                    <w:t>其对人体无害，</w:t>
                  </w:r>
                  <w:r>
                    <w:rPr>
                      <w:rFonts w:hint="eastAsia" w:ascii="宋体" w:hAnsi="宋体" w:cs="宋体"/>
                      <w:color w:val="auto"/>
                      <w:sz w:val="21"/>
                      <w:szCs w:val="21"/>
                      <w:lang w:eastAsia="zh-CN"/>
                    </w:rPr>
                    <w:t>产生量较少</w:t>
                  </w:r>
                  <w:r>
                    <w:rPr>
                      <w:rFonts w:hint="eastAsia" w:ascii="Times New Roman" w:hAnsi="Times New Roman"/>
                      <w:color w:val="auto"/>
                      <w:sz w:val="21"/>
                      <w:szCs w:val="21"/>
                    </w:rPr>
                    <w:t>，</w:t>
                  </w:r>
                  <w:r>
                    <w:rPr>
                      <w:rFonts w:hint="eastAsia"/>
                      <w:color w:val="auto"/>
                      <w:sz w:val="21"/>
                      <w:szCs w:val="21"/>
                      <w:lang w:eastAsia="zh-CN"/>
                    </w:rPr>
                    <w:t>通过门窗阻隔和空气稀释后，</w:t>
                  </w:r>
                  <w:r>
                    <w:rPr>
                      <w:rFonts w:hint="eastAsia" w:ascii="Times New Roman" w:hAnsi="Times New Roman"/>
                      <w:color w:val="auto"/>
                      <w:sz w:val="21"/>
                      <w:szCs w:val="21"/>
                    </w:rPr>
                    <w:t>项目发酵产生的异味</w:t>
                  </w:r>
                  <w:r>
                    <w:rPr>
                      <w:rFonts w:hint="eastAsia"/>
                      <w:color w:val="auto"/>
                      <w:sz w:val="21"/>
                      <w:szCs w:val="21"/>
                      <w:lang w:eastAsia="zh-CN"/>
                    </w:rPr>
                    <w:t>后</w:t>
                  </w:r>
                  <w:r>
                    <w:rPr>
                      <w:rFonts w:hint="eastAsia" w:ascii="Times New Roman" w:hAnsi="Times New Roman"/>
                      <w:color w:val="auto"/>
                      <w:sz w:val="21"/>
                      <w:szCs w:val="21"/>
                    </w:rPr>
                    <w:t>较难逸出到厂房外。</w:t>
                  </w:r>
                </w:p>
              </w:tc>
            </w:tr>
            <w:tr w14:paraId="2B3E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45" w:type="dxa"/>
                  <w:vAlign w:val="center"/>
                </w:tcPr>
                <w:p w14:paraId="5C2DF383">
                  <w:pPr>
                    <w:tabs>
                      <w:tab w:val="left" w:pos="1802"/>
                    </w:tabs>
                    <w:jc w:val="center"/>
                    <w:rPr>
                      <w:rFonts w:ascii="Times New Roman" w:hAnsi="Times New Roman"/>
                      <w:color w:val="auto"/>
                      <w:kern w:val="0"/>
                      <w:sz w:val="21"/>
                      <w:szCs w:val="21"/>
                    </w:rPr>
                  </w:pPr>
                  <w:r>
                    <w:rPr>
                      <w:rFonts w:ascii="Times New Roman" w:hAnsi="Times New Roman"/>
                      <w:color w:val="auto"/>
                      <w:kern w:val="0"/>
                      <w:sz w:val="21"/>
                      <w:szCs w:val="21"/>
                    </w:rPr>
                    <w:t>废水</w:t>
                  </w:r>
                </w:p>
              </w:tc>
              <w:tc>
                <w:tcPr>
                  <w:tcW w:w="6915" w:type="dxa"/>
                  <w:vAlign w:val="center"/>
                </w:tcPr>
                <w:p w14:paraId="4CDCBEC0">
                  <w:pPr>
                    <w:rPr>
                      <w:rFonts w:ascii="Times New Roman" w:hAnsi="Times New Roman"/>
                      <w:color w:val="auto"/>
                      <w:sz w:val="21"/>
                      <w:szCs w:val="21"/>
                    </w:rPr>
                  </w:pPr>
                  <w:r>
                    <w:rPr>
                      <w:rFonts w:hint="eastAsia" w:ascii="Times New Roman" w:hAnsi="Times New Roman"/>
                      <w:color w:val="auto"/>
                      <w:sz w:val="21"/>
                      <w:szCs w:val="21"/>
                    </w:rPr>
                    <w:t>生活</w:t>
                  </w:r>
                  <w:r>
                    <w:rPr>
                      <w:rFonts w:hint="eastAsia" w:ascii="Times New Roman" w:hAnsi="Times New Roman"/>
                      <w:color w:val="auto"/>
                      <w:sz w:val="21"/>
                      <w:szCs w:val="21"/>
                      <w:lang w:eastAsia="zh-CN"/>
                    </w:rPr>
                    <w:t>污水</w:t>
                  </w:r>
                  <w:r>
                    <w:rPr>
                      <w:rFonts w:hint="eastAsia" w:ascii="Times New Roman" w:hAnsi="Times New Roman"/>
                      <w:color w:val="auto"/>
                      <w:sz w:val="21"/>
                      <w:szCs w:val="21"/>
                    </w:rPr>
                    <w:t>经</w:t>
                  </w:r>
                  <w:r>
                    <w:rPr>
                      <w:rFonts w:hint="eastAsia"/>
                      <w:color w:val="auto"/>
                      <w:sz w:val="21"/>
                      <w:szCs w:val="21"/>
                      <w:lang w:eastAsia="zh-CN"/>
                    </w:rPr>
                    <w:t>隔油池、</w:t>
                  </w:r>
                  <w:r>
                    <w:rPr>
                      <w:rFonts w:hint="eastAsia" w:ascii="Times New Roman" w:hAnsi="Times New Roman"/>
                      <w:color w:val="auto"/>
                      <w:sz w:val="21"/>
                      <w:szCs w:val="21"/>
                      <w:lang w:eastAsia="zh-CN"/>
                    </w:rPr>
                    <w:t>化粪池</w:t>
                  </w:r>
                  <w:r>
                    <w:rPr>
                      <w:rFonts w:hint="eastAsia" w:ascii="Times New Roman" w:hAnsi="Times New Roman"/>
                      <w:color w:val="auto"/>
                      <w:sz w:val="21"/>
                      <w:szCs w:val="21"/>
                    </w:rPr>
                    <w:t>处理后用于</w:t>
                  </w:r>
                  <w:r>
                    <w:rPr>
                      <w:rFonts w:hint="eastAsia" w:ascii="Times New Roman" w:hAnsi="Times New Roman"/>
                      <w:color w:val="auto"/>
                      <w:sz w:val="21"/>
                      <w:szCs w:val="21"/>
                      <w:lang w:eastAsia="zh-CN"/>
                    </w:rPr>
                    <w:t>周边农田施肥</w:t>
                  </w:r>
                  <w:r>
                    <w:rPr>
                      <w:rFonts w:hint="eastAsia" w:ascii="Times New Roman" w:hAnsi="Times New Roman"/>
                      <w:color w:val="auto"/>
                      <w:sz w:val="21"/>
                      <w:szCs w:val="21"/>
                    </w:rPr>
                    <w:t>，不外排</w:t>
                  </w:r>
                </w:p>
              </w:tc>
            </w:tr>
            <w:tr w14:paraId="4454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45" w:type="dxa"/>
                  <w:vAlign w:val="center"/>
                </w:tcPr>
                <w:p w14:paraId="3E15F0C9">
                  <w:pPr>
                    <w:tabs>
                      <w:tab w:val="left" w:pos="1802"/>
                    </w:tabs>
                    <w:jc w:val="center"/>
                    <w:rPr>
                      <w:rFonts w:ascii="Times New Roman" w:hAnsi="Times New Roman"/>
                      <w:color w:val="auto"/>
                      <w:kern w:val="0"/>
                      <w:sz w:val="21"/>
                      <w:szCs w:val="21"/>
                    </w:rPr>
                  </w:pPr>
                  <w:r>
                    <w:rPr>
                      <w:rFonts w:ascii="Times New Roman" w:hAnsi="Times New Roman"/>
                      <w:color w:val="auto"/>
                      <w:kern w:val="0"/>
                      <w:sz w:val="21"/>
                      <w:szCs w:val="21"/>
                    </w:rPr>
                    <w:t>噪声</w:t>
                  </w:r>
                </w:p>
              </w:tc>
              <w:tc>
                <w:tcPr>
                  <w:tcW w:w="6915" w:type="dxa"/>
                  <w:vAlign w:val="center"/>
                </w:tcPr>
                <w:p w14:paraId="330D5F7B">
                  <w:pPr>
                    <w:outlineLvl w:val="2"/>
                    <w:rPr>
                      <w:rFonts w:hint="eastAsia" w:ascii="Times New Roman" w:hAnsi="Times New Roman"/>
                      <w:color w:val="auto"/>
                      <w:sz w:val="21"/>
                      <w:szCs w:val="21"/>
                    </w:rPr>
                  </w:pPr>
                  <w:r>
                    <w:rPr>
                      <w:rFonts w:hint="eastAsia" w:ascii="Times New Roman" w:hAnsi="Times New Roman"/>
                      <w:color w:val="auto"/>
                      <w:sz w:val="21"/>
                      <w:szCs w:val="21"/>
                      <w:lang w:eastAsia="zh-CN"/>
                    </w:rPr>
                    <w:t>对设备</w:t>
                  </w:r>
                  <w:r>
                    <w:rPr>
                      <w:rFonts w:ascii="Times New Roman" w:hAnsi="Times New Roman"/>
                      <w:bCs/>
                      <w:color w:val="auto"/>
                      <w:sz w:val="21"/>
                      <w:szCs w:val="21"/>
                    </w:rPr>
                    <w:t>合理规划布局、选用低噪设备、采取减震、隔声、厂区绿化、距离衰减</w:t>
                  </w:r>
                  <w:r>
                    <w:rPr>
                      <w:rFonts w:hint="eastAsia" w:ascii="Times New Roman" w:hAnsi="Times New Roman"/>
                      <w:bCs/>
                      <w:color w:val="auto"/>
                      <w:sz w:val="21"/>
                      <w:szCs w:val="21"/>
                      <w:lang w:eastAsia="zh-CN"/>
                    </w:rPr>
                    <w:t>降低噪声的影响</w:t>
                  </w:r>
                  <w:r>
                    <w:rPr>
                      <w:rFonts w:hint="eastAsia" w:ascii="Times New Roman" w:hAnsi="Times New Roman"/>
                      <w:color w:val="auto"/>
                      <w:sz w:val="21"/>
                      <w:szCs w:val="21"/>
                    </w:rPr>
                    <w:t>。</w:t>
                  </w:r>
                </w:p>
              </w:tc>
            </w:tr>
            <w:tr w14:paraId="7BB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845" w:type="dxa"/>
                  <w:vAlign w:val="center"/>
                </w:tcPr>
                <w:p w14:paraId="25412702">
                  <w:pPr>
                    <w:tabs>
                      <w:tab w:val="left" w:pos="1802"/>
                    </w:tabs>
                    <w:jc w:val="center"/>
                    <w:rPr>
                      <w:rFonts w:ascii="Times New Roman" w:hAnsi="Times New Roman"/>
                      <w:color w:val="auto"/>
                      <w:kern w:val="0"/>
                      <w:sz w:val="21"/>
                      <w:szCs w:val="21"/>
                    </w:rPr>
                  </w:pPr>
                  <w:r>
                    <w:rPr>
                      <w:rFonts w:ascii="Times New Roman" w:hAnsi="Times New Roman"/>
                      <w:color w:val="auto"/>
                      <w:kern w:val="0"/>
                      <w:sz w:val="21"/>
                      <w:szCs w:val="21"/>
                    </w:rPr>
                    <w:t>固体废物</w:t>
                  </w:r>
                </w:p>
              </w:tc>
              <w:tc>
                <w:tcPr>
                  <w:tcW w:w="6915" w:type="dxa"/>
                  <w:vAlign w:val="center"/>
                </w:tcPr>
                <w:p w14:paraId="339F1CB9">
                  <w:pPr>
                    <w:rPr>
                      <w:rFonts w:ascii="Times New Roman" w:hAnsi="Times New Roman"/>
                      <w:color w:val="auto"/>
                      <w:sz w:val="21"/>
                      <w:szCs w:val="21"/>
                    </w:rPr>
                  </w:pPr>
                  <w:r>
                    <w:rPr>
                      <w:rFonts w:hint="eastAsia" w:ascii="Times New Roman" w:hAnsi="Times New Roman"/>
                      <w:color w:val="auto"/>
                      <w:sz w:val="21"/>
                      <w:szCs w:val="21"/>
                    </w:rPr>
                    <w:t>①</w:t>
                  </w:r>
                  <w:r>
                    <w:rPr>
                      <w:rFonts w:hint="eastAsia" w:ascii="Times New Roman" w:hAnsi="Times New Roman"/>
                      <w:bCs/>
                      <w:color w:val="auto"/>
                      <w:sz w:val="21"/>
                      <w:szCs w:val="21"/>
                    </w:rPr>
                    <w:t>生活</w:t>
                  </w:r>
                  <w:r>
                    <w:rPr>
                      <w:rFonts w:ascii="Times New Roman" w:hAnsi="Times New Roman"/>
                      <w:bCs/>
                      <w:color w:val="auto"/>
                      <w:sz w:val="21"/>
                      <w:szCs w:val="21"/>
                    </w:rPr>
                    <w:t>垃圾</w:t>
                  </w:r>
                  <w:r>
                    <w:rPr>
                      <w:rFonts w:hint="eastAsia" w:ascii="Times New Roman" w:hAnsi="Times New Roman"/>
                      <w:color w:val="auto"/>
                      <w:sz w:val="21"/>
                      <w:szCs w:val="21"/>
                    </w:rPr>
                    <w:t>由卫生人员</w:t>
                  </w:r>
                  <w:r>
                    <w:rPr>
                      <w:rFonts w:hint="eastAsia" w:ascii="Times New Roman" w:hAnsi="Times New Roman" w:cs="宋体"/>
                      <w:color w:val="auto"/>
                      <w:sz w:val="21"/>
                      <w:szCs w:val="21"/>
                    </w:rPr>
                    <w:t>统一收集后，清运至相关部门指定地点处理</w:t>
                  </w:r>
                  <w:r>
                    <w:rPr>
                      <w:rFonts w:ascii="Times New Roman" w:hAnsi="Times New Roman"/>
                      <w:color w:val="auto"/>
                      <w:sz w:val="21"/>
                      <w:szCs w:val="21"/>
                    </w:rPr>
                    <w:t>；</w:t>
                  </w:r>
                </w:p>
                <w:p w14:paraId="4311E6D2">
                  <w:pPr>
                    <w:rPr>
                      <w:rFonts w:ascii="Times New Roman" w:hAnsi="Times New Roman"/>
                      <w:color w:val="auto"/>
                      <w:sz w:val="21"/>
                      <w:szCs w:val="21"/>
                    </w:rPr>
                  </w:pPr>
                  <w:r>
                    <w:rPr>
                      <w:rFonts w:hint="eastAsia" w:ascii="Times New Roman" w:hAnsi="Times New Roman"/>
                      <w:color w:val="auto"/>
                      <w:sz w:val="21"/>
                      <w:szCs w:val="21"/>
                    </w:rPr>
                    <w:t>②</w:t>
                  </w:r>
                  <w:r>
                    <w:rPr>
                      <w:rFonts w:hint="eastAsia" w:ascii="Times New Roman" w:hAnsi="Times New Roman" w:cs="宋体"/>
                      <w:color w:val="auto"/>
                      <w:sz w:val="21"/>
                      <w:szCs w:val="21"/>
                      <w:lang w:eastAsia="zh-CN"/>
                    </w:rPr>
                    <w:t>加工过程中的杂质</w:t>
                  </w:r>
                  <w:r>
                    <w:rPr>
                      <w:rFonts w:hint="eastAsia" w:ascii="Times New Roman" w:hAnsi="Times New Roman"/>
                      <w:color w:val="auto"/>
                      <w:sz w:val="21"/>
                      <w:szCs w:val="21"/>
                      <w:lang w:eastAsia="zh-CN"/>
                    </w:rPr>
                    <w:t>通过</w:t>
                  </w:r>
                  <w:r>
                    <w:rPr>
                      <w:rFonts w:hint="eastAsia" w:ascii="Times New Roman" w:hAnsi="Times New Roman"/>
                      <w:color w:val="auto"/>
                      <w:sz w:val="21"/>
                      <w:szCs w:val="21"/>
                    </w:rPr>
                    <w:t>集中收集后交由周边农户堆肥，作为农肥使用</w:t>
                  </w:r>
                  <w:r>
                    <w:rPr>
                      <w:rFonts w:ascii="Times New Roman" w:hAnsi="Times New Roman"/>
                      <w:color w:val="auto"/>
                      <w:sz w:val="21"/>
                      <w:szCs w:val="21"/>
                    </w:rPr>
                    <w:t>；</w:t>
                  </w:r>
                </w:p>
                <w:p w14:paraId="2A88EAA4">
                  <w:pPr>
                    <w:rPr>
                      <w:rFonts w:hint="eastAsia" w:ascii="Times New Roman" w:hAnsi="Times New Roman"/>
                      <w:bCs/>
                      <w:color w:val="auto"/>
                      <w:sz w:val="21"/>
                      <w:szCs w:val="21"/>
                      <w:lang w:eastAsia="zh-CN"/>
                    </w:rPr>
                  </w:pPr>
                  <w:r>
                    <w:rPr>
                      <w:rFonts w:hint="eastAsia" w:ascii="Times New Roman" w:hAnsi="Times New Roman"/>
                      <w:color w:val="auto"/>
                      <w:sz w:val="21"/>
                      <w:szCs w:val="21"/>
                    </w:rPr>
                    <w:t>③</w:t>
                  </w:r>
                  <w:r>
                    <w:rPr>
                      <w:rFonts w:hint="eastAsia" w:ascii="Times New Roman" w:hAnsi="Times New Roman"/>
                      <w:color w:val="auto"/>
                      <w:sz w:val="21"/>
                      <w:szCs w:val="21"/>
                      <w:lang w:eastAsia="zh-CN"/>
                    </w:rPr>
                    <w:t>原辅材料包装物</w:t>
                  </w:r>
                  <w:r>
                    <w:rPr>
                      <w:rFonts w:hint="eastAsia" w:ascii="Times New Roman" w:hAnsi="Times New Roman"/>
                      <w:bCs/>
                      <w:color w:val="auto"/>
                      <w:sz w:val="21"/>
                      <w:szCs w:val="21"/>
                    </w:rPr>
                    <w:t>由专人收集回收利用，不外排</w:t>
                  </w:r>
                  <w:r>
                    <w:rPr>
                      <w:rFonts w:hint="eastAsia" w:ascii="Times New Roman" w:hAnsi="Times New Roman"/>
                      <w:bCs/>
                      <w:color w:val="auto"/>
                      <w:sz w:val="21"/>
                      <w:szCs w:val="21"/>
                      <w:lang w:eastAsia="zh-CN"/>
                    </w:rPr>
                    <w:t>；</w:t>
                  </w:r>
                </w:p>
                <w:p w14:paraId="0813C18B">
                  <w:pPr>
                    <w:rPr>
                      <w:rFonts w:hint="eastAsia" w:ascii="Times New Roman" w:hAnsi="Times New Roman" w:eastAsia="宋体" w:cs="宋体"/>
                      <w:bCs/>
                      <w:color w:val="auto"/>
                      <w:sz w:val="21"/>
                      <w:szCs w:val="21"/>
                      <w:lang w:eastAsia="zh-CN"/>
                    </w:rPr>
                  </w:pPr>
                  <w:r>
                    <w:rPr>
                      <w:rFonts w:hint="eastAsia" w:ascii="Times New Roman" w:hAnsi="Times New Roman" w:cs="宋体"/>
                      <w:color w:val="auto"/>
                      <w:sz w:val="21"/>
                      <w:szCs w:val="21"/>
                      <w:lang w:val="zh-CN"/>
                    </w:rPr>
                    <w:t>④热风炉灰渣经集中收集后</w:t>
                  </w:r>
                  <w:r>
                    <w:rPr>
                      <w:rFonts w:hint="eastAsia" w:ascii="宋体" w:hAnsi="宋体" w:eastAsia="宋体" w:cs="宋体"/>
                      <w:color w:val="auto"/>
                      <w:sz w:val="21"/>
                      <w:szCs w:val="21"/>
                      <w:lang w:val="zh-CN"/>
                    </w:rPr>
                    <w:t>卖给附近农户作为农田施肥</w:t>
                  </w:r>
                  <w:r>
                    <w:rPr>
                      <w:rFonts w:hint="eastAsia" w:ascii="Times New Roman" w:hAnsi="Times New Roman" w:cs="宋体"/>
                      <w:bCs/>
                      <w:color w:val="auto"/>
                      <w:sz w:val="21"/>
                      <w:szCs w:val="21"/>
                      <w:lang w:eastAsia="zh-CN"/>
                    </w:rPr>
                    <w:t>；</w:t>
                  </w:r>
                </w:p>
                <w:p w14:paraId="70405AE5">
                  <w:pPr>
                    <w:rPr>
                      <w:rFonts w:hint="eastAsia" w:ascii="Times New Roman" w:hAnsi="Times New Roman" w:eastAsia="宋体"/>
                      <w:color w:val="auto"/>
                      <w:sz w:val="21"/>
                      <w:szCs w:val="21"/>
                      <w:lang w:eastAsia="zh-CN"/>
                    </w:rPr>
                  </w:pPr>
                  <w:r>
                    <w:rPr>
                      <w:rFonts w:hint="eastAsia" w:ascii="Times New Roman" w:hAnsi="Times New Roman" w:cs="宋体"/>
                      <w:bCs/>
                      <w:color w:val="auto"/>
                      <w:sz w:val="21"/>
                      <w:szCs w:val="21"/>
                      <w:lang w:eastAsia="zh-CN"/>
                    </w:rPr>
                    <w:t>⑤化粪池污泥由周边农户清掏作为农肥。</w:t>
                  </w:r>
                </w:p>
              </w:tc>
            </w:tr>
          </w:tbl>
          <w:p w14:paraId="26CDF4C7">
            <w:pPr>
              <w:spacing w:before="100" w:beforeAutospacing="1" w:line="360" w:lineRule="auto"/>
              <w:rPr>
                <w:rFonts w:hint="eastAsia" w:ascii="Times New Roman" w:hAnsi="Times New Roman" w:eastAsia="宋体" w:cs="宋体"/>
                <w:b/>
                <w:color w:val="auto"/>
                <w:spacing w:val="-6"/>
                <w:sz w:val="24"/>
                <w:szCs w:val="24"/>
                <w:lang w:eastAsia="zh-CN"/>
              </w:rPr>
            </w:pPr>
            <w:r>
              <w:rPr>
                <w:rFonts w:hint="eastAsia" w:ascii="Times New Roman" w:hAnsi="Times New Roman" w:cs="宋体"/>
                <w:b/>
                <w:color w:val="auto"/>
                <w:sz w:val="24"/>
                <w:szCs w:val="24"/>
                <w:lang w:eastAsia="zh-CN"/>
              </w:rPr>
              <w:t>（三</w:t>
            </w:r>
            <w:r>
              <w:rPr>
                <w:rFonts w:hint="eastAsia" w:ascii="Times New Roman" w:hAnsi="Times New Roman" w:cs="宋体"/>
                <w:b/>
                <w:color w:val="auto"/>
                <w:sz w:val="24"/>
                <w:szCs w:val="24"/>
              </w:rPr>
              <w:t>）</w:t>
            </w:r>
            <w:r>
              <w:rPr>
                <w:rFonts w:hint="eastAsia" w:ascii="Times New Roman" w:hAnsi="Times New Roman" w:cs="宋体"/>
                <w:b/>
                <w:color w:val="auto"/>
                <w:spacing w:val="-6"/>
                <w:sz w:val="24"/>
                <w:szCs w:val="24"/>
              </w:rPr>
              <w:t>环境监测</w:t>
            </w:r>
            <w:r>
              <w:rPr>
                <w:rFonts w:hint="eastAsia" w:cs="宋体"/>
                <w:b/>
                <w:color w:val="auto"/>
                <w:spacing w:val="-6"/>
                <w:sz w:val="24"/>
                <w:szCs w:val="24"/>
                <w:lang w:eastAsia="zh-CN"/>
              </w:rPr>
              <w:t>计划</w:t>
            </w:r>
          </w:p>
          <w:p w14:paraId="4DF81BC3">
            <w:pPr>
              <w:spacing w:line="360" w:lineRule="auto"/>
              <w:rPr>
                <w:rFonts w:hint="eastAsia" w:ascii="Times New Roman" w:hAnsi="Times New Roman"/>
                <w:b/>
                <w:bCs/>
                <w:color w:val="auto"/>
                <w:sz w:val="24"/>
              </w:rPr>
            </w:pPr>
            <w:r>
              <w:rPr>
                <w:rFonts w:hint="eastAsia" w:ascii="Times New Roman" w:hAnsi="Times New Roman"/>
                <w:b/>
                <w:bCs/>
                <w:color w:val="auto"/>
                <w:sz w:val="24"/>
              </w:rPr>
              <w:t>（1）监测机构设置</w:t>
            </w:r>
          </w:p>
          <w:p w14:paraId="5985955B">
            <w:pPr>
              <w:spacing w:line="360" w:lineRule="auto"/>
              <w:ind w:firstLine="480" w:firstLineChars="200"/>
              <w:rPr>
                <w:rFonts w:hint="eastAsia" w:ascii="Times New Roman" w:hAnsi="Times New Roman"/>
                <w:color w:val="auto"/>
                <w:sz w:val="24"/>
              </w:rPr>
            </w:pPr>
            <w:r>
              <w:rPr>
                <w:rFonts w:hint="eastAsia" w:ascii="Times New Roman" w:hAnsi="Times New Roman"/>
                <w:color w:val="auto"/>
                <w:sz w:val="24"/>
              </w:rPr>
              <w:t>本项目运营期的环境监督性监测、竣工验收监测可委托有资质的环境监测站承担；项目内简单的日常监测任务可由本项目建立的环境监测机构承担。</w:t>
            </w:r>
          </w:p>
          <w:p w14:paraId="0649A86A">
            <w:pPr>
              <w:spacing w:line="360" w:lineRule="auto"/>
              <w:rPr>
                <w:rFonts w:hint="eastAsia" w:ascii="Times New Roman" w:hAnsi="Times New Roman"/>
                <w:b/>
                <w:bCs/>
                <w:color w:val="auto"/>
                <w:sz w:val="24"/>
              </w:rPr>
            </w:pPr>
            <w:r>
              <w:rPr>
                <w:rFonts w:hint="eastAsia" w:ascii="Times New Roman" w:hAnsi="Times New Roman"/>
                <w:b/>
                <w:bCs/>
                <w:color w:val="auto"/>
                <w:sz w:val="24"/>
              </w:rPr>
              <w:t>（2）环境监测计划</w:t>
            </w:r>
          </w:p>
          <w:p w14:paraId="73260CA8">
            <w:pPr>
              <w:spacing w:line="360" w:lineRule="auto"/>
              <w:ind w:firstLine="480" w:firstLineChars="200"/>
              <w:rPr>
                <w:rFonts w:ascii="Times New Roman" w:hAnsi="Times New Roman"/>
                <w:b/>
                <w:bCs/>
                <w:color w:val="auto"/>
                <w:sz w:val="24"/>
              </w:rPr>
            </w:pPr>
            <w:r>
              <w:rPr>
                <w:rFonts w:hint="eastAsia" w:ascii="Times New Roman" w:hAnsi="Times New Roman"/>
                <w:color w:val="auto"/>
                <w:sz w:val="24"/>
              </w:rPr>
              <w:t>项目运营期环境监测计划见下表。</w:t>
            </w:r>
          </w:p>
          <w:p w14:paraId="68232F98">
            <w:pPr>
              <w:ind w:firstLine="2409" w:firstLineChars="1000"/>
              <w:jc w:val="both"/>
              <w:rPr>
                <w:rFonts w:ascii="Times New Roman" w:hAnsi="Times New Roman"/>
                <w:b/>
                <w:bCs/>
                <w:color w:val="auto"/>
                <w:sz w:val="24"/>
              </w:rPr>
            </w:pPr>
            <w:r>
              <w:rPr>
                <w:rFonts w:ascii="Times New Roman" w:hAnsi="Times New Roman"/>
                <w:b/>
                <w:bCs/>
                <w:color w:val="auto"/>
                <w:sz w:val="24"/>
              </w:rPr>
              <w:t>表</w:t>
            </w:r>
            <w:r>
              <w:rPr>
                <w:rFonts w:hint="eastAsia" w:ascii="Times New Roman" w:hAnsi="Times New Roman"/>
                <w:b/>
                <w:bCs/>
                <w:color w:val="auto"/>
                <w:sz w:val="24"/>
              </w:rPr>
              <w:t>9</w:t>
            </w:r>
            <w:r>
              <w:rPr>
                <w:rFonts w:ascii="Times New Roman" w:hAnsi="Times New Roman"/>
                <w:b/>
                <w:bCs/>
                <w:color w:val="auto"/>
                <w:sz w:val="24"/>
              </w:rPr>
              <w:t>-</w:t>
            </w:r>
            <w:r>
              <w:rPr>
                <w:rFonts w:hint="eastAsia"/>
                <w:b/>
                <w:bCs/>
                <w:color w:val="auto"/>
                <w:sz w:val="24"/>
                <w:lang w:val="en-US" w:eastAsia="zh-CN"/>
              </w:rPr>
              <w:t>2</w:t>
            </w:r>
            <w:r>
              <w:rPr>
                <w:rFonts w:ascii="Times New Roman" w:hAnsi="Times New Roman"/>
                <w:b/>
                <w:bCs/>
                <w:color w:val="auto"/>
                <w:sz w:val="24"/>
              </w:rPr>
              <w:t xml:space="preserve">  </w:t>
            </w:r>
            <w:r>
              <w:rPr>
                <w:rFonts w:hint="eastAsia" w:ascii="Times New Roman" w:hAnsi="Times New Roman"/>
                <w:b/>
                <w:bCs/>
                <w:color w:val="auto"/>
                <w:sz w:val="24"/>
              </w:rPr>
              <w:t>运营</w:t>
            </w:r>
            <w:r>
              <w:rPr>
                <w:rFonts w:ascii="Times New Roman" w:hAnsi="Times New Roman"/>
                <w:b/>
                <w:bCs/>
                <w:color w:val="auto"/>
                <w:sz w:val="24"/>
              </w:rPr>
              <w:t>期环境监测计划表</w:t>
            </w:r>
          </w:p>
          <w:tbl>
            <w:tblPr>
              <w:tblStyle w:val="24"/>
              <w:tblW w:w="872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222"/>
              <w:gridCol w:w="1335"/>
              <w:gridCol w:w="2636"/>
              <w:gridCol w:w="1439"/>
            </w:tblGrid>
            <w:tr w14:paraId="20ABF0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90" w:type="dxa"/>
                  <w:tcBorders>
                    <w:left w:val="single" w:color="auto" w:sz="4" w:space="0"/>
                  </w:tcBorders>
                  <w:vAlign w:val="center"/>
                </w:tcPr>
                <w:p w14:paraId="0DC85880">
                  <w:pPr>
                    <w:jc w:val="center"/>
                    <w:rPr>
                      <w:rFonts w:ascii="Times New Roman" w:hAnsi="Times New Roman"/>
                      <w:b/>
                      <w:bCs/>
                      <w:color w:val="auto"/>
                    </w:rPr>
                  </w:pPr>
                  <w:r>
                    <w:rPr>
                      <w:rFonts w:ascii="Times New Roman" w:hAnsi="Times New Roman"/>
                      <w:b/>
                      <w:bCs/>
                      <w:color w:val="auto"/>
                    </w:rPr>
                    <w:t>监测项目</w:t>
                  </w:r>
                </w:p>
              </w:tc>
              <w:tc>
                <w:tcPr>
                  <w:tcW w:w="2222" w:type="dxa"/>
                  <w:vAlign w:val="center"/>
                </w:tcPr>
                <w:p w14:paraId="00C05B64">
                  <w:pPr>
                    <w:jc w:val="center"/>
                    <w:rPr>
                      <w:rFonts w:ascii="Times New Roman" w:hAnsi="Times New Roman"/>
                      <w:b/>
                      <w:bCs/>
                      <w:color w:val="auto"/>
                    </w:rPr>
                  </w:pPr>
                  <w:r>
                    <w:rPr>
                      <w:rFonts w:ascii="Times New Roman" w:hAnsi="Times New Roman"/>
                      <w:b/>
                      <w:bCs/>
                      <w:color w:val="auto"/>
                    </w:rPr>
                    <w:t>监测地点</w:t>
                  </w:r>
                </w:p>
              </w:tc>
              <w:tc>
                <w:tcPr>
                  <w:tcW w:w="1335" w:type="dxa"/>
                  <w:vAlign w:val="center"/>
                </w:tcPr>
                <w:p w14:paraId="7FCB9E81">
                  <w:pPr>
                    <w:jc w:val="center"/>
                    <w:rPr>
                      <w:rFonts w:ascii="Times New Roman" w:hAnsi="Times New Roman"/>
                      <w:b/>
                      <w:bCs/>
                      <w:color w:val="auto"/>
                    </w:rPr>
                  </w:pPr>
                  <w:r>
                    <w:rPr>
                      <w:rFonts w:ascii="Times New Roman" w:hAnsi="Times New Roman"/>
                      <w:b/>
                      <w:bCs/>
                      <w:color w:val="auto"/>
                    </w:rPr>
                    <w:t>监测参数</w:t>
                  </w:r>
                </w:p>
              </w:tc>
              <w:tc>
                <w:tcPr>
                  <w:tcW w:w="2636" w:type="dxa"/>
                  <w:vAlign w:val="center"/>
                </w:tcPr>
                <w:p w14:paraId="62708A18">
                  <w:pPr>
                    <w:jc w:val="center"/>
                    <w:rPr>
                      <w:rFonts w:ascii="Times New Roman" w:hAnsi="Times New Roman"/>
                      <w:b/>
                      <w:bCs/>
                      <w:color w:val="auto"/>
                    </w:rPr>
                  </w:pPr>
                  <w:r>
                    <w:rPr>
                      <w:rFonts w:ascii="Times New Roman" w:hAnsi="Times New Roman"/>
                      <w:b/>
                      <w:bCs/>
                      <w:color w:val="auto"/>
                    </w:rPr>
                    <w:t>监测频率</w:t>
                  </w:r>
                </w:p>
              </w:tc>
              <w:tc>
                <w:tcPr>
                  <w:tcW w:w="1439" w:type="dxa"/>
                  <w:tcBorders>
                    <w:right w:val="single" w:color="auto" w:sz="4" w:space="0"/>
                  </w:tcBorders>
                  <w:vAlign w:val="center"/>
                </w:tcPr>
                <w:p w14:paraId="05F1A07F">
                  <w:pPr>
                    <w:ind w:right="-107" w:rightChars="-51"/>
                    <w:jc w:val="center"/>
                    <w:rPr>
                      <w:rFonts w:ascii="Times New Roman" w:hAnsi="Times New Roman"/>
                      <w:b/>
                      <w:bCs/>
                      <w:color w:val="auto"/>
                    </w:rPr>
                  </w:pPr>
                  <w:r>
                    <w:rPr>
                      <w:rFonts w:ascii="Times New Roman" w:hAnsi="Times New Roman"/>
                      <w:b/>
                      <w:bCs/>
                      <w:color w:val="auto"/>
                    </w:rPr>
                    <w:t>监测方法</w:t>
                  </w:r>
                </w:p>
              </w:tc>
            </w:tr>
            <w:tr w14:paraId="532F87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Borders>
                    <w:left w:val="single" w:color="auto" w:sz="4" w:space="0"/>
                  </w:tcBorders>
                  <w:vAlign w:val="center"/>
                </w:tcPr>
                <w:p w14:paraId="3535ABEA">
                  <w:pPr>
                    <w:jc w:val="center"/>
                    <w:rPr>
                      <w:rFonts w:ascii="Times New Roman" w:hAnsi="Times New Roman"/>
                      <w:color w:val="auto"/>
                    </w:rPr>
                  </w:pPr>
                  <w:r>
                    <w:rPr>
                      <w:rFonts w:ascii="Times New Roman" w:hAnsi="Times New Roman"/>
                      <w:color w:val="auto"/>
                    </w:rPr>
                    <w:t>噪声</w:t>
                  </w:r>
                </w:p>
              </w:tc>
              <w:tc>
                <w:tcPr>
                  <w:tcW w:w="2222" w:type="dxa"/>
                  <w:vAlign w:val="center"/>
                </w:tcPr>
                <w:p w14:paraId="2045C65F">
                  <w:pPr>
                    <w:jc w:val="center"/>
                    <w:rPr>
                      <w:rFonts w:hint="eastAsia" w:ascii="Times New Roman" w:hAnsi="Times New Roman"/>
                      <w:color w:val="auto"/>
                    </w:rPr>
                  </w:pPr>
                  <w:r>
                    <w:rPr>
                      <w:rFonts w:hint="eastAsia" w:ascii="Times New Roman" w:hAnsi="Times New Roman"/>
                      <w:color w:val="auto"/>
                    </w:rPr>
                    <w:t>项目厂界四周1m处</w:t>
                  </w:r>
                </w:p>
              </w:tc>
              <w:tc>
                <w:tcPr>
                  <w:tcW w:w="1335" w:type="dxa"/>
                  <w:vAlign w:val="center"/>
                </w:tcPr>
                <w:p w14:paraId="352DD6B6">
                  <w:pPr>
                    <w:jc w:val="center"/>
                    <w:rPr>
                      <w:rFonts w:ascii="Times New Roman" w:hAnsi="Times New Roman"/>
                      <w:color w:val="auto"/>
                    </w:rPr>
                  </w:pPr>
                  <w:r>
                    <w:rPr>
                      <w:rFonts w:ascii="Times New Roman" w:hAnsi="Times New Roman"/>
                      <w:color w:val="auto"/>
                    </w:rPr>
                    <w:t>等效连续A声级</w:t>
                  </w:r>
                </w:p>
              </w:tc>
              <w:tc>
                <w:tcPr>
                  <w:tcW w:w="2636" w:type="dxa"/>
                  <w:vAlign w:val="center"/>
                </w:tcPr>
                <w:p w14:paraId="45C8C0F5">
                  <w:pPr>
                    <w:jc w:val="center"/>
                    <w:rPr>
                      <w:rFonts w:ascii="Times New Roman" w:hAnsi="Times New Roman"/>
                      <w:color w:val="auto"/>
                    </w:rPr>
                  </w:pPr>
                  <w:r>
                    <w:rPr>
                      <w:rFonts w:hint="eastAsia" w:ascii="宋体" w:hAnsi="宋体" w:cs="宋体"/>
                      <w:color w:val="auto"/>
                      <w:szCs w:val="21"/>
                    </w:rPr>
                    <w:t>连续2天，1天/2次，分别测昼、夜值</w:t>
                  </w:r>
                </w:p>
              </w:tc>
              <w:tc>
                <w:tcPr>
                  <w:tcW w:w="1439" w:type="dxa"/>
                  <w:tcBorders>
                    <w:right w:val="single" w:color="auto" w:sz="4" w:space="0"/>
                  </w:tcBorders>
                  <w:vAlign w:val="center"/>
                </w:tcPr>
                <w:p w14:paraId="60F6F8C2">
                  <w:pPr>
                    <w:jc w:val="center"/>
                    <w:rPr>
                      <w:rFonts w:ascii="Times New Roman" w:hAnsi="Times New Roman"/>
                      <w:color w:val="auto"/>
                    </w:rPr>
                  </w:pPr>
                  <w:r>
                    <w:rPr>
                      <w:rFonts w:ascii="Times New Roman" w:hAnsi="Times New Roman"/>
                      <w:color w:val="auto"/>
                    </w:rPr>
                    <w:t>按国家标准方法进行</w:t>
                  </w:r>
                </w:p>
              </w:tc>
            </w:tr>
            <w:tr w14:paraId="1F0898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Merge w:val="restart"/>
                  <w:tcBorders>
                    <w:left w:val="single" w:color="auto" w:sz="4" w:space="0"/>
                  </w:tcBorders>
                  <w:vAlign w:val="center"/>
                </w:tcPr>
                <w:p w14:paraId="3323E3A8">
                  <w:pPr>
                    <w:jc w:val="center"/>
                    <w:rPr>
                      <w:rFonts w:hint="eastAsia" w:ascii="Times New Roman" w:hAnsi="Times New Roman" w:eastAsia="宋体"/>
                      <w:color w:val="auto"/>
                      <w:lang w:eastAsia="zh-CN"/>
                    </w:rPr>
                  </w:pPr>
                  <w:r>
                    <w:rPr>
                      <w:rFonts w:hint="eastAsia" w:ascii="Times New Roman" w:hAnsi="Times New Roman"/>
                      <w:color w:val="auto"/>
                      <w:lang w:eastAsia="zh-CN"/>
                    </w:rPr>
                    <w:t>废气</w:t>
                  </w:r>
                </w:p>
              </w:tc>
              <w:tc>
                <w:tcPr>
                  <w:tcW w:w="2222" w:type="dxa"/>
                  <w:vAlign w:val="center"/>
                </w:tcPr>
                <w:p w14:paraId="5DCF4FB8">
                  <w:pPr>
                    <w:jc w:val="center"/>
                    <w:rPr>
                      <w:rFonts w:hint="eastAsia" w:ascii="Times New Roman" w:hAnsi="Times New Roman" w:eastAsia="宋体"/>
                      <w:color w:val="auto"/>
                      <w:lang w:eastAsia="zh-CN"/>
                    </w:rPr>
                  </w:pPr>
                  <w:r>
                    <w:rPr>
                      <w:rFonts w:hint="eastAsia" w:ascii="Times New Roman" w:hAnsi="Times New Roman"/>
                      <w:color w:val="auto"/>
                      <w:lang w:eastAsia="zh-CN"/>
                    </w:rPr>
                    <w:t>厂界四周</w:t>
                  </w:r>
                </w:p>
              </w:tc>
              <w:tc>
                <w:tcPr>
                  <w:tcW w:w="1335" w:type="dxa"/>
                  <w:vAlign w:val="center"/>
                </w:tcPr>
                <w:p w14:paraId="3FE48A69">
                  <w:pPr>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TSP</w:t>
                  </w:r>
                </w:p>
              </w:tc>
              <w:tc>
                <w:tcPr>
                  <w:tcW w:w="2636" w:type="dxa"/>
                  <w:vAlign w:val="center"/>
                </w:tcPr>
                <w:p w14:paraId="11C14E50">
                  <w:pPr>
                    <w:jc w:val="center"/>
                    <w:rPr>
                      <w:rFonts w:ascii="Times New Roman" w:hAnsi="Times New Roman"/>
                      <w:color w:val="auto"/>
                      <w:szCs w:val="21"/>
                    </w:rPr>
                  </w:pPr>
                  <w:r>
                    <w:rPr>
                      <w:rFonts w:hint="eastAsia" w:ascii="宋体" w:hAnsi="宋体" w:eastAsia="宋体" w:cs="宋体"/>
                      <w:color w:val="auto"/>
                      <w:sz w:val="21"/>
                      <w:szCs w:val="21"/>
                      <w:highlight w:val="none"/>
                      <w:u w:val="none" w:color="auto"/>
                    </w:rPr>
                    <w:t>监测2天</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highlight w:val="none"/>
                      <w:u w:val="none" w:color="auto"/>
                    </w:rPr>
                    <w:t>非连续采样，至少3个</w:t>
                  </w:r>
                </w:p>
              </w:tc>
              <w:tc>
                <w:tcPr>
                  <w:tcW w:w="1439" w:type="dxa"/>
                  <w:tcBorders>
                    <w:right w:val="single" w:color="auto" w:sz="4" w:space="0"/>
                  </w:tcBorders>
                  <w:vAlign w:val="center"/>
                </w:tcPr>
                <w:p w14:paraId="3DF67786">
                  <w:pPr>
                    <w:jc w:val="center"/>
                    <w:rPr>
                      <w:rFonts w:hint="eastAsia" w:ascii="Times New Roman" w:hAnsi="Times New Roman" w:eastAsia="宋体"/>
                      <w:color w:val="auto"/>
                      <w:lang w:eastAsia="zh-CN"/>
                    </w:rPr>
                  </w:pPr>
                  <w:r>
                    <w:rPr>
                      <w:rFonts w:hint="eastAsia" w:ascii="Times New Roman" w:hAnsi="Times New Roman"/>
                      <w:color w:val="auto"/>
                      <w:lang w:eastAsia="zh-CN"/>
                    </w:rPr>
                    <w:t>按国家标准方法进行</w:t>
                  </w:r>
                </w:p>
              </w:tc>
            </w:tr>
            <w:tr w14:paraId="6E0A5D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Merge w:val="continue"/>
                  <w:tcBorders>
                    <w:left w:val="single" w:color="auto" w:sz="4" w:space="0"/>
                  </w:tcBorders>
                  <w:vAlign w:val="center"/>
                </w:tcPr>
                <w:p w14:paraId="72F29167">
                  <w:pPr>
                    <w:jc w:val="center"/>
                    <w:rPr>
                      <w:rFonts w:ascii="Times New Roman" w:hAnsi="Times New Roman"/>
                      <w:color w:val="auto"/>
                    </w:rPr>
                  </w:pPr>
                </w:p>
              </w:tc>
              <w:tc>
                <w:tcPr>
                  <w:tcW w:w="2222" w:type="dxa"/>
                  <w:vAlign w:val="center"/>
                </w:tcPr>
                <w:p w14:paraId="72E329FC">
                  <w:pPr>
                    <w:jc w:val="center"/>
                    <w:rPr>
                      <w:rFonts w:hint="eastAsia" w:ascii="Times New Roman" w:hAnsi="Times New Roman" w:eastAsia="宋体"/>
                      <w:color w:val="auto"/>
                      <w:lang w:eastAsia="zh-CN"/>
                    </w:rPr>
                  </w:pPr>
                  <w:r>
                    <w:rPr>
                      <w:rFonts w:hint="eastAsia" w:ascii="Times New Roman" w:hAnsi="Times New Roman"/>
                      <w:color w:val="auto"/>
                      <w:lang w:eastAsia="zh-CN"/>
                    </w:rPr>
                    <w:t>排气口（有组织）</w:t>
                  </w:r>
                </w:p>
              </w:tc>
              <w:tc>
                <w:tcPr>
                  <w:tcW w:w="1335" w:type="dxa"/>
                  <w:vAlign w:val="center"/>
                </w:tcPr>
                <w:p w14:paraId="5F4B3775">
                  <w:pPr>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颗粒物、二氧化硫、氮氧化物</w:t>
                  </w:r>
                </w:p>
              </w:tc>
              <w:tc>
                <w:tcPr>
                  <w:tcW w:w="2636" w:type="dxa"/>
                  <w:vAlign w:val="center"/>
                </w:tcPr>
                <w:p w14:paraId="5F06FB03">
                  <w:pPr>
                    <w:jc w:val="center"/>
                    <w:rPr>
                      <w:rFonts w:ascii="Times New Roman" w:hAnsi="Times New Roman"/>
                      <w:color w:val="auto"/>
                      <w:szCs w:val="21"/>
                    </w:rPr>
                  </w:pPr>
                  <w:r>
                    <w:rPr>
                      <w:rFonts w:hint="eastAsia" w:ascii="宋体" w:hAnsi="宋体" w:eastAsia="宋体" w:cs="宋体"/>
                      <w:color w:val="auto"/>
                      <w:sz w:val="21"/>
                      <w:szCs w:val="21"/>
                      <w:highlight w:val="none"/>
                      <w:u w:val="none" w:color="auto"/>
                    </w:rPr>
                    <w:t>监测2天</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highlight w:val="none"/>
                      <w:u w:val="none" w:color="auto"/>
                    </w:rPr>
                    <w:t>非连续采样，至少3个</w:t>
                  </w:r>
                </w:p>
              </w:tc>
              <w:tc>
                <w:tcPr>
                  <w:tcW w:w="1439" w:type="dxa"/>
                  <w:tcBorders>
                    <w:right w:val="single" w:color="auto" w:sz="4" w:space="0"/>
                  </w:tcBorders>
                  <w:vAlign w:val="center"/>
                </w:tcPr>
                <w:p w14:paraId="11FA8327">
                  <w:pPr>
                    <w:jc w:val="center"/>
                    <w:rPr>
                      <w:rFonts w:hint="eastAsia" w:ascii="Times New Roman" w:hAnsi="Times New Roman" w:eastAsia="宋体"/>
                      <w:color w:val="auto"/>
                      <w:lang w:eastAsia="zh-CN"/>
                    </w:rPr>
                  </w:pPr>
                  <w:r>
                    <w:rPr>
                      <w:rFonts w:hint="eastAsia" w:ascii="Times New Roman" w:hAnsi="Times New Roman"/>
                      <w:color w:val="auto"/>
                      <w:lang w:eastAsia="zh-CN"/>
                    </w:rPr>
                    <w:t>按国家标准方法进行</w:t>
                  </w:r>
                </w:p>
              </w:tc>
            </w:tr>
          </w:tbl>
          <w:p w14:paraId="7ED1AE7F">
            <w:pPr>
              <w:spacing w:before="156" w:beforeLines="50" w:after="156" w:afterLines="50" w:line="360" w:lineRule="auto"/>
              <w:jc w:val="left"/>
              <w:rPr>
                <w:rFonts w:ascii="Times New Roman" w:hAnsi="Times New Roman"/>
                <w:color w:val="auto"/>
                <w:sz w:val="24"/>
              </w:rPr>
            </w:pPr>
            <w:r>
              <w:rPr>
                <w:rFonts w:hint="eastAsia" w:ascii="Times New Roman" w:hAnsi="Times New Roman"/>
                <w:b/>
                <w:color w:val="auto"/>
                <w:sz w:val="24"/>
              </w:rPr>
              <w:t>3、环境监察</w:t>
            </w:r>
          </w:p>
          <w:p w14:paraId="61F3AF9B">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）环境监察范围</w:t>
            </w:r>
          </w:p>
          <w:p w14:paraId="0228A642">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环境监察的范围包括工程所在区域与工程影响区域，主要有施工现场、工程办公区域和工程附属设施、受工程建设影响造成环境污染和生态破坏的区域以及运营期受工程影响的区域。环境监察工作必须贯穿于施工准备阶段、施工阶段及工程保修阶段。</w:t>
            </w:r>
          </w:p>
          <w:p w14:paraId="26807E59">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）环境监察的工作程序</w:t>
            </w:r>
          </w:p>
          <w:p w14:paraId="2B58D704">
            <w:pPr>
              <w:autoSpaceDE w:val="0"/>
              <w:autoSpaceDN w:val="0"/>
              <w:spacing w:line="360" w:lineRule="auto"/>
              <w:ind w:firstLine="480" w:firstLineChars="200"/>
              <w:outlineLvl w:val="0"/>
              <w:rPr>
                <w:rFonts w:ascii="Times New Roman" w:hAnsi="Times New Roman"/>
                <w:color w:val="auto"/>
                <w:sz w:val="24"/>
              </w:rPr>
            </w:pPr>
            <w:r>
              <w:rPr>
                <w:rFonts w:ascii="Times New Roman" w:hAnsi="Times New Roman"/>
                <w:color w:val="auto"/>
                <w:sz w:val="24"/>
              </w:rPr>
              <w:t>环境监察工作的一般程序如下：</w:t>
            </w:r>
          </w:p>
          <w:p w14:paraId="0384D586">
            <w:pPr>
              <w:spacing w:line="360" w:lineRule="auto"/>
              <w:ind w:firstLine="570"/>
              <w:jc w:val="left"/>
              <w:rPr>
                <w:rFonts w:ascii="Times New Roman" w:hAnsi="Times New Roman"/>
                <w:color w:val="auto"/>
                <w:sz w:val="24"/>
              </w:rPr>
            </w:pPr>
            <w:r>
              <w:rPr>
                <w:rFonts w:ascii="Times New Roman" w:hAnsi="Times New Roman"/>
                <w:color w:val="auto"/>
                <w:sz w:val="24"/>
              </w:rPr>
              <w:t>①制定工程施工期环境监察计划</w:t>
            </w:r>
          </w:p>
          <w:p w14:paraId="528C1978">
            <w:pPr>
              <w:spacing w:line="360" w:lineRule="auto"/>
              <w:ind w:firstLine="570"/>
              <w:jc w:val="left"/>
              <w:rPr>
                <w:rFonts w:ascii="Times New Roman" w:hAnsi="Times New Roman"/>
                <w:color w:val="auto"/>
                <w:sz w:val="24"/>
              </w:rPr>
            </w:pPr>
            <w:r>
              <w:rPr>
                <w:rFonts w:ascii="Times New Roman" w:hAnsi="Times New Roman"/>
                <w:color w:val="auto"/>
                <w:sz w:val="24"/>
              </w:rPr>
              <w:t>②根据各项环保措施编制环境监察细则</w:t>
            </w:r>
          </w:p>
          <w:p w14:paraId="70DC2D2A">
            <w:pPr>
              <w:spacing w:line="360" w:lineRule="auto"/>
              <w:ind w:firstLine="570"/>
              <w:jc w:val="left"/>
              <w:rPr>
                <w:rFonts w:ascii="Times New Roman" w:hAnsi="Times New Roman"/>
                <w:color w:val="auto"/>
                <w:sz w:val="24"/>
              </w:rPr>
            </w:pPr>
            <w:r>
              <w:rPr>
                <w:rFonts w:ascii="Times New Roman" w:hAnsi="Times New Roman"/>
                <w:color w:val="auto"/>
                <w:sz w:val="24"/>
              </w:rPr>
              <w:t>③根据环境监察细则进行施工期环境监察</w:t>
            </w:r>
          </w:p>
          <w:p w14:paraId="53C9C1ED">
            <w:pPr>
              <w:spacing w:line="360" w:lineRule="auto"/>
              <w:ind w:firstLine="570"/>
              <w:jc w:val="left"/>
              <w:rPr>
                <w:rFonts w:ascii="Times New Roman" w:hAnsi="Times New Roman"/>
                <w:color w:val="auto"/>
                <w:sz w:val="24"/>
              </w:rPr>
            </w:pPr>
            <w:r>
              <w:rPr>
                <w:rFonts w:ascii="Times New Roman" w:hAnsi="Times New Roman"/>
                <w:color w:val="auto"/>
                <w:sz w:val="24"/>
              </w:rPr>
              <w:t>④参与工程项目完成后，向项目法人提交监察档案资料</w:t>
            </w:r>
          </w:p>
          <w:p w14:paraId="2458B2CA">
            <w:pPr>
              <w:spacing w:line="360" w:lineRule="auto"/>
              <w:ind w:firstLine="482" w:firstLineChars="200"/>
              <w:jc w:val="left"/>
              <w:rPr>
                <w:rFonts w:ascii="Times New Roman" w:hAnsi="Times New Roman"/>
                <w:b/>
                <w:bCs/>
                <w:color w:val="auto"/>
                <w:sz w:val="24"/>
              </w:rPr>
            </w:pPr>
            <w:r>
              <w:rPr>
                <w:rFonts w:hint="eastAsia" w:ascii="Times New Roman" w:hAnsi="Times New Roman"/>
                <w:b/>
                <w:bCs/>
                <w:color w:val="auto"/>
                <w:sz w:val="24"/>
                <w:lang w:eastAsia="zh-CN"/>
              </w:rPr>
              <w:t>（</w:t>
            </w:r>
            <w:r>
              <w:rPr>
                <w:rFonts w:hint="eastAsia" w:ascii="Times New Roman" w:hAnsi="Times New Roman"/>
                <w:b/>
                <w:bCs/>
                <w:color w:val="auto"/>
                <w:sz w:val="24"/>
                <w:lang w:val="en-US" w:eastAsia="zh-CN"/>
              </w:rPr>
              <w:t>3</w:t>
            </w:r>
            <w:r>
              <w:rPr>
                <w:rFonts w:hint="eastAsia" w:ascii="Times New Roman" w:hAnsi="Times New Roman"/>
                <w:b/>
                <w:bCs/>
                <w:color w:val="auto"/>
                <w:sz w:val="24"/>
              </w:rPr>
              <w:t>）</w:t>
            </w:r>
            <w:r>
              <w:rPr>
                <w:rFonts w:ascii="Times New Roman" w:hAnsi="Times New Roman"/>
                <w:b/>
                <w:bCs/>
                <w:color w:val="auto"/>
                <w:sz w:val="24"/>
              </w:rPr>
              <w:t>环境监察技术要点</w:t>
            </w:r>
          </w:p>
          <w:p w14:paraId="5082BF6C">
            <w:pPr>
              <w:spacing w:line="360" w:lineRule="auto"/>
              <w:ind w:firstLine="480" w:firstLineChars="200"/>
              <w:jc w:val="left"/>
              <w:rPr>
                <w:rFonts w:ascii="Times New Roman" w:hAnsi="Times New Roman"/>
                <w:color w:val="auto"/>
                <w:sz w:val="24"/>
              </w:rPr>
            </w:pPr>
            <w:r>
              <w:rPr>
                <w:rFonts w:ascii="Times New Roman" w:hAnsi="Times New Roman"/>
                <w:color w:val="auto"/>
                <w:sz w:val="24"/>
              </w:rPr>
              <w:t>环境监察单位应收集拟建项目的相关资料，包括项目的基本情况、环境影响评价报告表、环境保护</w:t>
            </w:r>
            <w:r>
              <w:rPr>
                <w:rFonts w:hint="eastAsia" w:ascii="Times New Roman" w:hAnsi="Times New Roman"/>
                <w:color w:val="auto"/>
                <w:sz w:val="24"/>
              </w:rPr>
              <w:t>设</w:t>
            </w:r>
            <w:r>
              <w:rPr>
                <w:rFonts w:ascii="Times New Roman" w:hAnsi="Times New Roman"/>
                <w:color w:val="auto"/>
                <w:sz w:val="24"/>
              </w:rPr>
              <w:t>计等。然后应根据收集的资料制定环境监察计划，按排污行为不同，确定不同时段的监察重点项目、监察方式及监察方法。监察过程中主要对以下重点开展工作：</w:t>
            </w:r>
          </w:p>
          <w:p w14:paraId="02A141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A、运营噪声</w:t>
            </w:r>
          </w:p>
          <w:p w14:paraId="2170EC35">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确认运营单位的产噪设备不是国家禁止生产、销售、进口、使用的淘汰设备；监督运营单位加强设备的维护，及时更换磨损的部件，降低噪声；检查噪声监测记录，发现问题及时通知运营单位整改。</w:t>
            </w:r>
          </w:p>
          <w:p w14:paraId="4FF62F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B、运营固体废物</w:t>
            </w:r>
          </w:p>
          <w:p w14:paraId="4B38332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监督运营过程产生的固体废物按规定处置。</w:t>
            </w:r>
          </w:p>
          <w:p w14:paraId="22302715">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C、运营废水</w:t>
            </w:r>
          </w:p>
          <w:p w14:paraId="2B840AF8">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监督运营单位合理利用水资源，监督运营过程产生的废水按规定处置。</w:t>
            </w:r>
          </w:p>
          <w:p w14:paraId="7A13DDB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D、运营废气</w:t>
            </w:r>
          </w:p>
          <w:p w14:paraId="6157A4CD">
            <w:pPr>
              <w:spacing w:line="360" w:lineRule="auto"/>
              <w:ind w:firstLine="480" w:firstLineChars="200"/>
              <w:jc w:val="left"/>
              <w:rPr>
                <w:rFonts w:ascii="Times New Roman" w:hAnsi="Times New Roman"/>
                <w:color w:val="auto"/>
                <w:sz w:val="24"/>
                <w:szCs w:val="24"/>
              </w:rPr>
            </w:pPr>
            <w:r>
              <w:rPr>
                <w:rFonts w:ascii="Times New Roman" w:hAnsi="Times New Roman"/>
                <w:color w:val="auto"/>
                <w:sz w:val="24"/>
                <w:szCs w:val="24"/>
              </w:rPr>
              <w:t>监督运营过程产生的</w:t>
            </w:r>
            <w:r>
              <w:rPr>
                <w:rFonts w:hint="eastAsia" w:ascii="Times New Roman" w:hAnsi="Times New Roman"/>
                <w:color w:val="auto"/>
                <w:sz w:val="24"/>
                <w:szCs w:val="24"/>
              </w:rPr>
              <w:t>废气严格</w:t>
            </w:r>
            <w:r>
              <w:rPr>
                <w:rFonts w:ascii="Times New Roman" w:hAnsi="Times New Roman"/>
                <w:color w:val="auto"/>
                <w:sz w:val="24"/>
                <w:szCs w:val="24"/>
              </w:rPr>
              <w:t>按</w:t>
            </w:r>
            <w:r>
              <w:rPr>
                <w:rFonts w:hint="eastAsia" w:ascii="Times New Roman" w:hAnsi="Times New Roman"/>
                <w:color w:val="auto"/>
                <w:sz w:val="24"/>
                <w:szCs w:val="24"/>
              </w:rPr>
              <w:t>照</w:t>
            </w:r>
            <w:r>
              <w:rPr>
                <w:rFonts w:ascii="Times New Roman" w:hAnsi="Times New Roman"/>
                <w:color w:val="auto"/>
                <w:sz w:val="24"/>
                <w:szCs w:val="24"/>
              </w:rPr>
              <w:t>规定处置。</w:t>
            </w:r>
          </w:p>
          <w:p w14:paraId="3A1B02FD">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E、水土保持</w:t>
            </w:r>
          </w:p>
          <w:p w14:paraId="1155FF27">
            <w:pPr>
              <w:spacing w:line="360" w:lineRule="auto"/>
              <w:ind w:firstLine="480" w:firstLineChars="200"/>
              <w:jc w:val="left"/>
              <w:rPr>
                <w:rFonts w:hint="eastAsia" w:ascii="宋体" w:hAnsi="宋体" w:eastAsia="宋体" w:cs="宋体"/>
                <w:b/>
                <w:bCs/>
                <w:color w:val="auto"/>
                <w:sz w:val="24"/>
              </w:rPr>
            </w:pPr>
            <w:r>
              <w:rPr>
                <w:rFonts w:hint="eastAsia" w:ascii="宋体" w:hAnsi="宋体" w:eastAsia="宋体" w:cs="宋体"/>
                <w:color w:val="auto"/>
                <w:sz w:val="24"/>
                <w:szCs w:val="24"/>
              </w:rPr>
              <w:t>加强对运营现场的绿化保护措施，防治雨季产生大量水土流失。</w:t>
            </w:r>
          </w:p>
          <w:p w14:paraId="4AF15FE5">
            <w:pPr>
              <w:spacing w:line="360" w:lineRule="auto"/>
              <w:ind w:firstLine="482" w:firstLineChars="200"/>
              <w:jc w:val="left"/>
              <w:rPr>
                <w:rFonts w:ascii="Times New Roman" w:hAnsi="Times New Roman"/>
                <w:b/>
                <w:bCs/>
                <w:color w:val="auto"/>
                <w:sz w:val="24"/>
              </w:rPr>
            </w:pPr>
            <w:r>
              <w:rPr>
                <w:rFonts w:hint="eastAsia" w:ascii="Times New Roman" w:hAnsi="Times New Roman"/>
                <w:b/>
                <w:bCs/>
                <w:color w:val="auto"/>
                <w:sz w:val="24"/>
              </w:rPr>
              <w:t>（</w:t>
            </w:r>
            <w:r>
              <w:rPr>
                <w:rFonts w:hint="eastAsia"/>
                <w:b/>
                <w:bCs/>
                <w:color w:val="auto"/>
                <w:sz w:val="24"/>
                <w:lang w:val="en-US" w:eastAsia="zh-CN"/>
              </w:rPr>
              <w:t>4</w:t>
            </w:r>
            <w:r>
              <w:rPr>
                <w:rFonts w:hint="eastAsia" w:ascii="Times New Roman" w:hAnsi="Times New Roman"/>
                <w:b/>
                <w:bCs/>
                <w:color w:val="auto"/>
                <w:sz w:val="24"/>
              </w:rPr>
              <w:t>）</w:t>
            </w:r>
            <w:r>
              <w:rPr>
                <w:rFonts w:ascii="Times New Roman" w:hAnsi="Times New Roman"/>
                <w:b/>
                <w:bCs/>
                <w:color w:val="auto"/>
                <w:sz w:val="24"/>
              </w:rPr>
              <w:t>环境监察工作内容</w:t>
            </w:r>
          </w:p>
          <w:p w14:paraId="68005D59">
            <w:pPr>
              <w:spacing w:line="360" w:lineRule="auto"/>
              <w:ind w:firstLine="480" w:firstLineChars="200"/>
              <w:jc w:val="left"/>
              <w:rPr>
                <w:rFonts w:ascii="Times New Roman" w:hAnsi="Times New Roman"/>
                <w:color w:val="auto"/>
                <w:sz w:val="24"/>
              </w:rPr>
            </w:pPr>
            <w:r>
              <w:rPr>
                <w:rFonts w:ascii="Times New Roman" w:hAnsi="Times New Roman"/>
                <w:color w:val="auto"/>
                <w:sz w:val="24"/>
              </w:rPr>
              <w:t>主要是为了保护环境而建设的各项环境保护措施(包括临时性的)进行监察，包括污水处理设施、防治噪声措施、绿化工程等。该项目各阶段环境监察计划见表</w:t>
            </w:r>
            <w:r>
              <w:rPr>
                <w:rFonts w:hint="eastAsia" w:ascii="Times New Roman" w:hAnsi="Times New Roman"/>
                <w:color w:val="auto"/>
                <w:sz w:val="24"/>
              </w:rPr>
              <w:t>9</w:t>
            </w:r>
            <w:r>
              <w:rPr>
                <w:rFonts w:ascii="Times New Roman" w:hAnsi="Times New Roman"/>
                <w:color w:val="auto"/>
                <w:sz w:val="24"/>
              </w:rPr>
              <w:t>-</w:t>
            </w:r>
            <w:r>
              <w:rPr>
                <w:rFonts w:hint="eastAsia"/>
                <w:color w:val="auto"/>
                <w:sz w:val="24"/>
                <w:lang w:val="en-US" w:eastAsia="zh-CN"/>
              </w:rPr>
              <w:t>3</w:t>
            </w:r>
            <w:r>
              <w:rPr>
                <w:rFonts w:hint="eastAsia" w:ascii="Times New Roman" w:hAnsi="Times New Roman"/>
                <w:color w:val="auto"/>
                <w:sz w:val="24"/>
              </w:rPr>
              <w:t>。</w:t>
            </w:r>
            <w:r>
              <w:rPr>
                <w:rFonts w:ascii="Times New Roman" w:hAnsi="Times New Roman"/>
                <w:color w:val="auto"/>
                <w:sz w:val="24"/>
              </w:rPr>
              <w:t xml:space="preserve"> </w:t>
            </w:r>
          </w:p>
          <w:p w14:paraId="36731B50">
            <w:pPr>
              <w:spacing w:line="360" w:lineRule="auto"/>
              <w:jc w:val="center"/>
              <w:rPr>
                <w:rFonts w:ascii="Times New Roman" w:hAnsi="Times New Roman"/>
                <w:b/>
                <w:color w:val="auto"/>
                <w:sz w:val="24"/>
              </w:rPr>
            </w:pPr>
            <w:r>
              <w:rPr>
                <w:rFonts w:ascii="Times New Roman" w:hAnsi="Times New Roman"/>
                <w:b/>
                <w:color w:val="auto"/>
                <w:sz w:val="24"/>
              </w:rPr>
              <w:t>表</w:t>
            </w:r>
            <w:r>
              <w:rPr>
                <w:rFonts w:hint="eastAsia" w:ascii="Times New Roman" w:hAnsi="Times New Roman"/>
                <w:b/>
                <w:color w:val="auto"/>
                <w:sz w:val="24"/>
              </w:rPr>
              <w:t>9</w:t>
            </w:r>
            <w:r>
              <w:rPr>
                <w:rFonts w:ascii="Times New Roman" w:hAnsi="Times New Roman"/>
                <w:b/>
                <w:color w:val="auto"/>
                <w:sz w:val="24"/>
              </w:rPr>
              <w:t>-</w:t>
            </w:r>
            <w:r>
              <w:rPr>
                <w:rFonts w:hint="eastAsia"/>
                <w:b/>
                <w:color w:val="auto"/>
                <w:sz w:val="24"/>
                <w:lang w:val="en-US" w:eastAsia="zh-CN"/>
              </w:rPr>
              <w:t>3</w:t>
            </w:r>
            <w:r>
              <w:rPr>
                <w:rFonts w:ascii="Times New Roman" w:hAnsi="Times New Roman"/>
                <w:b/>
                <w:color w:val="auto"/>
                <w:sz w:val="24"/>
              </w:rPr>
              <w:t xml:space="preserve">  项目环境监察内容</w:t>
            </w:r>
          </w:p>
          <w:tbl>
            <w:tblPr>
              <w:tblStyle w:val="24"/>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685"/>
              <w:gridCol w:w="5928"/>
              <w:gridCol w:w="778"/>
              <w:gridCol w:w="945"/>
            </w:tblGrid>
            <w:tr w14:paraId="2450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71" w:type="dxa"/>
                  <w:gridSpan w:val="2"/>
                  <w:tcBorders>
                    <w:top w:val="single" w:color="auto" w:sz="4" w:space="0"/>
                  </w:tcBorders>
                  <w:noWrap w:val="0"/>
                  <w:vAlign w:val="center"/>
                </w:tcPr>
                <w:p w14:paraId="7C2A286E">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环境问题</w:t>
                  </w:r>
                </w:p>
              </w:tc>
              <w:tc>
                <w:tcPr>
                  <w:tcW w:w="5928" w:type="dxa"/>
                  <w:noWrap w:val="0"/>
                  <w:vAlign w:val="center"/>
                </w:tcPr>
                <w:p w14:paraId="142A16CA">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环保措施要求</w:t>
                  </w:r>
                </w:p>
              </w:tc>
              <w:tc>
                <w:tcPr>
                  <w:tcW w:w="778" w:type="dxa"/>
                  <w:noWrap w:val="0"/>
                  <w:vAlign w:val="center"/>
                </w:tcPr>
                <w:p w14:paraId="6A80D887">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执行单位</w:t>
                  </w:r>
                </w:p>
              </w:tc>
              <w:tc>
                <w:tcPr>
                  <w:tcW w:w="945" w:type="dxa"/>
                  <w:noWrap w:val="0"/>
                  <w:vAlign w:val="center"/>
                </w:tcPr>
                <w:p w14:paraId="58149C86">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监督管理部门</w:t>
                  </w:r>
                </w:p>
              </w:tc>
            </w:tr>
            <w:tr w14:paraId="048E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86" w:type="dxa"/>
                  <w:vMerge w:val="restart"/>
                  <w:noWrap w:val="0"/>
                  <w:vAlign w:val="center"/>
                </w:tcPr>
                <w:p w14:paraId="72472F1B">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运营期</w:t>
                  </w:r>
                </w:p>
              </w:tc>
              <w:tc>
                <w:tcPr>
                  <w:tcW w:w="685" w:type="dxa"/>
                  <w:noWrap w:val="0"/>
                  <w:vAlign w:val="center"/>
                </w:tcPr>
                <w:p w14:paraId="6C4553DF">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废气</w:t>
                  </w:r>
                </w:p>
              </w:tc>
              <w:tc>
                <w:tcPr>
                  <w:tcW w:w="5928" w:type="dxa"/>
                  <w:noWrap w:val="0"/>
                  <w:vAlign w:val="center"/>
                </w:tcPr>
                <w:p w14:paraId="7A0E94E7">
                  <w:pPr>
                    <w:spacing w:line="240" w:lineRule="auto"/>
                    <w:outlineLvl w:val="0"/>
                    <w:rPr>
                      <w:rFonts w:hint="default" w:ascii="Times New Roman" w:hAnsi="Times New Roman" w:eastAsia="宋体" w:cs="Times New Roman"/>
                      <w:color w:val="auto"/>
                      <w:sz w:val="21"/>
                      <w:szCs w:val="21"/>
                      <w:highlight w:val="none"/>
                      <w:u w:val="none" w:color="auto"/>
                    </w:rPr>
                  </w:pPr>
                  <w:r>
                    <w:rPr>
                      <w:rFonts w:hint="eastAsia" w:ascii="宋体" w:hAnsi="宋体" w:eastAsia="宋体" w:cs="宋体"/>
                      <w:color w:val="auto"/>
                      <w:sz w:val="21"/>
                      <w:szCs w:val="21"/>
                      <w:lang w:eastAsia="zh-CN"/>
                    </w:rPr>
                    <w:t>烘干机运行时</w:t>
                  </w:r>
                  <w:r>
                    <w:rPr>
                      <w:rFonts w:hint="eastAsia" w:ascii="宋体" w:hAnsi="宋体" w:cs="宋体"/>
                      <w:color w:val="auto"/>
                      <w:sz w:val="21"/>
                      <w:szCs w:val="21"/>
                      <w:lang w:eastAsia="zh-CN"/>
                    </w:rPr>
                    <w:t>热风炉</w:t>
                  </w:r>
                  <w:r>
                    <w:rPr>
                      <w:rFonts w:hint="eastAsia" w:ascii="宋体" w:hAnsi="宋体" w:eastAsia="宋体" w:cs="宋体"/>
                      <w:color w:val="auto"/>
                      <w:sz w:val="21"/>
                      <w:szCs w:val="21"/>
                      <w:lang w:eastAsia="zh-CN"/>
                    </w:rPr>
                    <w:t>生物质燃料燃烧产生的烟尘</w:t>
                  </w:r>
                  <w:r>
                    <w:rPr>
                      <w:rFonts w:hint="eastAsia" w:ascii="宋体" w:hAnsi="宋体" w:cs="宋体"/>
                      <w:color w:val="auto"/>
                      <w:sz w:val="21"/>
                      <w:szCs w:val="21"/>
                      <w:lang w:eastAsia="zh-CN"/>
                    </w:rPr>
                    <w:t>统一</w:t>
                  </w:r>
                  <w:r>
                    <w:rPr>
                      <w:rFonts w:hint="eastAsia" w:ascii="宋体" w:hAnsi="宋体" w:eastAsia="宋体" w:cs="宋体"/>
                      <w:color w:val="auto"/>
                      <w:sz w:val="21"/>
                      <w:szCs w:val="21"/>
                      <w:lang w:eastAsia="zh-CN"/>
                    </w:rPr>
                    <w:t>经过</w:t>
                  </w:r>
                  <w:r>
                    <w:rPr>
                      <w:rFonts w:hint="eastAsia" w:ascii="宋体" w:hAnsi="宋体" w:cs="宋体"/>
                      <w:color w:val="auto"/>
                      <w:sz w:val="21"/>
                      <w:szCs w:val="21"/>
                      <w:lang w:val="en-US" w:eastAsia="zh-CN"/>
                    </w:rPr>
                    <w:t>1套</w:t>
                  </w:r>
                  <w:r>
                    <w:rPr>
                      <w:rFonts w:hint="eastAsia" w:ascii="宋体" w:hAnsi="宋体" w:eastAsia="宋体" w:cs="宋体"/>
                      <w:color w:val="auto"/>
                      <w:sz w:val="21"/>
                      <w:szCs w:val="21"/>
                      <w:lang w:eastAsia="zh-CN"/>
                    </w:rPr>
                    <w:t>旋风</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布袋除尘器处理后</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通过不低于</w:t>
                  </w:r>
                  <w:r>
                    <w:rPr>
                      <w:rFonts w:hint="eastAsia" w:ascii="宋体" w:hAnsi="宋体" w:cs="宋体"/>
                      <w:color w:val="auto"/>
                      <w:sz w:val="21"/>
                      <w:szCs w:val="21"/>
                      <w:lang w:val="en-US" w:eastAsia="zh-CN"/>
                    </w:rPr>
                    <w:t>1根3</w:t>
                  </w:r>
                  <w:r>
                    <w:rPr>
                      <w:rFonts w:hint="eastAsia" w:ascii="宋体" w:hAnsi="宋体" w:eastAsia="宋体" w:cs="宋体"/>
                      <w:color w:val="auto"/>
                      <w:sz w:val="21"/>
                      <w:szCs w:val="21"/>
                      <w:lang w:val="en-US" w:eastAsia="zh-CN"/>
                    </w:rPr>
                    <w:t>5m高的排气筒排放</w:t>
                  </w:r>
                  <w:r>
                    <w:rPr>
                      <w:rFonts w:hint="eastAsia" w:ascii="宋体" w:hAnsi="宋体" w:eastAsia="宋体" w:cs="宋体"/>
                      <w:color w:val="auto"/>
                      <w:sz w:val="21"/>
                      <w:szCs w:val="21"/>
                    </w:rPr>
                    <w:t>；</w:t>
                  </w:r>
                  <w:r>
                    <w:rPr>
                      <w:rFonts w:hint="eastAsia" w:ascii="宋体" w:hAnsi="宋体" w:cs="宋体"/>
                      <w:color w:val="auto"/>
                      <w:sz w:val="21"/>
                      <w:szCs w:val="21"/>
                      <w:lang w:eastAsia="zh-CN"/>
                    </w:rPr>
                    <w:t>粉尘经门窗阻隔、空气稀释扩散后，对环境影响较小；</w:t>
                  </w:r>
                  <w:r>
                    <w:rPr>
                      <w:rFonts w:hint="eastAsia" w:ascii="宋体" w:hAnsi="宋体" w:eastAsia="宋体" w:cs="宋体"/>
                      <w:color w:val="auto"/>
                      <w:sz w:val="21"/>
                      <w:szCs w:val="21"/>
                      <w:lang w:eastAsia="zh-CN"/>
                    </w:rPr>
                    <w:t>厨房油烟</w:t>
                  </w:r>
                  <w:r>
                    <w:rPr>
                      <w:rFonts w:hint="eastAsia" w:ascii="宋体" w:hAnsi="宋体" w:eastAsia="宋体" w:cs="宋体"/>
                      <w:color w:val="auto"/>
                      <w:kern w:val="0"/>
                      <w:sz w:val="21"/>
                      <w:szCs w:val="21"/>
                      <w:highlight w:val="none"/>
                      <w:u w:val="none" w:color="auto"/>
                      <w:lang w:eastAsia="zh-CN"/>
                    </w:rPr>
                    <w:t>通过油烟净化器（油烟去除率不低于</w:t>
                  </w:r>
                  <w:r>
                    <w:rPr>
                      <w:rFonts w:hint="eastAsia" w:ascii="宋体" w:hAnsi="宋体" w:eastAsia="宋体" w:cs="宋体"/>
                      <w:color w:val="auto"/>
                      <w:kern w:val="0"/>
                      <w:sz w:val="21"/>
                      <w:szCs w:val="21"/>
                      <w:highlight w:val="none"/>
                      <w:u w:val="none" w:color="auto"/>
                      <w:lang w:val="en-US" w:eastAsia="zh-CN"/>
                    </w:rPr>
                    <w:t>60%</w:t>
                  </w:r>
                  <w:r>
                    <w:rPr>
                      <w:rFonts w:hint="eastAsia" w:ascii="宋体" w:hAnsi="宋体" w:eastAsia="宋体" w:cs="宋体"/>
                      <w:color w:val="auto"/>
                      <w:kern w:val="0"/>
                      <w:sz w:val="21"/>
                      <w:szCs w:val="21"/>
                      <w:highlight w:val="none"/>
                      <w:u w:val="none" w:color="auto"/>
                      <w:lang w:eastAsia="zh-CN"/>
                    </w:rPr>
                    <w:t>）处理后达标排放</w:t>
                  </w:r>
                  <w:r>
                    <w:rPr>
                      <w:rFonts w:hint="eastAsia" w:ascii="宋体" w:hAnsi="宋体" w:eastAsia="宋体" w:cs="宋体"/>
                      <w:color w:val="auto"/>
                      <w:sz w:val="21"/>
                      <w:szCs w:val="21"/>
                    </w:rPr>
                    <w:t>；</w:t>
                  </w:r>
                </w:p>
              </w:tc>
              <w:tc>
                <w:tcPr>
                  <w:tcW w:w="778" w:type="dxa"/>
                  <w:vMerge w:val="restart"/>
                  <w:noWrap w:val="0"/>
                  <w:vAlign w:val="center"/>
                </w:tcPr>
                <w:p w14:paraId="73E94E9B">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经营单位</w:t>
                  </w:r>
                </w:p>
              </w:tc>
              <w:tc>
                <w:tcPr>
                  <w:tcW w:w="945" w:type="dxa"/>
                  <w:vMerge w:val="restart"/>
                  <w:noWrap w:val="0"/>
                  <w:vAlign w:val="center"/>
                </w:tcPr>
                <w:p w14:paraId="3F582909">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芒市</w:t>
                  </w:r>
                  <w:r>
                    <w:rPr>
                      <w:rFonts w:hint="default" w:ascii="Times New Roman" w:hAnsi="Times New Roman" w:eastAsia="宋体" w:cs="Times New Roman"/>
                      <w:color w:val="auto"/>
                      <w:sz w:val="21"/>
                      <w:szCs w:val="21"/>
                      <w:highlight w:val="none"/>
                      <w:u w:val="none" w:color="auto"/>
                    </w:rPr>
                    <w:t>环保局环境监察</w:t>
                  </w:r>
                  <w:r>
                    <w:rPr>
                      <w:rFonts w:hint="default" w:ascii="Times New Roman" w:hAnsi="Times New Roman" w:eastAsia="宋体" w:cs="Times New Roman"/>
                      <w:color w:val="auto"/>
                      <w:sz w:val="21"/>
                      <w:szCs w:val="21"/>
                      <w:highlight w:val="none"/>
                      <w:u w:val="none" w:color="auto"/>
                      <w:lang w:val="en-US" w:eastAsia="zh-CN"/>
                    </w:rPr>
                    <w:t>大队</w:t>
                  </w:r>
                </w:p>
              </w:tc>
            </w:tr>
            <w:tr w14:paraId="01DA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86" w:type="dxa"/>
                  <w:vMerge w:val="continue"/>
                  <w:noWrap w:val="0"/>
                  <w:vAlign w:val="center"/>
                </w:tcPr>
                <w:p w14:paraId="5CB4D519">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685" w:type="dxa"/>
                  <w:noWrap w:val="0"/>
                  <w:vAlign w:val="center"/>
                </w:tcPr>
                <w:p w14:paraId="0BF81EF1">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废水</w:t>
                  </w:r>
                </w:p>
              </w:tc>
              <w:tc>
                <w:tcPr>
                  <w:tcW w:w="5928" w:type="dxa"/>
                  <w:noWrap w:val="0"/>
                  <w:vAlign w:val="center"/>
                </w:tcPr>
                <w:p w14:paraId="6AD38EDA">
                  <w:pPr>
                    <w:keepNext w:val="0"/>
                    <w:keepLines w:val="0"/>
                    <w:pageBreakBefore w:val="0"/>
                    <w:kinsoku/>
                    <w:wordWrap/>
                    <w:overflowPunct/>
                    <w:topLinePunct w:val="0"/>
                    <w:bidi w:val="0"/>
                    <w:spacing w:before="0" w:beforeLines="0" w:after="0" w:afterLines="0" w:line="240" w:lineRule="auto"/>
                    <w:ind w:right="0" w:rightChars="0"/>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snapToGrid/>
                      <w:color w:val="auto"/>
                      <w:sz w:val="21"/>
                      <w:highlight w:val="none"/>
                      <w:u w:val="none" w:color="auto"/>
                      <w:lang w:eastAsia="zh-CN"/>
                    </w:rPr>
                    <w:t>生活污水</w:t>
                  </w:r>
                  <w:r>
                    <w:rPr>
                      <w:rFonts w:hint="default" w:ascii="Times New Roman" w:hAnsi="Times New Roman" w:eastAsia="宋体" w:cs="Times New Roman"/>
                      <w:snapToGrid/>
                      <w:color w:val="auto"/>
                      <w:sz w:val="21"/>
                      <w:highlight w:val="none"/>
                      <w:u w:val="none" w:color="auto"/>
                      <w:lang w:val="en-US" w:eastAsia="zh-CN"/>
                    </w:rPr>
                    <w:t>中</w:t>
                  </w:r>
                  <w:r>
                    <w:rPr>
                      <w:rFonts w:hint="default" w:ascii="Times New Roman" w:hAnsi="Times New Roman" w:eastAsia="宋体" w:cs="Times New Roman"/>
                      <w:color w:val="auto"/>
                      <w:sz w:val="21"/>
                      <w:highlight w:val="none"/>
                      <w:u w:val="none" w:color="auto"/>
                      <w:lang w:val="en-US" w:eastAsia="zh-CN"/>
                    </w:rPr>
                    <w:t>食堂废水经隔油池处理后</w:t>
                  </w:r>
                  <w:r>
                    <w:rPr>
                      <w:rFonts w:hint="eastAsia" w:ascii="Times New Roman" w:hAnsi="Times New Roman" w:cs="Times New Roman"/>
                      <w:color w:val="auto"/>
                      <w:sz w:val="21"/>
                      <w:highlight w:val="none"/>
                      <w:u w:val="none" w:color="auto"/>
                      <w:lang w:val="en-US" w:eastAsia="zh-CN"/>
                    </w:rPr>
                    <w:t>与其他生活污水</w:t>
                  </w:r>
                  <w:r>
                    <w:rPr>
                      <w:rFonts w:hint="default" w:ascii="Times New Roman" w:hAnsi="Times New Roman" w:eastAsia="宋体" w:cs="Times New Roman"/>
                      <w:color w:val="auto"/>
                      <w:sz w:val="21"/>
                      <w:highlight w:val="none"/>
                      <w:u w:val="none" w:color="auto"/>
                      <w:lang w:val="en-US" w:eastAsia="zh-CN"/>
                    </w:rPr>
                    <w:t>混合经化粪池处理</w:t>
                  </w:r>
                  <w:r>
                    <w:rPr>
                      <w:rFonts w:hint="eastAsia" w:ascii="Times New Roman" w:hAnsi="Times New Roman" w:cs="Times New Roman"/>
                      <w:color w:val="auto"/>
                      <w:sz w:val="21"/>
                      <w:highlight w:val="none"/>
                      <w:u w:val="none" w:color="auto"/>
                      <w:lang w:val="en-US" w:eastAsia="zh-CN"/>
                    </w:rPr>
                    <w:t>后委托周围农民清掏作为农肥。</w:t>
                  </w:r>
                </w:p>
              </w:tc>
              <w:tc>
                <w:tcPr>
                  <w:tcW w:w="778" w:type="dxa"/>
                  <w:vMerge w:val="continue"/>
                  <w:noWrap w:val="0"/>
                  <w:vAlign w:val="center"/>
                </w:tcPr>
                <w:p w14:paraId="5D98712B">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945" w:type="dxa"/>
                  <w:vMerge w:val="continue"/>
                  <w:noWrap w:val="0"/>
                  <w:vAlign w:val="center"/>
                </w:tcPr>
                <w:p w14:paraId="44B027AF">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r>
            <w:tr w14:paraId="0A63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dxa"/>
                  <w:vMerge w:val="continue"/>
                  <w:noWrap w:val="0"/>
                  <w:vAlign w:val="center"/>
                </w:tcPr>
                <w:p w14:paraId="40F1C9C1">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685" w:type="dxa"/>
                  <w:noWrap w:val="0"/>
                  <w:vAlign w:val="center"/>
                </w:tcPr>
                <w:p w14:paraId="2312D999">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噪声</w:t>
                  </w:r>
                </w:p>
              </w:tc>
              <w:tc>
                <w:tcPr>
                  <w:tcW w:w="5928" w:type="dxa"/>
                  <w:noWrap w:val="0"/>
                  <w:vAlign w:val="center"/>
                </w:tcPr>
                <w:p w14:paraId="616E89F6">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imes New Roman" w:hAnsi="Times New Roman" w:eastAsia="宋体" w:cs="Times New Roman"/>
                      <w:color w:val="auto"/>
                      <w:sz w:val="21"/>
                      <w:szCs w:val="21"/>
                      <w:highlight w:val="none"/>
                      <w:u w:val="none" w:color="auto"/>
                      <w:lang w:eastAsia="zh-CN"/>
                    </w:rPr>
                  </w:pPr>
                  <w:r>
                    <w:rPr>
                      <w:rFonts w:ascii="Times New Roman" w:hAnsi="Times New Roman"/>
                      <w:bCs/>
                      <w:color w:val="auto"/>
                      <w:sz w:val="21"/>
                      <w:szCs w:val="21"/>
                    </w:rPr>
                    <w:t>合理规划布局、选用低噪设备</w:t>
                  </w:r>
                  <w:r>
                    <w:rPr>
                      <w:rFonts w:hint="eastAsia" w:ascii="Times New Roman" w:hAnsi="Times New Roman"/>
                      <w:bCs/>
                      <w:color w:val="auto"/>
                      <w:sz w:val="21"/>
                      <w:szCs w:val="21"/>
                      <w:lang w:eastAsia="zh-CN"/>
                    </w:rPr>
                    <w:t>，定期管理维护</w:t>
                  </w:r>
                </w:p>
              </w:tc>
              <w:tc>
                <w:tcPr>
                  <w:tcW w:w="778" w:type="dxa"/>
                  <w:vMerge w:val="continue"/>
                  <w:noWrap w:val="0"/>
                  <w:vAlign w:val="center"/>
                </w:tcPr>
                <w:p w14:paraId="36E13557">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945" w:type="dxa"/>
                  <w:vMerge w:val="continue"/>
                  <w:noWrap w:val="0"/>
                  <w:vAlign w:val="center"/>
                </w:tcPr>
                <w:p w14:paraId="6F431E7D">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r>
            <w:tr w14:paraId="48A5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6" w:type="dxa"/>
                  <w:vMerge w:val="continue"/>
                  <w:noWrap w:val="0"/>
                  <w:vAlign w:val="center"/>
                </w:tcPr>
                <w:p w14:paraId="02E35003">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685" w:type="dxa"/>
                  <w:noWrap w:val="0"/>
                  <w:vAlign w:val="center"/>
                </w:tcPr>
                <w:p w14:paraId="6E423264">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固废</w:t>
                  </w:r>
                </w:p>
              </w:tc>
              <w:tc>
                <w:tcPr>
                  <w:tcW w:w="5928" w:type="dxa"/>
                  <w:noWrap w:val="0"/>
                  <w:vAlign w:val="center"/>
                </w:tcPr>
                <w:p w14:paraId="2ECE8FF3">
                  <w:pPr>
                    <w:rPr>
                      <w:rFonts w:hint="eastAsia" w:ascii="Times New Roman" w:hAnsi="Times New Roman"/>
                      <w:bCs/>
                      <w:color w:val="auto"/>
                      <w:sz w:val="21"/>
                      <w:szCs w:val="21"/>
                      <w:lang w:eastAsia="zh-CN"/>
                    </w:rPr>
                  </w:pPr>
                  <w:r>
                    <w:rPr>
                      <w:rFonts w:hint="eastAsia" w:ascii="Times New Roman" w:hAnsi="Times New Roman"/>
                      <w:bCs/>
                      <w:color w:val="auto"/>
                      <w:sz w:val="21"/>
                      <w:szCs w:val="21"/>
                    </w:rPr>
                    <w:t>生活</w:t>
                  </w:r>
                  <w:r>
                    <w:rPr>
                      <w:rFonts w:ascii="Times New Roman" w:hAnsi="Times New Roman"/>
                      <w:bCs/>
                      <w:color w:val="auto"/>
                      <w:sz w:val="21"/>
                      <w:szCs w:val="21"/>
                    </w:rPr>
                    <w:t>垃圾</w:t>
                  </w:r>
                  <w:r>
                    <w:rPr>
                      <w:rFonts w:hint="eastAsia" w:ascii="Times New Roman" w:hAnsi="Times New Roman"/>
                      <w:color w:val="auto"/>
                      <w:sz w:val="21"/>
                      <w:szCs w:val="21"/>
                    </w:rPr>
                    <w:t>由卫生人员</w:t>
                  </w:r>
                  <w:r>
                    <w:rPr>
                      <w:rFonts w:hint="eastAsia" w:ascii="Times New Roman" w:hAnsi="Times New Roman" w:cs="宋体"/>
                      <w:color w:val="auto"/>
                      <w:sz w:val="21"/>
                      <w:szCs w:val="21"/>
                    </w:rPr>
                    <w:t>统一收集后，清运至相关部门指定地点处理</w:t>
                  </w:r>
                  <w:r>
                    <w:rPr>
                      <w:rFonts w:ascii="Times New Roman" w:hAnsi="Times New Roman"/>
                      <w:color w:val="auto"/>
                      <w:sz w:val="21"/>
                      <w:szCs w:val="21"/>
                    </w:rPr>
                    <w:t>；</w:t>
                  </w:r>
                  <w:r>
                    <w:rPr>
                      <w:rFonts w:hint="eastAsia" w:ascii="Times New Roman" w:hAnsi="Times New Roman" w:cs="宋体"/>
                      <w:color w:val="auto"/>
                      <w:sz w:val="21"/>
                      <w:szCs w:val="21"/>
                      <w:lang w:eastAsia="zh-CN"/>
                    </w:rPr>
                    <w:t>加工过程中的杂质</w:t>
                  </w:r>
                  <w:r>
                    <w:rPr>
                      <w:rFonts w:hint="eastAsia" w:ascii="Times New Roman" w:hAnsi="Times New Roman"/>
                      <w:color w:val="auto"/>
                      <w:sz w:val="21"/>
                      <w:szCs w:val="21"/>
                      <w:lang w:eastAsia="zh-CN"/>
                    </w:rPr>
                    <w:t>通过</w:t>
                  </w:r>
                  <w:r>
                    <w:rPr>
                      <w:rFonts w:hint="eastAsia" w:ascii="Times New Roman" w:hAnsi="Times New Roman"/>
                      <w:color w:val="auto"/>
                      <w:sz w:val="21"/>
                      <w:szCs w:val="21"/>
                    </w:rPr>
                    <w:t>集中收集后交由周边农户堆肥，作为农肥使用</w:t>
                  </w:r>
                  <w:r>
                    <w:rPr>
                      <w:rFonts w:ascii="Times New Roman" w:hAnsi="Times New Roman"/>
                      <w:color w:val="auto"/>
                      <w:sz w:val="21"/>
                      <w:szCs w:val="21"/>
                    </w:rPr>
                    <w:t>；</w:t>
                  </w:r>
                  <w:r>
                    <w:rPr>
                      <w:rFonts w:hint="eastAsia" w:ascii="Times New Roman" w:hAnsi="Times New Roman"/>
                      <w:color w:val="auto"/>
                      <w:sz w:val="21"/>
                      <w:szCs w:val="21"/>
                      <w:lang w:eastAsia="zh-CN"/>
                    </w:rPr>
                    <w:t>原辅材料包装物</w:t>
                  </w:r>
                  <w:r>
                    <w:rPr>
                      <w:rFonts w:hint="eastAsia" w:ascii="Times New Roman" w:hAnsi="Times New Roman"/>
                      <w:bCs/>
                      <w:color w:val="auto"/>
                      <w:sz w:val="21"/>
                      <w:szCs w:val="21"/>
                    </w:rPr>
                    <w:t>由专人收集回收利用，不外排</w:t>
                  </w:r>
                  <w:r>
                    <w:rPr>
                      <w:rFonts w:hint="eastAsia" w:ascii="Times New Roman" w:hAnsi="Times New Roman"/>
                      <w:bCs/>
                      <w:color w:val="auto"/>
                      <w:sz w:val="21"/>
                      <w:szCs w:val="21"/>
                      <w:lang w:eastAsia="zh-CN"/>
                    </w:rPr>
                    <w:t>；</w:t>
                  </w:r>
                </w:p>
                <w:p w14:paraId="4BD7AC9A">
                  <w:pPr>
                    <w:rPr>
                      <w:rFonts w:hint="default" w:ascii="Times New Roman" w:hAnsi="Times New Roman" w:eastAsia="宋体" w:cs="Times New Roman"/>
                      <w:color w:val="auto"/>
                      <w:sz w:val="21"/>
                      <w:szCs w:val="21"/>
                      <w:highlight w:val="none"/>
                      <w:u w:val="none" w:color="auto"/>
                    </w:rPr>
                  </w:pPr>
                  <w:r>
                    <w:rPr>
                      <w:rFonts w:hint="eastAsia" w:ascii="Times New Roman" w:hAnsi="Times New Roman" w:cs="宋体"/>
                      <w:color w:val="auto"/>
                      <w:sz w:val="21"/>
                      <w:szCs w:val="21"/>
                      <w:lang w:val="zh-CN"/>
                    </w:rPr>
                    <w:t>热风炉灰渣经集中收集后</w:t>
                  </w:r>
                  <w:r>
                    <w:rPr>
                      <w:rFonts w:hint="eastAsia" w:ascii="宋体" w:hAnsi="宋体" w:eastAsia="宋体" w:cs="宋体"/>
                      <w:color w:val="auto"/>
                      <w:sz w:val="21"/>
                      <w:szCs w:val="21"/>
                      <w:lang w:val="zh-CN"/>
                    </w:rPr>
                    <w:t>卖给附近农户作为农田施肥</w:t>
                  </w:r>
                  <w:r>
                    <w:rPr>
                      <w:rFonts w:hint="eastAsia" w:ascii="Times New Roman" w:hAnsi="Times New Roman" w:cs="宋体"/>
                      <w:bCs/>
                      <w:color w:val="auto"/>
                      <w:sz w:val="21"/>
                      <w:szCs w:val="21"/>
                      <w:lang w:eastAsia="zh-CN"/>
                    </w:rPr>
                    <w:t>；化粪池污泥由周边农户清掏作为农肥。</w:t>
                  </w:r>
                </w:p>
              </w:tc>
              <w:tc>
                <w:tcPr>
                  <w:tcW w:w="778" w:type="dxa"/>
                  <w:vMerge w:val="continue"/>
                  <w:noWrap w:val="0"/>
                  <w:vAlign w:val="center"/>
                </w:tcPr>
                <w:p w14:paraId="08913AC8">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945" w:type="dxa"/>
                  <w:vMerge w:val="continue"/>
                  <w:noWrap w:val="0"/>
                  <w:vAlign w:val="center"/>
                </w:tcPr>
                <w:p w14:paraId="1FFC18B7">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r>
          </w:tbl>
          <w:p w14:paraId="73F7C232">
            <w:pPr>
              <w:spacing w:before="156" w:beforeLines="50" w:after="156" w:afterLines="50" w:line="360" w:lineRule="auto"/>
              <w:jc w:val="left"/>
              <w:rPr>
                <w:rFonts w:ascii="Times New Roman" w:hAnsi="Times New Roman"/>
                <w:b/>
                <w:color w:val="auto"/>
                <w:sz w:val="24"/>
              </w:rPr>
            </w:pPr>
            <w:r>
              <w:rPr>
                <w:rFonts w:hint="eastAsia" w:ascii="Times New Roman" w:hAnsi="Times New Roman" w:cs="宋体"/>
                <w:b/>
                <w:color w:val="auto"/>
                <w:sz w:val="24"/>
                <w:szCs w:val="24"/>
              </w:rPr>
              <w:t>（</w:t>
            </w:r>
            <w:r>
              <w:rPr>
                <w:rFonts w:hint="eastAsia" w:ascii="Times New Roman" w:hAnsi="Times New Roman" w:cs="宋体"/>
                <w:b/>
                <w:color w:val="auto"/>
                <w:sz w:val="24"/>
                <w:szCs w:val="24"/>
                <w:lang w:eastAsia="zh-CN"/>
              </w:rPr>
              <w:t>四</w:t>
            </w:r>
            <w:r>
              <w:rPr>
                <w:rFonts w:hint="eastAsia" w:ascii="Times New Roman" w:hAnsi="Times New Roman" w:cs="宋体"/>
                <w:b/>
                <w:color w:val="auto"/>
                <w:sz w:val="24"/>
                <w:szCs w:val="24"/>
              </w:rPr>
              <w:t>）</w:t>
            </w:r>
            <w:r>
              <w:rPr>
                <w:rFonts w:ascii="Times New Roman" w:hAnsi="Times New Roman"/>
                <w:b/>
                <w:color w:val="auto"/>
                <w:sz w:val="24"/>
              </w:rPr>
              <w:t>“三同时”制度</w:t>
            </w:r>
          </w:p>
          <w:p w14:paraId="46518EF9">
            <w:pPr>
              <w:pStyle w:val="57"/>
              <w:spacing w:before="0" w:beforeLines="0" w:after="0" w:afterLines="0"/>
              <w:ind w:firstLine="528" w:firstLineChars="200"/>
              <w:jc w:val="left"/>
              <w:rPr>
                <w:rFonts w:ascii="Times New Roman" w:hAnsi="Times New Roman" w:eastAsia="宋体"/>
                <w:color w:val="auto"/>
                <w:szCs w:val="24"/>
              </w:rPr>
            </w:pPr>
            <w:r>
              <w:rPr>
                <w:rFonts w:ascii="Times New Roman" w:hAnsi="Times New Roman" w:eastAsia="宋体"/>
                <w:color w:val="auto"/>
                <w:szCs w:val="24"/>
              </w:rPr>
              <w:t>本项目“三同时”污染防治设施措施详见表</w:t>
            </w:r>
            <w:r>
              <w:rPr>
                <w:rFonts w:hint="eastAsia" w:ascii="Times New Roman" w:hAnsi="Times New Roman" w:eastAsia="宋体"/>
                <w:color w:val="auto"/>
                <w:szCs w:val="24"/>
              </w:rPr>
              <w:t>9-</w:t>
            </w:r>
            <w:r>
              <w:rPr>
                <w:rFonts w:hint="eastAsia" w:eastAsia="宋体"/>
                <w:color w:val="auto"/>
                <w:szCs w:val="24"/>
                <w:lang w:val="en-US" w:eastAsia="zh-CN"/>
              </w:rPr>
              <w:t>4</w:t>
            </w:r>
            <w:r>
              <w:rPr>
                <w:rFonts w:ascii="Times New Roman" w:hAnsi="Times New Roman" w:eastAsia="宋体"/>
                <w:color w:val="auto"/>
                <w:szCs w:val="24"/>
              </w:rPr>
              <w:t>。</w:t>
            </w:r>
          </w:p>
          <w:p w14:paraId="725F017D">
            <w:pPr>
              <w:spacing w:line="360" w:lineRule="auto"/>
              <w:jc w:val="center"/>
              <w:rPr>
                <w:rFonts w:ascii="Times New Roman" w:hAnsi="Times New Roman"/>
                <w:b/>
                <w:color w:val="auto"/>
                <w:sz w:val="24"/>
              </w:rPr>
            </w:pPr>
            <w:r>
              <w:rPr>
                <w:rFonts w:ascii="Times New Roman" w:hAnsi="Times New Roman"/>
                <w:b/>
                <w:color w:val="auto"/>
                <w:sz w:val="24"/>
              </w:rPr>
              <w:t>表9-</w:t>
            </w:r>
            <w:r>
              <w:rPr>
                <w:rFonts w:hint="eastAsia"/>
                <w:b/>
                <w:color w:val="auto"/>
                <w:sz w:val="24"/>
                <w:lang w:val="en-US" w:eastAsia="zh-CN"/>
              </w:rPr>
              <w:t>4</w:t>
            </w:r>
            <w:r>
              <w:rPr>
                <w:rFonts w:ascii="Times New Roman" w:hAnsi="Times New Roman"/>
                <w:b/>
                <w:color w:val="auto"/>
                <w:sz w:val="24"/>
              </w:rPr>
              <w:t xml:space="preserve">  项目“三同时”验收内容一览表</w:t>
            </w:r>
          </w:p>
          <w:tbl>
            <w:tblPr>
              <w:tblStyle w:val="24"/>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2"/>
              <w:gridCol w:w="715"/>
              <w:gridCol w:w="2655"/>
              <w:gridCol w:w="1095"/>
              <w:gridCol w:w="2940"/>
              <w:gridCol w:w="955"/>
            </w:tblGrid>
            <w:tr w14:paraId="09A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exact"/>
                <w:jc w:val="center"/>
              </w:trPr>
              <w:tc>
                <w:tcPr>
                  <w:tcW w:w="362" w:type="dxa"/>
                  <w:tcMar>
                    <w:top w:w="15" w:type="dxa"/>
                    <w:left w:w="15" w:type="dxa"/>
                    <w:bottom w:w="0" w:type="dxa"/>
                    <w:right w:w="15" w:type="dxa"/>
                  </w:tcMar>
                  <w:vAlign w:val="center"/>
                </w:tcPr>
                <w:p w14:paraId="6A56E84F">
                  <w:pPr>
                    <w:adjustRightInd w:val="0"/>
                    <w:snapToGrid w:val="0"/>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715" w:type="dxa"/>
                  <w:tcMar>
                    <w:top w:w="15" w:type="dxa"/>
                    <w:left w:w="15" w:type="dxa"/>
                    <w:bottom w:w="0" w:type="dxa"/>
                    <w:right w:w="15" w:type="dxa"/>
                  </w:tcMar>
                  <w:vAlign w:val="center"/>
                </w:tcPr>
                <w:p w14:paraId="6CF65974">
                  <w:pPr>
                    <w:adjustRightInd w:val="0"/>
                    <w:snapToGrid w:val="0"/>
                    <w:jc w:val="center"/>
                    <w:rPr>
                      <w:rFonts w:ascii="Times New Roman" w:hAnsi="Times New Roman"/>
                      <w:b/>
                      <w:bCs/>
                      <w:color w:val="auto"/>
                      <w:sz w:val="21"/>
                      <w:szCs w:val="21"/>
                    </w:rPr>
                  </w:pPr>
                  <w:r>
                    <w:rPr>
                      <w:rFonts w:ascii="Times New Roman" w:hAnsi="Times New Roman"/>
                      <w:b/>
                      <w:bCs/>
                      <w:color w:val="auto"/>
                      <w:sz w:val="21"/>
                      <w:szCs w:val="21"/>
                    </w:rPr>
                    <w:t>项目</w:t>
                  </w:r>
                </w:p>
              </w:tc>
              <w:tc>
                <w:tcPr>
                  <w:tcW w:w="2655" w:type="dxa"/>
                  <w:tcMar>
                    <w:top w:w="15" w:type="dxa"/>
                    <w:left w:w="15" w:type="dxa"/>
                    <w:bottom w:w="0" w:type="dxa"/>
                    <w:right w:w="15" w:type="dxa"/>
                  </w:tcMar>
                  <w:vAlign w:val="center"/>
                </w:tcPr>
                <w:p w14:paraId="028A5FB9">
                  <w:pPr>
                    <w:adjustRightInd w:val="0"/>
                    <w:snapToGrid w:val="0"/>
                    <w:jc w:val="center"/>
                    <w:rPr>
                      <w:rFonts w:ascii="Times New Roman" w:hAnsi="Times New Roman"/>
                      <w:b/>
                      <w:bCs/>
                      <w:color w:val="auto"/>
                      <w:sz w:val="21"/>
                      <w:szCs w:val="21"/>
                    </w:rPr>
                  </w:pPr>
                  <w:r>
                    <w:rPr>
                      <w:rFonts w:ascii="Times New Roman" w:hAnsi="Times New Roman"/>
                      <w:b/>
                      <w:bCs/>
                      <w:color w:val="auto"/>
                      <w:sz w:val="21"/>
                      <w:szCs w:val="21"/>
                    </w:rPr>
                    <w:t>环保措施</w:t>
                  </w:r>
                </w:p>
              </w:tc>
              <w:tc>
                <w:tcPr>
                  <w:tcW w:w="1095" w:type="dxa"/>
                  <w:tcMar>
                    <w:top w:w="15" w:type="dxa"/>
                    <w:left w:w="15" w:type="dxa"/>
                    <w:bottom w:w="0" w:type="dxa"/>
                    <w:right w:w="15" w:type="dxa"/>
                  </w:tcMar>
                  <w:vAlign w:val="center"/>
                </w:tcPr>
                <w:p w14:paraId="4A35F89E">
                  <w:pPr>
                    <w:adjustRightInd w:val="0"/>
                    <w:snapToGrid w:val="0"/>
                    <w:jc w:val="center"/>
                    <w:rPr>
                      <w:rFonts w:ascii="Times New Roman" w:hAnsi="Times New Roman"/>
                      <w:b/>
                      <w:bCs/>
                      <w:color w:val="auto"/>
                      <w:sz w:val="21"/>
                      <w:szCs w:val="21"/>
                    </w:rPr>
                  </w:pPr>
                  <w:r>
                    <w:rPr>
                      <w:rFonts w:ascii="Times New Roman" w:hAnsi="Times New Roman"/>
                      <w:b/>
                      <w:bCs/>
                      <w:color w:val="auto"/>
                      <w:sz w:val="21"/>
                      <w:szCs w:val="21"/>
                    </w:rPr>
                    <w:t>处理对象</w:t>
                  </w:r>
                </w:p>
              </w:tc>
              <w:tc>
                <w:tcPr>
                  <w:tcW w:w="3895" w:type="dxa"/>
                  <w:gridSpan w:val="2"/>
                  <w:tcMar>
                    <w:top w:w="15" w:type="dxa"/>
                    <w:left w:w="15" w:type="dxa"/>
                    <w:bottom w:w="0" w:type="dxa"/>
                    <w:right w:w="15" w:type="dxa"/>
                  </w:tcMar>
                  <w:vAlign w:val="center"/>
                </w:tcPr>
                <w:p w14:paraId="1E84F34C">
                  <w:pPr>
                    <w:adjustRightInd w:val="0"/>
                    <w:snapToGrid w:val="0"/>
                    <w:jc w:val="center"/>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预期效果</w:t>
                  </w:r>
                </w:p>
              </w:tc>
            </w:tr>
            <w:tr w14:paraId="0393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362" w:type="dxa"/>
                  <w:vMerge w:val="restart"/>
                  <w:tcMar>
                    <w:top w:w="15" w:type="dxa"/>
                    <w:left w:w="15" w:type="dxa"/>
                    <w:bottom w:w="0" w:type="dxa"/>
                    <w:right w:w="15" w:type="dxa"/>
                  </w:tcMar>
                  <w:vAlign w:val="center"/>
                </w:tcPr>
                <w:p w14:paraId="7089A8D1">
                  <w:pPr>
                    <w:adjustRightInd w:val="0"/>
                    <w:snapToGrid w:val="0"/>
                    <w:jc w:val="center"/>
                    <w:rPr>
                      <w:rFonts w:ascii="Times New Roman" w:hAnsi="Times New Roman"/>
                      <w:color w:val="auto"/>
                      <w:sz w:val="21"/>
                      <w:szCs w:val="21"/>
                    </w:rPr>
                  </w:pPr>
                  <w:r>
                    <w:rPr>
                      <w:rFonts w:ascii="Times New Roman" w:hAnsi="Times New Roman"/>
                      <w:color w:val="auto"/>
                      <w:sz w:val="21"/>
                      <w:szCs w:val="21"/>
                    </w:rPr>
                    <w:t>1</w:t>
                  </w:r>
                </w:p>
              </w:tc>
              <w:tc>
                <w:tcPr>
                  <w:tcW w:w="715" w:type="dxa"/>
                  <w:vMerge w:val="restart"/>
                  <w:tcMar>
                    <w:top w:w="15" w:type="dxa"/>
                    <w:left w:w="15" w:type="dxa"/>
                    <w:bottom w:w="0" w:type="dxa"/>
                    <w:right w:w="15" w:type="dxa"/>
                  </w:tcMar>
                  <w:vAlign w:val="center"/>
                </w:tcPr>
                <w:p w14:paraId="6E2CE8B6">
                  <w:pPr>
                    <w:adjustRightInd w:val="0"/>
                    <w:snapToGrid w:val="0"/>
                    <w:jc w:val="center"/>
                    <w:rPr>
                      <w:rFonts w:ascii="Times New Roman" w:hAnsi="Times New Roman"/>
                      <w:color w:val="auto"/>
                      <w:sz w:val="21"/>
                      <w:szCs w:val="21"/>
                    </w:rPr>
                  </w:pPr>
                  <w:r>
                    <w:rPr>
                      <w:rFonts w:ascii="Times New Roman" w:hAnsi="Times New Roman"/>
                      <w:color w:val="auto"/>
                      <w:sz w:val="21"/>
                      <w:szCs w:val="21"/>
                    </w:rPr>
                    <w:t>废气</w:t>
                  </w:r>
                </w:p>
              </w:tc>
              <w:tc>
                <w:tcPr>
                  <w:tcW w:w="2655" w:type="dxa"/>
                  <w:tcMar>
                    <w:top w:w="15" w:type="dxa"/>
                    <w:left w:w="15" w:type="dxa"/>
                    <w:bottom w:w="0" w:type="dxa"/>
                    <w:right w:w="15" w:type="dxa"/>
                  </w:tcMar>
                  <w:vAlign w:val="center"/>
                </w:tcPr>
                <w:p w14:paraId="58A8EA6B">
                  <w:pPr>
                    <w:spacing w:line="260" w:lineRule="exact"/>
                    <w:jc w:val="center"/>
                    <w:rPr>
                      <w:rFonts w:hint="eastAsia" w:ascii="Times New Roman" w:hAnsi="Times New Roman"/>
                      <w:color w:val="auto"/>
                      <w:kern w:val="0"/>
                      <w:sz w:val="21"/>
                      <w:szCs w:val="21"/>
                    </w:rPr>
                  </w:pPr>
                  <w:r>
                    <w:rPr>
                      <w:rFonts w:hint="eastAsia" w:ascii="Times New Roman" w:hAnsi="Times New Roman"/>
                      <w:color w:val="auto"/>
                      <w:sz w:val="21"/>
                      <w:szCs w:val="21"/>
                      <w:lang w:eastAsia="zh-CN"/>
                    </w:rPr>
                    <w:t>门窗阻隔，空气稀释扩散</w:t>
                  </w:r>
                </w:p>
              </w:tc>
              <w:tc>
                <w:tcPr>
                  <w:tcW w:w="1095" w:type="dxa"/>
                  <w:tcMar>
                    <w:top w:w="15" w:type="dxa"/>
                    <w:left w:w="15" w:type="dxa"/>
                    <w:bottom w:w="0" w:type="dxa"/>
                    <w:right w:w="15" w:type="dxa"/>
                  </w:tcMar>
                  <w:vAlign w:val="center"/>
                </w:tcPr>
                <w:p w14:paraId="2FE57559">
                  <w:pPr>
                    <w:jc w:val="center"/>
                    <w:rPr>
                      <w:rFonts w:hint="eastAsia" w:ascii="Times New Roman" w:hAnsi="Times New Roman"/>
                      <w:color w:val="auto"/>
                      <w:kern w:val="0"/>
                      <w:sz w:val="21"/>
                      <w:szCs w:val="21"/>
                    </w:rPr>
                  </w:pPr>
                  <w:r>
                    <w:rPr>
                      <w:rFonts w:hint="eastAsia" w:ascii="Times New Roman" w:hAnsi="Times New Roman"/>
                      <w:color w:val="auto"/>
                      <w:sz w:val="21"/>
                      <w:szCs w:val="21"/>
                      <w:lang w:eastAsia="zh-CN"/>
                    </w:rPr>
                    <w:t>粉尘</w:t>
                  </w:r>
                </w:p>
              </w:tc>
              <w:tc>
                <w:tcPr>
                  <w:tcW w:w="3895" w:type="dxa"/>
                  <w:gridSpan w:val="2"/>
                  <w:tcMar>
                    <w:top w:w="15" w:type="dxa"/>
                    <w:left w:w="15" w:type="dxa"/>
                    <w:bottom w:w="0" w:type="dxa"/>
                    <w:right w:w="15" w:type="dxa"/>
                  </w:tcMar>
                  <w:vAlign w:val="center"/>
                </w:tcPr>
                <w:p w14:paraId="25FB9D2E">
                  <w:pPr>
                    <w:jc w:val="center"/>
                    <w:rPr>
                      <w:rFonts w:hint="eastAsia" w:ascii="Times New Roman" w:hAnsi="Times New Roman"/>
                      <w:color w:val="auto"/>
                      <w:sz w:val="21"/>
                      <w:szCs w:val="21"/>
                      <w:lang w:eastAsia="zh-CN"/>
                    </w:rPr>
                  </w:pPr>
                  <w:r>
                    <w:rPr>
                      <w:rFonts w:hint="eastAsia" w:ascii="宋体" w:hAnsi="宋体" w:eastAsia="宋体" w:cs="宋体"/>
                      <w:bCs/>
                      <w:color w:val="auto"/>
                      <w:sz w:val="21"/>
                      <w:szCs w:val="21"/>
                      <w:lang w:eastAsia="zh-CN"/>
                    </w:rPr>
                    <w:t>达到</w:t>
                  </w:r>
                  <w:r>
                    <w:rPr>
                      <w:rFonts w:hint="eastAsia" w:ascii="宋体" w:hAnsi="宋体" w:eastAsia="宋体" w:cs="宋体"/>
                      <w:bCs/>
                      <w:color w:val="auto"/>
                      <w:sz w:val="21"/>
                      <w:szCs w:val="21"/>
                    </w:rPr>
                    <w:t>《大气污染物综合排放标准》（GB16297-1996）</w:t>
                  </w:r>
                  <w:r>
                    <w:rPr>
                      <w:rFonts w:hint="eastAsia" w:ascii="宋体" w:hAnsi="宋体" w:eastAsia="宋体" w:cs="宋体"/>
                      <w:bCs/>
                      <w:color w:val="auto"/>
                      <w:sz w:val="21"/>
                      <w:szCs w:val="21"/>
                      <w:lang w:eastAsia="zh-CN"/>
                    </w:rPr>
                    <w:t>中</w:t>
                  </w:r>
                  <w:r>
                    <w:rPr>
                      <w:rFonts w:hint="eastAsia" w:ascii="宋体" w:hAnsi="宋体" w:eastAsia="宋体" w:cs="宋体"/>
                      <w:color w:val="auto"/>
                      <w:sz w:val="21"/>
                      <w:szCs w:val="21"/>
                    </w:rPr>
                    <w:t>无组织监控浓度限值</w:t>
                  </w:r>
                </w:p>
              </w:tc>
            </w:tr>
            <w:tr w14:paraId="2C7B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362" w:type="dxa"/>
                  <w:vMerge w:val="continue"/>
                  <w:tcMar>
                    <w:top w:w="15" w:type="dxa"/>
                    <w:left w:w="15" w:type="dxa"/>
                    <w:bottom w:w="0" w:type="dxa"/>
                    <w:right w:w="15" w:type="dxa"/>
                  </w:tcMar>
                  <w:vAlign w:val="center"/>
                </w:tcPr>
                <w:p w14:paraId="44B246DF">
                  <w:pPr>
                    <w:adjustRightInd w:val="0"/>
                    <w:snapToGrid w:val="0"/>
                    <w:jc w:val="center"/>
                    <w:rPr>
                      <w:rFonts w:ascii="Times New Roman" w:hAnsi="Times New Roman"/>
                      <w:color w:val="auto"/>
                      <w:sz w:val="21"/>
                      <w:szCs w:val="21"/>
                    </w:rPr>
                  </w:pPr>
                </w:p>
              </w:tc>
              <w:tc>
                <w:tcPr>
                  <w:tcW w:w="715" w:type="dxa"/>
                  <w:vMerge w:val="continue"/>
                  <w:tcMar>
                    <w:top w:w="15" w:type="dxa"/>
                    <w:left w:w="15" w:type="dxa"/>
                    <w:bottom w:w="0" w:type="dxa"/>
                    <w:right w:w="15" w:type="dxa"/>
                  </w:tcMar>
                  <w:vAlign w:val="center"/>
                </w:tcPr>
                <w:p w14:paraId="6F83801E">
                  <w:pPr>
                    <w:adjustRightInd w:val="0"/>
                    <w:snapToGrid w:val="0"/>
                    <w:jc w:val="center"/>
                    <w:rPr>
                      <w:rFonts w:ascii="Times New Roman" w:hAnsi="Times New Roman"/>
                      <w:color w:val="auto"/>
                      <w:sz w:val="21"/>
                      <w:szCs w:val="21"/>
                    </w:rPr>
                  </w:pPr>
                </w:p>
              </w:tc>
              <w:tc>
                <w:tcPr>
                  <w:tcW w:w="2655" w:type="dxa"/>
                  <w:tcMar>
                    <w:top w:w="15" w:type="dxa"/>
                    <w:left w:w="15" w:type="dxa"/>
                    <w:bottom w:w="0" w:type="dxa"/>
                    <w:right w:w="15" w:type="dxa"/>
                  </w:tcMar>
                  <w:vAlign w:val="center"/>
                </w:tcPr>
                <w:p w14:paraId="5B0A849D">
                  <w:pPr>
                    <w:spacing w:line="260" w:lineRule="exact"/>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1套</w:t>
                  </w:r>
                  <w:r>
                    <w:rPr>
                      <w:rFonts w:hint="eastAsia" w:ascii="宋体" w:hAnsi="宋体" w:eastAsia="宋体" w:cs="宋体"/>
                      <w:color w:val="auto"/>
                      <w:sz w:val="21"/>
                      <w:szCs w:val="21"/>
                      <w:lang w:eastAsia="zh-CN"/>
                    </w:rPr>
                    <w:t>旋风</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布袋除尘器</w:t>
                  </w:r>
                  <w:r>
                    <w:rPr>
                      <w:rFonts w:hint="eastAsia" w:ascii="宋体" w:hAnsi="宋体" w:eastAsia="宋体" w:cs="宋体"/>
                      <w:color w:val="auto"/>
                      <w:szCs w:val="21"/>
                      <w:lang w:eastAsia="zh-CN"/>
                    </w:rPr>
                    <w:t>（</w:t>
                  </w:r>
                  <w:r>
                    <w:rPr>
                      <w:rFonts w:hint="eastAsia" w:ascii="宋体" w:hAnsi="宋体" w:eastAsia="宋体" w:cs="宋体"/>
                      <w:color w:val="auto"/>
                      <w:kern w:val="0"/>
                      <w:sz w:val="21"/>
                      <w:szCs w:val="21"/>
                      <w:highlight w:val="none"/>
                      <w:u w:val="none" w:color="auto"/>
                      <w:lang w:val="en-US" w:eastAsia="zh-CN"/>
                    </w:rPr>
                    <w:t>处理效率不低于99%）</w:t>
                  </w:r>
                  <w:r>
                    <w:rPr>
                      <w:rFonts w:hint="eastAsia" w:ascii="宋体" w:hAnsi="宋体" w:eastAsia="宋体" w:cs="宋体"/>
                      <w:color w:val="auto"/>
                      <w:sz w:val="21"/>
                      <w:szCs w:val="21"/>
                      <w:lang w:val="en-US" w:eastAsia="zh-CN"/>
                    </w:rPr>
                    <w:t>+1根</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5m高排气筒</w:t>
                  </w:r>
                </w:p>
              </w:tc>
              <w:tc>
                <w:tcPr>
                  <w:tcW w:w="1095" w:type="dxa"/>
                  <w:tcMar>
                    <w:top w:w="15" w:type="dxa"/>
                    <w:left w:w="15" w:type="dxa"/>
                    <w:bottom w:w="0" w:type="dxa"/>
                    <w:right w:w="15" w:type="dxa"/>
                  </w:tcMar>
                  <w:vAlign w:val="center"/>
                </w:tcPr>
                <w:p w14:paraId="3E1D3FDB">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烟尘</w:t>
                  </w:r>
                </w:p>
              </w:tc>
              <w:tc>
                <w:tcPr>
                  <w:tcW w:w="3895" w:type="dxa"/>
                  <w:gridSpan w:val="2"/>
                  <w:tcMar>
                    <w:top w:w="15" w:type="dxa"/>
                    <w:left w:w="15" w:type="dxa"/>
                    <w:bottom w:w="0" w:type="dxa"/>
                    <w:right w:w="15" w:type="dxa"/>
                  </w:tcMar>
                  <w:vAlign w:val="center"/>
                </w:tcPr>
                <w:p w14:paraId="3EE65A49">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达《锅炉大气污染物排放标准》（GB12317-2014）中燃煤锅炉的标准</w:t>
                  </w:r>
                </w:p>
              </w:tc>
            </w:tr>
            <w:tr w14:paraId="61B6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362" w:type="dxa"/>
                  <w:vMerge w:val="continue"/>
                  <w:tcMar>
                    <w:top w:w="15" w:type="dxa"/>
                    <w:left w:w="15" w:type="dxa"/>
                    <w:bottom w:w="0" w:type="dxa"/>
                    <w:right w:w="15" w:type="dxa"/>
                  </w:tcMar>
                  <w:vAlign w:val="center"/>
                </w:tcPr>
                <w:p w14:paraId="71D81357">
                  <w:pPr>
                    <w:adjustRightInd w:val="0"/>
                    <w:snapToGrid w:val="0"/>
                    <w:jc w:val="center"/>
                    <w:rPr>
                      <w:rFonts w:ascii="Times New Roman" w:hAnsi="Times New Roman"/>
                      <w:color w:val="auto"/>
                      <w:sz w:val="21"/>
                      <w:szCs w:val="21"/>
                    </w:rPr>
                  </w:pPr>
                </w:p>
              </w:tc>
              <w:tc>
                <w:tcPr>
                  <w:tcW w:w="715" w:type="dxa"/>
                  <w:vMerge w:val="continue"/>
                  <w:tcMar>
                    <w:top w:w="15" w:type="dxa"/>
                    <w:left w:w="15" w:type="dxa"/>
                    <w:bottom w:w="0" w:type="dxa"/>
                    <w:right w:w="15" w:type="dxa"/>
                  </w:tcMar>
                  <w:vAlign w:val="center"/>
                </w:tcPr>
                <w:p w14:paraId="6D6CEF72">
                  <w:pPr>
                    <w:adjustRightInd w:val="0"/>
                    <w:snapToGrid w:val="0"/>
                    <w:jc w:val="center"/>
                    <w:rPr>
                      <w:rFonts w:ascii="Times New Roman" w:hAnsi="Times New Roman"/>
                      <w:color w:val="auto"/>
                      <w:sz w:val="21"/>
                      <w:szCs w:val="21"/>
                    </w:rPr>
                  </w:pPr>
                </w:p>
              </w:tc>
              <w:tc>
                <w:tcPr>
                  <w:tcW w:w="2655" w:type="dxa"/>
                  <w:tcMar>
                    <w:top w:w="15" w:type="dxa"/>
                    <w:left w:w="15" w:type="dxa"/>
                    <w:bottom w:w="0" w:type="dxa"/>
                    <w:right w:w="15" w:type="dxa"/>
                  </w:tcMar>
                  <w:vAlign w:val="center"/>
                </w:tcPr>
                <w:p w14:paraId="339BA749">
                  <w:pPr>
                    <w:spacing w:line="260" w:lineRule="exact"/>
                    <w:jc w:val="center"/>
                    <w:rPr>
                      <w:rFonts w:hint="eastAsia" w:ascii="Times New Roman" w:hAnsi="Times New Roman"/>
                      <w:color w:val="auto"/>
                      <w:sz w:val="21"/>
                      <w:szCs w:val="21"/>
                      <w:lang w:eastAsia="zh-CN"/>
                    </w:rPr>
                  </w:pPr>
                  <w:r>
                    <w:rPr>
                      <w:rFonts w:hint="eastAsia" w:ascii="宋体" w:hAnsi="宋体" w:eastAsia="宋体" w:cs="宋体"/>
                      <w:bCs/>
                      <w:color w:val="auto"/>
                      <w:sz w:val="21"/>
                      <w:szCs w:val="21"/>
                      <w:highlight w:val="none"/>
                      <w:u w:val="none" w:color="auto"/>
                      <w:lang w:eastAsia="zh-CN"/>
                    </w:rPr>
                    <w:t>油烟净化装置（</w:t>
                  </w:r>
                  <w:r>
                    <w:rPr>
                      <w:rFonts w:hint="eastAsia" w:ascii="宋体" w:hAnsi="宋体" w:eastAsia="宋体" w:cs="宋体"/>
                      <w:color w:val="auto"/>
                      <w:kern w:val="0"/>
                      <w:sz w:val="21"/>
                      <w:szCs w:val="21"/>
                      <w:highlight w:val="none"/>
                      <w:u w:val="none" w:color="auto"/>
                    </w:rPr>
                    <w:t>处理效率不低于</w:t>
                  </w:r>
                  <w:r>
                    <w:rPr>
                      <w:rFonts w:hint="eastAsia" w:ascii="宋体" w:hAnsi="宋体" w:eastAsia="宋体" w:cs="宋体"/>
                      <w:color w:val="auto"/>
                      <w:kern w:val="0"/>
                      <w:sz w:val="21"/>
                      <w:szCs w:val="21"/>
                      <w:highlight w:val="none"/>
                      <w:u w:val="none" w:color="auto"/>
                      <w:lang w:eastAsia="zh-CN"/>
                    </w:rPr>
                    <w:t>60</w:t>
                  </w:r>
                  <w:r>
                    <w:rPr>
                      <w:rFonts w:hint="eastAsia" w:ascii="宋体" w:hAnsi="宋体" w:eastAsia="宋体" w:cs="宋体"/>
                      <w:color w:val="auto"/>
                      <w:kern w:val="0"/>
                      <w:sz w:val="21"/>
                      <w:szCs w:val="21"/>
                      <w:highlight w:val="none"/>
                      <w:u w:val="none" w:color="auto"/>
                    </w:rPr>
                    <w:t>%</w:t>
                  </w:r>
                  <w:r>
                    <w:rPr>
                      <w:rFonts w:hint="eastAsia" w:ascii="宋体" w:hAnsi="宋体" w:eastAsia="宋体" w:cs="宋体"/>
                      <w:color w:val="auto"/>
                      <w:kern w:val="0"/>
                      <w:sz w:val="21"/>
                      <w:szCs w:val="21"/>
                      <w:highlight w:val="none"/>
                      <w:u w:val="none" w:color="auto"/>
                      <w:lang w:eastAsia="zh-CN"/>
                    </w:rPr>
                    <w:t>）</w:t>
                  </w:r>
                </w:p>
              </w:tc>
              <w:tc>
                <w:tcPr>
                  <w:tcW w:w="1095" w:type="dxa"/>
                  <w:tcMar>
                    <w:top w:w="15" w:type="dxa"/>
                    <w:left w:w="15" w:type="dxa"/>
                    <w:bottom w:w="0" w:type="dxa"/>
                    <w:right w:w="15" w:type="dxa"/>
                  </w:tcMar>
                  <w:vAlign w:val="center"/>
                </w:tcPr>
                <w:p w14:paraId="1627446B">
                  <w:pPr>
                    <w:spacing w:line="2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油烟</w:t>
                  </w:r>
                </w:p>
              </w:tc>
              <w:tc>
                <w:tcPr>
                  <w:tcW w:w="3895" w:type="dxa"/>
                  <w:gridSpan w:val="2"/>
                  <w:tcMar>
                    <w:top w:w="15" w:type="dxa"/>
                    <w:left w:w="15" w:type="dxa"/>
                    <w:bottom w:w="0" w:type="dxa"/>
                    <w:right w:w="15" w:type="dxa"/>
                  </w:tcMar>
                  <w:vAlign w:val="center"/>
                </w:tcPr>
                <w:p w14:paraId="576799D0">
                  <w:pPr>
                    <w:spacing w:line="260" w:lineRule="exact"/>
                    <w:jc w:val="center"/>
                    <w:rPr>
                      <w:rFonts w:hint="eastAsia" w:ascii="Times New Roman" w:hAnsi="Times New Roman"/>
                      <w:color w:val="auto"/>
                      <w:sz w:val="21"/>
                      <w:szCs w:val="21"/>
                      <w:lang w:eastAsia="zh-CN"/>
                    </w:rPr>
                  </w:pPr>
                  <w:r>
                    <w:rPr>
                      <w:rFonts w:hint="eastAsia" w:ascii="宋体" w:hAnsi="宋体" w:eastAsia="宋体" w:cs="宋体"/>
                      <w:color w:val="auto"/>
                      <w:kern w:val="0"/>
                      <w:sz w:val="21"/>
                      <w:szCs w:val="21"/>
                      <w:highlight w:val="none"/>
                      <w:u w:val="none" w:color="auto"/>
                      <w:lang w:eastAsia="zh-CN"/>
                    </w:rPr>
                    <w:t>达到</w:t>
                  </w:r>
                  <w:r>
                    <w:rPr>
                      <w:rFonts w:hint="eastAsia" w:ascii="宋体" w:hAnsi="宋体" w:eastAsia="宋体" w:cs="宋体"/>
                      <w:color w:val="auto"/>
                      <w:kern w:val="0"/>
                      <w:sz w:val="21"/>
                      <w:szCs w:val="21"/>
                      <w:highlight w:val="none"/>
                      <w:u w:val="none" w:color="auto"/>
                    </w:rPr>
                    <w:t>《饮食业油烟排放标准》（GB18483-2001）</w:t>
                  </w:r>
                  <w:r>
                    <w:rPr>
                      <w:rFonts w:hint="eastAsia" w:ascii="宋体" w:hAnsi="宋体" w:eastAsia="宋体" w:cs="宋体"/>
                      <w:color w:val="auto"/>
                      <w:kern w:val="0"/>
                      <w:sz w:val="21"/>
                      <w:szCs w:val="21"/>
                      <w:highlight w:val="none"/>
                      <w:u w:val="none" w:color="auto"/>
                      <w:lang w:val="en-US" w:eastAsia="zh-CN"/>
                    </w:rPr>
                    <w:t>小</w:t>
                  </w:r>
                  <w:r>
                    <w:rPr>
                      <w:rFonts w:hint="eastAsia" w:ascii="宋体" w:hAnsi="宋体" w:eastAsia="宋体" w:cs="宋体"/>
                      <w:color w:val="auto"/>
                      <w:kern w:val="0"/>
                      <w:sz w:val="21"/>
                      <w:szCs w:val="21"/>
                      <w:highlight w:val="none"/>
                      <w:u w:val="none" w:color="auto"/>
                    </w:rPr>
                    <w:t>型标准</w:t>
                  </w:r>
                </w:p>
              </w:tc>
            </w:tr>
            <w:tr w14:paraId="51AD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362" w:type="dxa"/>
                  <w:vMerge w:val="continue"/>
                  <w:tcMar>
                    <w:top w:w="15" w:type="dxa"/>
                    <w:left w:w="15" w:type="dxa"/>
                    <w:bottom w:w="0" w:type="dxa"/>
                    <w:right w:w="15" w:type="dxa"/>
                  </w:tcMar>
                  <w:vAlign w:val="center"/>
                </w:tcPr>
                <w:p w14:paraId="5F9C3AD9">
                  <w:pPr>
                    <w:adjustRightInd w:val="0"/>
                    <w:snapToGrid w:val="0"/>
                    <w:jc w:val="center"/>
                    <w:rPr>
                      <w:rFonts w:ascii="Times New Roman" w:hAnsi="Times New Roman"/>
                      <w:color w:val="auto"/>
                      <w:sz w:val="21"/>
                      <w:szCs w:val="21"/>
                    </w:rPr>
                  </w:pPr>
                </w:p>
              </w:tc>
              <w:tc>
                <w:tcPr>
                  <w:tcW w:w="715" w:type="dxa"/>
                  <w:vMerge w:val="continue"/>
                  <w:tcMar>
                    <w:top w:w="15" w:type="dxa"/>
                    <w:left w:w="15" w:type="dxa"/>
                    <w:bottom w:w="0" w:type="dxa"/>
                    <w:right w:w="15" w:type="dxa"/>
                  </w:tcMar>
                  <w:vAlign w:val="center"/>
                </w:tcPr>
                <w:p w14:paraId="34E6DBD9">
                  <w:pPr>
                    <w:adjustRightInd w:val="0"/>
                    <w:snapToGrid w:val="0"/>
                    <w:jc w:val="center"/>
                    <w:rPr>
                      <w:rFonts w:ascii="Times New Roman" w:hAnsi="Times New Roman"/>
                      <w:color w:val="auto"/>
                      <w:sz w:val="21"/>
                      <w:szCs w:val="21"/>
                    </w:rPr>
                  </w:pPr>
                </w:p>
              </w:tc>
              <w:tc>
                <w:tcPr>
                  <w:tcW w:w="2655" w:type="dxa"/>
                  <w:tcMar>
                    <w:top w:w="15" w:type="dxa"/>
                    <w:left w:w="15" w:type="dxa"/>
                    <w:bottom w:w="0" w:type="dxa"/>
                    <w:right w:w="15" w:type="dxa"/>
                  </w:tcMar>
                  <w:vAlign w:val="center"/>
                </w:tcPr>
                <w:p w14:paraId="3A73A7A9">
                  <w:pPr>
                    <w:spacing w:line="260" w:lineRule="exact"/>
                    <w:jc w:val="center"/>
                    <w:rPr>
                      <w:rFonts w:hint="eastAsia" w:ascii="Times New Roman" w:hAnsi="Times New Roman"/>
                      <w:color w:val="auto"/>
                      <w:sz w:val="21"/>
                      <w:szCs w:val="21"/>
                      <w:lang w:eastAsia="zh-CN"/>
                    </w:rPr>
                  </w:pPr>
                  <w:r>
                    <w:rPr>
                      <w:rFonts w:hint="eastAsia"/>
                      <w:color w:val="auto"/>
                      <w:sz w:val="21"/>
                      <w:szCs w:val="21"/>
                      <w:lang w:eastAsia="zh-CN"/>
                    </w:rPr>
                    <w:t>门窗阻隔、空气稀释</w:t>
                  </w:r>
                </w:p>
              </w:tc>
              <w:tc>
                <w:tcPr>
                  <w:tcW w:w="1095" w:type="dxa"/>
                  <w:tcMar>
                    <w:top w:w="15" w:type="dxa"/>
                    <w:left w:w="15" w:type="dxa"/>
                    <w:bottom w:w="0" w:type="dxa"/>
                    <w:right w:w="15" w:type="dxa"/>
                  </w:tcMar>
                  <w:vAlign w:val="center"/>
                </w:tcPr>
                <w:p w14:paraId="522BC8E5">
                  <w:pPr>
                    <w:spacing w:line="2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发酵</w:t>
                  </w:r>
                  <w:r>
                    <w:rPr>
                      <w:rFonts w:hint="eastAsia" w:ascii="Times New Roman" w:hAnsi="Times New Roman"/>
                      <w:color w:val="auto"/>
                      <w:sz w:val="21"/>
                      <w:szCs w:val="21"/>
                    </w:rPr>
                    <w:t>异味</w:t>
                  </w:r>
                </w:p>
              </w:tc>
              <w:tc>
                <w:tcPr>
                  <w:tcW w:w="3895" w:type="dxa"/>
                  <w:gridSpan w:val="2"/>
                  <w:tcMar>
                    <w:top w:w="15" w:type="dxa"/>
                    <w:left w:w="15" w:type="dxa"/>
                    <w:bottom w:w="0" w:type="dxa"/>
                    <w:right w:w="15" w:type="dxa"/>
                  </w:tcMar>
                  <w:vAlign w:val="center"/>
                </w:tcPr>
                <w:p w14:paraId="4B6E0A4C">
                  <w:pPr>
                    <w:spacing w:line="2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异味产生较小，对外界影响小</w:t>
                  </w:r>
                </w:p>
              </w:tc>
            </w:tr>
            <w:tr w14:paraId="516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362" w:type="dxa"/>
                  <w:vMerge w:val="restart"/>
                  <w:tcMar>
                    <w:top w:w="15" w:type="dxa"/>
                    <w:left w:w="15" w:type="dxa"/>
                    <w:bottom w:w="0" w:type="dxa"/>
                    <w:right w:w="15" w:type="dxa"/>
                  </w:tcMar>
                  <w:vAlign w:val="center"/>
                </w:tcPr>
                <w:p w14:paraId="331E1FD3">
                  <w:pPr>
                    <w:adjustRightInd w:val="0"/>
                    <w:snapToGrid w:val="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w:t>
                  </w:r>
                </w:p>
              </w:tc>
              <w:tc>
                <w:tcPr>
                  <w:tcW w:w="715" w:type="dxa"/>
                  <w:vMerge w:val="restart"/>
                  <w:tcMar>
                    <w:top w:w="15" w:type="dxa"/>
                    <w:left w:w="15" w:type="dxa"/>
                    <w:bottom w:w="0" w:type="dxa"/>
                    <w:right w:w="15" w:type="dxa"/>
                  </w:tcMar>
                  <w:vAlign w:val="center"/>
                </w:tcPr>
                <w:p w14:paraId="699AB7F5">
                  <w:pPr>
                    <w:adjustRightInd w:val="0"/>
                    <w:snapToGrid w:val="0"/>
                    <w:jc w:val="center"/>
                    <w:rPr>
                      <w:rFonts w:ascii="Times New Roman" w:hAnsi="Times New Roman"/>
                      <w:color w:val="auto"/>
                      <w:sz w:val="21"/>
                      <w:szCs w:val="21"/>
                    </w:rPr>
                  </w:pPr>
                  <w:r>
                    <w:rPr>
                      <w:rFonts w:ascii="Times New Roman" w:hAnsi="Times New Roman"/>
                      <w:color w:val="auto"/>
                      <w:sz w:val="21"/>
                      <w:szCs w:val="21"/>
                    </w:rPr>
                    <w:t>废水</w:t>
                  </w:r>
                </w:p>
              </w:tc>
              <w:tc>
                <w:tcPr>
                  <w:tcW w:w="2655" w:type="dxa"/>
                  <w:tcMar>
                    <w:top w:w="15" w:type="dxa"/>
                    <w:left w:w="15" w:type="dxa"/>
                    <w:bottom w:w="0" w:type="dxa"/>
                    <w:right w:w="15" w:type="dxa"/>
                  </w:tcMar>
                  <w:vAlign w:val="center"/>
                </w:tcPr>
                <w:p w14:paraId="03AD49E0">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隔油池</w:t>
                  </w:r>
                  <w:r>
                    <w:rPr>
                      <w:rFonts w:hint="eastAsia" w:ascii="宋体" w:hAnsi="宋体" w:eastAsia="宋体" w:cs="宋体"/>
                      <w:color w:val="auto"/>
                      <w:sz w:val="21"/>
                      <w:szCs w:val="21"/>
                      <w:lang w:val="en-US" w:eastAsia="zh-CN"/>
                    </w:rPr>
                    <w:t>1个，容积</w:t>
                  </w:r>
                  <w:r>
                    <w:rPr>
                      <w:rFonts w:hint="eastAsia" w:ascii="宋体" w:hAnsi="宋体" w:cs="宋体"/>
                      <w:color w:val="auto"/>
                      <w:sz w:val="21"/>
                      <w:szCs w:val="21"/>
                      <w:lang w:val="en-US" w:eastAsia="zh-CN"/>
                    </w:rPr>
                    <w:t>0.1</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vertAlign w:val="superscript"/>
                      <w:lang w:val="en-US" w:eastAsia="zh-CN"/>
                    </w:rPr>
                    <w:t>3</w:t>
                  </w:r>
                </w:p>
              </w:tc>
              <w:tc>
                <w:tcPr>
                  <w:tcW w:w="1095" w:type="dxa"/>
                  <w:tcMar>
                    <w:top w:w="15" w:type="dxa"/>
                    <w:left w:w="15" w:type="dxa"/>
                    <w:bottom w:w="0" w:type="dxa"/>
                    <w:right w:w="15" w:type="dxa"/>
                  </w:tcMar>
                  <w:vAlign w:val="center"/>
                </w:tcPr>
                <w:p w14:paraId="12BCB319">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食堂废水</w:t>
                  </w:r>
                </w:p>
              </w:tc>
              <w:tc>
                <w:tcPr>
                  <w:tcW w:w="3895" w:type="dxa"/>
                  <w:gridSpan w:val="2"/>
                  <w:vMerge w:val="restart"/>
                  <w:tcMar>
                    <w:top w:w="15" w:type="dxa"/>
                    <w:left w:w="15" w:type="dxa"/>
                    <w:bottom w:w="0" w:type="dxa"/>
                    <w:right w:w="15" w:type="dxa"/>
                  </w:tcMar>
                  <w:vAlign w:val="center"/>
                </w:tcPr>
                <w:p w14:paraId="7C8DE3C5">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bCs/>
                      <w:color w:val="auto"/>
                      <w:szCs w:val="21"/>
                      <w:lang w:eastAsia="zh-CN"/>
                    </w:rPr>
                    <w:t>厨</w:t>
                  </w:r>
                  <w:r>
                    <w:rPr>
                      <w:rFonts w:hint="eastAsia" w:ascii="宋体" w:hAnsi="宋体" w:eastAsia="宋体" w:cs="宋体"/>
                      <w:bCs/>
                      <w:color w:val="auto"/>
                      <w:szCs w:val="21"/>
                    </w:rPr>
                    <w:t>房废水经隔油池处理后，与生活污水一起排入化粪池，处理后由周围农民运走，作为农家肥使用，不外排废水</w:t>
                  </w:r>
                </w:p>
              </w:tc>
            </w:tr>
            <w:tr w14:paraId="2842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362" w:type="dxa"/>
                  <w:vMerge w:val="continue"/>
                  <w:tcMar>
                    <w:top w:w="15" w:type="dxa"/>
                    <w:left w:w="15" w:type="dxa"/>
                    <w:bottom w:w="0" w:type="dxa"/>
                    <w:right w:w="15" w:type="dxa"/>
                  </w:tcMar>
                  <w:vAlign w:val="center"/>
                </w:tcPr>
                <w:p w14:paraId="71B650CC">
                  <w:pPr>
                    <w:adjustRightInd w:val="0"/>
                    <w:snapToGrid w:val="0"/>
                    <w:jc w:val="center"/>
                    <w:rPr>
                      <w:rFonts w:hint="eastAsia" w:ascii="Times New Roman" w:hAnsi="Times New Roman" w:eastAsia="宋体"/>
                      <w:color w:val="auto"/>
                      <w:sz w:val="21"/>
                      <w:szCs w:val="21"/>
                      <w:lang w:val="en-US" w:eastAsia="zh-CN"/>
                    </w:rPr>
                  </w:pPr>
                </w:p>
              </w:tc>
              <w:tc>
                <w:tcPr>
                  <w:tcW w:w="715" w:type="dxa"/>
                  <w:vMerge w:val="continue"/>
                  <w:tcMar>
                    <w:top w:w="15" w:type="dxa"/>
                    <w:left w:w="15" w:type="dxa"/>
                    <w:bottom w:w="0" w:type="dxa"/>
                    <w:right w:w="15" w:type="dxa"/>
                  </w:tcMar>
                  <w:vAlign w:val="center"/>
                </w:tcPr>
                <w:p w14:paraId="6FF68519">
                  <w:pPr>
                    <w:adjustRightInd w:val="0"/>
                    <w:snapToGrid w:val="0"/>
                    <w:jc w:val="center"/>
                    <w:rPr>
                      <w:rFonts w:ascii="Times New Roman" w:hAnsi="Times New Roman"/>
                      <w:color w:val="auto"/>
                      <w:sz w:val="21"/>
                      <w:szCs w:val="21"/>
                    </w:rPr>
                  </w:pPr>
                </w:p>
              </w:tc>
              <w:tc>
                <w:tcPr>
                  <w:tcW w:w="2655" w:type="dxa"/>
                  <w:tcMar>
                    <w:top w:w="15" w:type="dxa"/>
                    <w:left w:w="15" w:type="dxa"/>
                    <w:bottom w:w="0" w:type="dxa"/>
                    <w:right w:w="15" w:type="dxa"/>
                  </w:tcMar>
                  <w:vAlign w:val="center"/>
                </w:tcPr>
                <w:p w14:paraId="1BCC665A">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eastAsia="zh-CN"/>
                    </w:rPr>
                    <w:t>化粪池</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，容积</w:t>
                  </w:r>
                  <w:r>
                    <w:rPr>
                      <w:rFonts w:hint="eastAsia" w:ascii="宋体" w:hAnsi="宋体" w:eastAsia="宋体" w:cs="宋体"/>
                      <w:color w:val="auto"/>
                      <w:sz w:val="21"/>
                      <w:szCs w:val="21"/>
                      <w:lang w:val="en-US" w:eastAsia="zh-CN"/>
                    </w:rPr>
                    <w:t>6m</w:t>
                  </w:r>
                  <w:r>
                    <w:rPr>
                      <w:rFonts w:hint="eastAsia" w:ascii="宋体" w:hAnsi="宋体" w:eastAsia="宋体" w:cs="宋体"/>
                      <w:color w:val="auto"/>
                      <w:sz w:val="21"/>
                      <w:szCs w:val="21"/>
                      <w:vertAlign w:val="superscript"/>
                      <w:lang w:val="en-US" w:eastAsia="zh-CN"/>
                    </w:rPr>
                    <w:t>3</w:t>
                  </w:r>
                </w:p>
              </w:tc>
              <w:tc>
                <w:tcPr>
                  <w:tcW w:w="1095" w:type="dxa"/>
                  <w:tcMar>
                    <w:top w:w="15" w:type="dxa"/>
                    <w:left w:w="15" w:type="dxa"/>
                    <w:bottom w:w="0" w:type="dxa"/>
                    <w:right w:w="15" w:type="dxa"/>
                  </w:tcMar>
                  <w:vAlign w:val="center"/>
                </w:tcPr>
                <w:p w14:paraId="42B3D244">
                  <w:pPr>
                    <w:adjustRightInd w:val="0"/>
                    <w:snapToGrid w:val="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生活污水</w:t>
                  </w:r>
                </w:p>
              </w:tc>
              <w:tc>
                <w:tcPr>
                  <w:tcW w:w="3895" w:type="dxa"/>
                  <w:gridSpan w:val="2"/>
                  <w:vMerge w:val="continue"/>
                  <w:tcMar>
                    <w:top w:w="15" w:type="dxa"/>
                    <w:left w:w="15" w:type="dxa"/>
                    <w:bottom w:w="0" w:type="dxa"/>
                    <w:right w:w="15" w:type="dxa"/>
                  </w:tcMar>
                  <w:vAlign w:val="center"/>
                </w:tcPr>
                <w:p w14:paraId="217A3E8B">
                  <w:pPr>
                    <w:adjustRightInd w:val="0"/>
                    <w:snapToGrid w:val="0"/>
                    <w:jc w:val="center"/>
                    <w:rPr>
                      <w:rFonts w:hint="eastAsia" w:ascii="宋体" w:hAnsi="宋体" w:eastAsia="宋体" w:cs="宋体"/>
                      <w:color w:val="auto"/>
                      <w:kern w:val="0"/>
                      <w:sz w:val="21"/>
                      <w:szCs w:val="21"/>
                      <w:lang w:eastAsia="zh-CN"/>
                    </w:rPr>
                  </w:pPr>
                </w:p>
              </w:tc>
            </w:tr>
            <w:tr w14:paraId="62B4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362" w:type="dxa"/>
                  <w:tcMar>
                    <w:top w:w="15" w:type="dxa"/>
                    <w:left w:w="15" w:type="dxa"/>
                    <w:bottom w:w="0" w:type="dxa"/>
                    <w:right w:w="15" w:type="dxa"/>
                  </w:tcMar>
                  <w:vAlign w:val="center"/>
                </w:tcPr>
                <w:p w14:paraId="6278D719">
                  <w:pPr>
                    <w:adjustRightInd w:val="0"/>
                    <w:snapToGrid w:val="0"/>
                    <w:jc w:val="center"/>
                    <w:rPr>
                      <w:rFonts w:ascii="Times New Roman" w:hAnsi="Times New Roman"/>
                      <w:color w:val="auto"/>
                      <w:sz w:val="21"/>
                      <w:szCs w:val="21"/>
                    </w:rPr>
                  </w:pPr>
                  <w:r>
                    <w:rPr>
                      <w:rFonts w:ascii="Times New Roman" w:hAnsi="Times New Roman"/>
                      <w:color w:val="auto"/>
                      <w:sz w:val="21"/>
                      <w:szCs w:val="21"/>
                    </w:rPr>
                    <w:t>3</w:t>
                  </w:r>
                </w:p>
              </w:tc>
              <w:tc>
                <w:tcPr>
                  <w:tcW w:w="715" w:type="dxa"/>
                  <w:tcMar>
                    <w:top w:w="15" w:type="dxa"/>
                    <w:left w:w="15" w:type="dxa"/>
                    <w:bottom w:w="0" w:type="dxa"/>
                    <w:right w:w="15" w:type="dxa"/>
                  </w:tcMar>
                  <w:vAlign w:val="center"/>
                </w:tcPr>
                <w:p w14:paraId="73EB93F6">
                  <w:pPr>
                    <w:adjustRightInd w:val="0"/>
                    <w:snapToGrid w:val="0"/>
                    <w:jc w:val="center"/>
                    <w:rPr>
                      <w:rFonts w:ascii="Times New Roman" w:hAnsi="Times New Roman"/>
                      <w:color w:val="auto"/>
                      <w:sz w:val="21"/>
                      <w:szCs w:val="21"/>
                    </w:rPr>
                  </w:pPr>
                  <w:r>
                    <w:rPr>
                      <w:rFonts w:ascii="Times New Roman" w:hAnsi="Times New Roman"/>
                      <w:color w:val="auto"/>
                      <w:sz w:val="21"/>
                      <w:szCs w:val="21"/>
                    </w:rPr>
                    <w:t>噪声</w:t>
                  </w:r>
                </w:p>
              </w:tc>
              <w:tc>
                <w:tcPr>
                  <w:tcW w:w="2655" w:type="dxa"/>
                  <w:tcMar>
                    <w:top w:w="15" w:type="dxa"/>
                    <w:left w:w="15" w:type="dxa"/>
                    <w:bottom w:w="0" w:type="dxa"/>
                    <w:right w:w="15" w:type="dxa"/>
                  </w:tcMar>
                  <w:vAlign w:val="center"/>
                </w:tcPr>
                <w:p w14:paraId="7FB31476">
                  <w:pPr>
                    <w:adjustRightInd w:val="0"/>
                    <w:snapToGrid w:val="0"/>
                    <w:jc w:val="center"/>
                    <w:rPr>
                      <w:rFonts w:hint="eastAsia" w:ascii="宋体" w:hAnsi="宋体" w:eastAsia="宋体" w:cs="宋体"/>
                      <w:color w:val="auto"/>
                      <w:sz w:val="21"/>
                      <w:szCs w:val="21"/>
                    </w:rPr>
                  </w:pPr>
                  <w:r>
                    <w:rPr>
                      <w:rFonts w:hint="eastAsia" w:ascii="宋体" w:hAnsi="宋体" w:eastAsia="宋体" w:cs="宋体"/>
                      <w:bCs/>
                      <w:color w:val="auto"/>
                      <w:sz w:val="21"/>
                      <w:szCs w:val="21"/>
                    </w:rPr>
                    <w:t>合理规划布局、选用低噪设备、采取减震、隔声、厂区绿化、距离衰减</w:t>
                  </w:r>
                </w:p>
              </w:tc>
              <w:tc>
                <w:tcPr>
                  <w:tcW w:w="1095" w:type="dxa"/>
                  <w:tcMar>
                    <w:top w:w="15" w:type="dxa"/>
                    <w:left w:w="15" w:type="dxa"/>
                    <w:bottom w:w="0" w:type="dxa"/>
                    <w:right w:w="15" w:type="dxa"/>
                  </w:tcMar>
                  <w:vAlign w:val="center"/>
                </w:tcPr>
                <w:p w14:paraId="74B92214">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w:t>
                  </w:r>
                </w:p>
              </w:tc>
              <w:tc>
                <w:tcPr>
                  <w:tcW w:w="3895" w:type="dxa"/>
                  <w:gridSpan w:val="2"/>
                  <w:tcMar>
                    <w:top w:w="15" w:type="dxa"/>
                    <w:left w:w="15" w:type="dxa"/>
                    <w:bottom w:w="0" w:type="dxa"/>
                    <w:right w:w="15" w:type="dxa"/>
                  </w:tcMar>
                  <w:vAlign w:val="center"/>
                </w:tcPr>
                <w:p w14:paraId="0914A73B">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u w:val="none" w:color="auto"/>
                      <w:lang w:val="en-US" w:eastAsia="zh-CN"/>
                    </w:rPr>
                    <w:t>厂界噪声达</w:t>
                  </w:r>
                  <w:r>
                    <w:rPr>
                      <w:rFonts w:hint="eastAsia" w:ascii="宋体" w:hAnsi="宋体" w:eastAsia="宋体" w:cs="宋体"/>
                      <w:snapToGrid/>
                      <w:color w:val="auto"/>
                      <w:sz w:val="21"/>
                      <w:u w:val="none" w:color="auto"/>
                    </w:rPr>
                    <w:t>《工业企业厂界环境噪声排放标准》（GB12348-2008</w:t>
                  </w:r>
                  <w:r>
                    <w:rPr>
                      <w:rFonts w:hint="eastAsia" w:ascii="宋体" w:hAnsi="宋体" w:eastAsia="宋体" w:cs="宋体"/>
                      <w:snapToGrid/>
                      <w:color w:val="auto"/>
                      <w:sz w:val="21"/>
                      <w:u w:val="none" w:color="auto"/>
                      <w:lang w:eastAsia="zh-CN"/>
                    </w:rPr>
                    <w:t>）</w:t>
                  </w:r>
                  <w:r>
                    <w:rPr>
                      <w:rFonts w:hint="eastAsia" w:ascii="宋体" w:hAnsi="宋体" w:eastAsia="宋体" w:cs="宋体"/>
                      <w:snapToGrid/>
                      <w:color w:val="auto"/>
                      <w:sz w:val="21"/>
                      <w:u w:val="none" w:color="auto"/>
                    </w:rPr>
                    <w:t>2类标准</w:t>
                  </w:r>
                </w:p>
              </w:tc>
            </w:tr>
            <w:tr w14:paraId="2BA4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exact"/>
                <w:jc w:val="center"/>
              </w:trPr>
              <w:tc>
                <w:tcPr>
                  <w:tcW w:w="362" w:type="dxa"/>
                  <w:vMerge w:val="restart"/>
                  <w:tcMar>
                    <w:top w:w="15" w:type="dxa"/>
                    <w:left w:w="15" w:type="dxa"/>
                    <w:bottom w:w="0" w:type="dxa"/>
                    <w:right w:w="15" w:type="dxa"/>
                  </w:tcMar>
                  <w:vAlign w:val="center"/>
                </w:tcPr>
                <w:p w14:paraId="763DD67D">
                  <w:pPr>
                    <w:adjustRightInd w:val="0"/>
                    <w:snapToGrid w:val="0"/>
                    <w:jc w:val="center"/>
                    <w:rPr>
                      <w:rFonts w:hint="eastAsia" w:ascii="Times New Roman" w:hAnsi="Times New Roman"/>
                      <w:color w:val="auto"/>
                      <w:sz w:val="21"/>
                      <w:szCs w:val="21"/>
                    </w:rPr>
                  </w:pPr>
                  <w:r>
                    <w:rPr>
                      <w:rFonts w:hint="eastAsia" w:ascii="Times New Roman" w:hAnsi="Times New Roman"/>
                      <w:color w:val="auto"/>
                      <w:sz w:val="21"/>
                      <w:szCs w:val="21"/>
                    </w:rPr>
                    <w:t>4</w:t>
                  </w:r>
                </w:p>
              </w:tc>
              <w:tc>
                <w:tcPr>
                  <w:tcW w:w="715" w:type="dxa"/>
                  <w:vMerge w:val="restart"/>
                  <w:tcMar>
                    <w:top w:w="15" w:type="dxa"/>
                    <w:left w:w="15" w:type="dxa"/>
                    <w:bottom w:w="0" w:type="dxa"/>
                    <w:right w:w="15" w:type="dxa"/>
                  </w:tcMar>
                  <w:vAlign w:val="center"/>
                </w:tcPr>
                <w:p w14:paraId="2FD5CF51">
                  <w:pPr>
                    <w:adjustRightInd w:val="0"/>
                    <w:snapToGrid w:val="0"/>
                    <w:jc w:val="center"/>
                    <w:rPr>
                      <w:rFonts w:ascii="Times New Roman" w:hAnsi="Times New Roman"/>
                      <w:color w:val="auto"/>
                      <w:sz w:val="21"/>
                      <w:szCs w:val="21"/>
                    </w:rPr>
                  </w:pPr>
                  <w:r>
                    <w:rPr>
                      <w:rFonts w:ascii="Times New Roman" w:hAnsi="Times New Roman"/>
                      <w:color w:val="auto"/>
                      <w:sz w:val="21"/>
                      <w:szCs w:val="21"/>
                    </w:rPr>
                    <w:t>固体废物</w:t>
                  </w:r>
                </w:p>
              </w:tc>
              <w:tc>
                <w:tcPr>
                  <w:tcW w:w="2655" w:type="dxa"/>
                  <w:tcMar>
                    <w:top w:w="15" w:type="dxa"/>
                    <w:left w:w="15" w:type="dxa"/>
                    <w:bottom w:w="0" w:type="dxa"/>
                    <w:right w:w="15" w:type="dxa"/>
                  </w:tcMar>
                  <w:vAlign w:val="center"/>
                </w:tcPr>
                <w:p w14:paraId="39FB1115">
                  <w:pPr>
                    <w:spacing w:line="260" w:lineRule="exact"/>
                    <w:jc w:val="center"/>
                    <w:rPr>
                      <w:rFonts w:ascii="Times New Roman" w:hAnsi="Times New Roman"/>
                      <w:color w:val="auto"/>
                      <w:sz w:val="21"/>
                      <w:szCs w:val="21"/>
                    </w:rPr>
                  </w:pPr>
                  <w:r>
                    <w:rPr>
                      <w:rFonts w:hint="eastAsia" w:ascii="Times New Roman" w:hAnsi="Times New Roman"/>
                      <w:color w:val="auto"/>
                      <w:sz w:val="21"/>
                      <w:szCs w:val="21"/>
                    </w:rPr>
                    <w:t>集中收集后交由周边农户堆肥，作为农肥使用</w:t>
                  </w:r>
                </w:p>
              </w:tc>
              <w:tc>
                <w:tcPr>
                  <w:tcW w:w="1095" w:type="dxa"/>
                  <w:tcMar>
                    <w:top w:w="15" w:type="dxa"/>
                    <w:left w:w="15" w:type="dxa"/>
                    <w:bottom w:w="0" w:type="dxa"/>
                    <w:right w:w="15" w:type="dxa"/>
                  </w:tcMar>
                  <w:vAlign w:val="center"/>
                </w:tcPr>
                <w:p w14:paraId="71DF8398">
                  <w:pPr>
                    <w:jc w:val="center"/>
                    <w:rPr>
                      <w:rFonts w:ascii="Times New Roman" w:hAnsi="Times New Roman"/>
                      <w:color w:val="auto"/>
                      <w:sz w:val="21"/>
                      <w:szCs w:val="21"/>
                    </w:rPr>
                  </w:pPr>
                  <w:r>
                    <w:rPr>
                      <w:rFonts w:hint="eastAsia" w:ascii="Times New Roman" w:hAnsi="Times New Roman"/>
                      <w:color w:val="auto"/>
                      <w:sz w:val="21"/>
                      <w:szCs w:val="21"/>
                      <w:lang w:eastAsia="zh-CN"/>
                    </w:rPr>
                    <w:t>杂质</w:t>
                  </w:r>
                </w:p>
              </w:tc>
              <w:tc>
                <w:tcPr>
                  <w:tcW w:w="2940" w:type="dxa"/>
                  <w:tcMar>
                    <w:top w:w="15" w:type="dxa"/>
                    <w:left w:w="15" w:type="dxa"/>
                    <w:bottom w:w="0" w:type="dxa"/>
                    <w:right w:w="15" w:type="dxa"/>
                  </w:tcMar>
                  <w:vAlign w:val="center"/>
                </w:tcPr>
                <w:p w14:paraId="67F40921">
                  <w:pPr>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交</w:t>
                  </w:r>
                  <w:r>
                    <w:rPr>
                      <w:rFonts w:hint="eastAsia" w:ascii="Times New Roman" w:hAnsi="Times New Roman"/>
                      <w:color w:val="auto"/>
                      <w:sz w:val="21"/>
                      <w:szCs w:val="21"/>
                    </w:rPr>
                    <w:t>由周边农户堆肥，作为农肥使用</w:t>
                  </w:r>
                </w:p>
              </w:tc>
              <w:tc>
                <w:tcPr>
                  <w:tcW w:w="955" w:type="dxa"/>
                  <w:vMerge w:val="restart"/>
                  <w:tcMar>
                    <w:top w:w="15" w:type="dxa"/>
                    <w:left w:w="15" w:type="dxa"/>
                    <w:bottom w:w="0" w:type="dxa"/>
                    <w:right w:w="15" w:type="dxa"/>
                  </w:tcMar>
                  <w:vAlign w:val="center"/>
                </w:tcPr>
                <w:p w14:paraId="00B286BC">
                  <w:pPr>
                    <w:jc w:val="center"/>
                    <w:rPr>
                      <w:rFonts w:hint="eastAsia" w:ascii="Times New Roman" w:hAnsi="Times New Roman"/>
                      <w:color w:val="auto"/>
                      <w:sz w:val="21"/>
                      <w:szCs w:val="21"/>
                      <w:lang w:val="en-US" w:eastAsia="zh-CN"/>
                    </w:rPr>
                  </w:pPr>
                  <w:r>
                    <w:rPr>
                      <w:rFonts w:hint="eastAsia" w:ascii="宋体" w:hAnsi="宋体" w:eastAsia="宋体" w:cs="宋体"/>
                      <w:color w:val="auto"/>
                      <w:sz w:val="21"/>
                      <w:szCs w:val="21"/>
                      <w:lang w:eastAsia="zh-CN"/>
                    </w:rPr>
                    <w:t>处置率</w:t>
                  </w:r>
                  <w:r>
                    <w:rPr>
                      <w:rFonts w:hint="eastAsia" w:ascii="宋体" w:hAnsi="宋体" w:eastAsia="宋体" w:cs="宋体"/>
                      <w:color w:val="auto"/>
                      <w:sz w:val="21"/>
                      <w:szCs w:val="21"/>
                      <w:lang w:val="en-US" w:eastAsia="zh-CN"/>
                    </w:rPr>
                    <w:t>100%</w:t>
                  </w:r>
                </w:p>
              </w:tc>
            </w:tr>
            <w:tr w14:paraId="4626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exact"/>
                <w:jc w:val="center"/>
              </w:trPr>
              <w:tc>
                <w:tcPr>
                  <w:tcW w:w="362" w:type="dxa"/>
                  <w:vMerge w:val="continue"/>
                  <w:tcMar>
                    <w:top w:w="15" w:type="dxa"/>
                    <w:left w:w="15" w:type="dxa"/>
                    <w:bottom w:w="0" w:type="dxa"/>
                    <w:right w:w="15" w:type="dxa"/>
                  </w:tcMar>
                  <w:vAlign w:val="center"/>
                </w:tcPr>
                <w:p w14:paraId="249216CC">
                  <w:pPr>
                    <w:adjustRightInd w:val="0"/>
                    <w:snapToGrid w:val="0"/>
                    <w:jc w:val="center"/>
                    <w:rPr>
                      <w:rFonts w:hint="eastAsia" w:ascii="Times New Roman" w:hAnsi="Times New Roman"/>
                      <w:color w:val="auto"/>
                      <w:sz w:val="21"/>
                      <w:szCs w:val="21"/>
                    </w:rPr>
                  </w:pPr>
                </w:p>
              </w:tc>
              <w:tc>
                <w:tcPr>
                  <w:tcW w:w="715" w:type="dxa"/>
                  <w:vMerge w:val="continue"/>
                  <w:tcMar>
                    <w:top w:w="15" w:type="dxa"/>
                    <w:left w:w="15" w:type="dxa"/>
                    <w:bottom w:w="0" w:type="dxa"/>
                    <w:right w:w="15" w:type="dxa"/>
                  </w:tcMar>
                  <w:vAlign w:val="center"/>
                </w:tcPr>
                <w:p w14:paraId="1CACCE61">
                  <w:pPr>
                    <w:adjustRightInd w:val="0"/>
                    <w:snapToGrid w:val="0"/>
                    <w:jc w:val="center"/>
                    <w:rPr>
                      <w:rFonts w:ascii="Times New Roman" w:hAnsi="Times New Roman"/>
                      <w:color w:val="auto"/>
                      <w:sz w:val="21"/>
                      <w:szCs w:val="21"/>
                    </w:rPr>
                  </w:pPr>
                </w:p>
              </w:tc>
              <w:tc>
                <w:tcPr>
                  <w:tcW w:w="2655" w:type="dxa"/>
                  <w:tcMar>
                    <w:top w:w="15" w:type="dxa"/>
                    <w:left w:w="15" w:type="dxa"/>
                    <w:bottom w:w="0" w:type="dxa"/>
                    <w:right w:w="15" w:type="dxa"/>
                  </w:tcMar>
                  <w:vAlign w:val="center"/>
                </w:tcPr>
                <w:p w14:paraId="45CB8735">
                  <w:pPr>
                    <w:tabs>
                      <w:tab w:val="left" w:pos="5529"/>
                    </w:tabs>
                    <w:snapToGrid w:val="0"/>
                    <w:spacing w:line="260" w:lineRule="exact"/>
                    <w:jc w:val="center"/>
                    <w:rPr>
                      <w:rFonts w:ascii="Times New Roman" w:hAnsi="Times New Roman"/>
                      <w:color w:val="auto"/>
                      <w:sz w:val="21"/>
                      <w:szCs w:val="21"/>
                    </w:rPr>
                  </w:pPr>
                  <w:r>
                    <w:rPr>
                      <w:rFonts w:hint="eastAsia" w:ascii="Times New Roman" w:hAnsi="Times New Roman"/>
                      <w:bCs/>
                      <w:color w:val="auto"/>
                      <w:sz w:val="21"/>
                      <w:szCs w:val="21"/>
                    </w:rPr>
                    <w:t>由专人收集回收利用，不外排</w:t>
                  </w:r>
                </w:p>
              </w:tc>
              <w:tc>
                <w:tcPr>
                  <w:tcW w:w="1095" w:type="dxa"/>
                  <w:tcMar>
                    <w:top w:w="15" w:type="dxa"/>
                    <w:left w:w="15" w:type="dxa"/>
                    <w:bottom w:w="0" w:type="dxa"/>
                    <w:right w:w="15" w:type="dxa"/>
                  </w:tcMar>
                  <w:vAlign w:val="center"/>
                </w:tcPr>
                <w:p w14:paraId="52B4A545">
                  <w:pPr>
                    <w:jc w:val="center"/>
                    <w:rPr>
                      <w:rFonts w:hint="eastAsia" w:ascii="Times New Roman" w:hAnsi="Times New Roman"/>
                      <w:color w:val="auto"/>
                      <w:sz w:val="21"/>
                      <w:szCs w:val="21"/>
                    </w:rPr>
                  </w:pPr>
                  <w:r>
                    <w:rPr>
                      <w:rFonts w:hint="eastAsia" w:ascii="Times New Roman" w:hAnsi="Times New Roman"/>
                      <w:color w:val="auto"/>
                      <w:sz w:val="21"/>
                      <w:szCs w:val="21"/>
                      <w:lang w:eastAsia="zh-CN"/>
                    </w:rPr>
                    <w:t>原辅材料包装物</w:t>
                  </w:r>
                </w:p>
              </w:tc>
              <w:tc>
                <w:tcPr>
                  <w:tcW w:w="2940" w:type="dxa"/>
                  <w:tcMar>
                    <w:top w:w="15" w:type="dxa"/>
                    <w:left w:w="15" w:type="dxa"/>
                    <w:bottom w:w="0" w:type="dxa"/>
                    <w:right w:w="15" w:type="dxa"/>
                  </w:tcMar>
                  <w:vAlign w:val="center"/>
                </w:tcPr>
                <w:p w14:paraId="6BFEA057">
                  <w:pPr>
                    <w:jc w:val="center"/>
                    <w:rPr>
                      <w:rFonts w:hint="eastAsia" w:ascii="Times New Roman" w:hAnsi="Times New Roman"/>
                      <w:color w:val="auto"/>
                      <w:sz w:val="21"/>
                      <w:szCs w:val="21"/>
                      <w:lang w:eastAsia="zh-CN"/>
                    </w:rPr>
                  </w:pPr>
                  <w:r>
                    <w:rPr>
                      <w:rFonts w:hint="eastAsia" w:ascii="Times New Roman" w:hAnsi="Times New Roman"/>
                      <w:bCs/>
                      <w:color w:val="auto"/>
                      <w:sz w:val="21"/>
                      <w:szCs w:val="21"/>
                    </w:rPr>
                    <w:t>专人收集回收利用，不外排</w:t>
                  </w:r>
                </w:p>
              </w:tc>
              <w:tc>
                <w:tcPr>
                  <w:tcW w:w="955" w:type="dxa"/>
                  <w:vMerge w:val="continue"/>
                  <w:tcMar>
                    <w:top w:w="15" w:type="dxa"/>
                    <w:left w:w="15" w:type="dxa"/>
                    <w:bottom w:w="0" w:type="dxa"/>
                    <w:right w:w="15" w:type="dxa"/>
                  </w:tcMar>
                  <w:vAlign w:val="center"/>
                </w:tcPr>
                <w:p w14:paraId="3ADD0DCE">
                  <w:pPr>
                    <w:jc w:val="center"/>
                    <w:rPr>
                      <w:rFonts w:hint="eastAsia" w:ascii="Times New Roman" w:hAnsi="Times New Roman"/>
                      <w:bCs/>
                      <w:color w:val="auto"/>
                      <w:sz w:val="21"/>
                      <w:szCs w:val="21"/>
                    </w:rPr>
                  </w:pPr>
                </w:p>
              </w:tc>
            </w:tr>
            <w:tr w14:paraId="4574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exact"/>
                <w:jc w:val="center"/>
              </w:trPr>
              <w:tc>
                <w:tcPr>
                  <w:tcW w:w="362" w:type="dxa"/>
                  <w:vMerge w:val="continue"/>
                  <w:tcMar>
                    <w:top w:w="15" w:type="dxa"/>
                    <w:left w:w="15" w:type="dxa"/>
                    <w:bottom w:w="0" w:type="dxa"/>
                    <w:right w:w="15" w:type="dxa"/>
                  </w:tcMar>
                  <w:vAlign w:val="center"/>
                </w:tcPr>
                <w:p w14:paraId="306228F4">
                  <w:pPr>
                    <w:adjustRightInd w:val="0"/>
                    <w:snapToGrid w:val="0"/>
                    <w:jc w:val="center"/>
                    <w:rPr>
                      <w:rFonts w:hint="eastAsia" w:ascii="Times New Roman" w:hAnsi="Times New Roman"/>
                      <w:color w:val="auto"/>
                      <w:sz w:val="21"/>
                      <w:szCs w:val="21"/>
                    </w:rPr>
                  </w:pPr>
                </w:p>
              </w:tc>
              <w:tc>
                <w:tcPr>
                  <w:tcW w:w="715" w:type="dxa"/>
                  <w:vMerge w:val="continue"/>
                  <w:tcMar>
                    <w:top w:w="15" w:type="dxa"/>
                    <w:left w:w="15" w:type="dxa"/>
                    <w:bottom w:w="0" w:type="dxa"/>
                    <w:right w:w="15" w:type="dxa"/>
                  </w:tcMar>
                  <w:vAlign w:val="center"/>
                </w:tcPr>
                <w:p w14:paraId="312E2EC5">
                  <w:pPr>
                    <w:adjustRightInd w:val="0"/>
                    <w:snapToGrid w:val="0"/>
                    <w:jc w:val="center"/>
                    <w:rPr>
                      <w:rFonts w:ascii="Times New Roman" w:hAnsi="Times New Roman"/>
                      <w:color w:val="auto"/>
                      <w:sz w:val="21"/>
                      <w:szCs w:val="21"/>
                    </w:rPr>
                  </w:pPr>
                </w:p>
              </w:tc>
              <w:tc>
                <w:tcPr>
                  <w:tcW w:w="2655" w:type="dxa"/>
                  <w:tcMar>
                    <w:top w:w="15" w:type="dxa"/>
                    <w:left w:w="15" w:type="dxa"/>
                    <w:bottom w:w="0" w:type="dxa"/>
                    <w:right w:w="15" w:type="dxa"/>
                  </w:tcMar>
                  <w:vAlign w:val="center"/>
                </w:tcPr>
                <w:p w14:paraId="448A2488">
                  <w:pPr>
                    <w:spacing w:line="260" w:lineRule="exact"/>
                    <w:jc w:val="center"/>
                    <w:rPr>
                      <w:rFonts w:ascii="Times New Roman" w:hAnsi="Times New Roman"/>
                      <w:color w:val="auto"/>
                      <w:sz w:val="21"/>
                      <w:szCs w:val="21"/>
                    </w:rPr>
                  </w:pPr>
                  <w:r>
                    <w:rPr>
                      <w:rFonts w:hint="eastAsia" w:ascii="Times New Roman" w:hAnsi="Times New Roman" w:cs="宋体"/>
                      <w:color w:val="auto"/>
                      <w:sz w:val="21"/>
                      <w:szCs w:val="21"/>
                      <w:lang w:val="zh-CN"/>
                    </w:rPr>
                    <w:t>集中收集后</w:t>
                  </w:r>
                  <w:r>
                    <w:rPr>
                      <w:rFonts w:hint="eastAsia" w:ascii="宋体" w:hAnsi="宋体" w:eastAsia="宋体" w:cs="宋体"/>
                      <w:color w:val="auto"/>
                      <w:sz w:val="21"/>
                      <w:szCs w:val="21"/>
                      <w:lang w:val="zh-CN"/>
                    </w:rPr>
                    <w:t>卖给附近农户作为农田施肥</w:t>
                  </w:r>
                </w:p>
              </w:tc>
              <w:tc>
                <w:tcPr>
                  <w:tcW w:w="1095" w:type="dxa"/>
                  <w:tcMar>
                    <w:top w:w="15" w:type="dxa"/>
                    <w:left w:w="15" w:type="dxa"/>
                    <w:bottom w:w="0" w:type="dxa"/>
                    <w:right w:w="15" w:type="dxa"/>
                  </w:tcMar>
                  <w:vAlign w:val="center"/>
                </w:tcPr>
                <w:p w14:paraId="4EBA37C8">
                  <w:pPr>
                    <w:jc w:val="center"/>
                    <w:rPr>
                      <w:rFonts w:hint="eastAsia" w:ascii="Times New Roman" w:hAnsi="Times New Roman"/>
                      <w:color w:val="auto"/>
                      <w:sz w:val="21"/>
                      <w:szCs w:val="21"/>
                    </w:rPr>
                  </w:pPr>
                  <w:r>
                    <w:rPr>
                      <w:rFonts w:hint="eastAsia" w:ascii="Times New Roman" w:hAnsi="Times New Roman"/>
                      <w:color w:val="auto"/>
                      <w:sz w:val="21"/>
                      <w:szCs w:val="21"/>
                      <w:lang w:eastAsia="zh-CN"/>
                    </w:rPr>
                    <w:t>热风炉灰渣</w:t>
                  </w:r>
                </w:p>
              </w:tc>
              <w:tc>
                <w:tcPr>
                  <w:tcW w:w="2940" w:type="dxa"/>
                  <w:tcMar>
                    <w:top w:w="15" w:type="dxa"/>
                    <w:left w:w="15" w:type="dxa"/>
                    <w:bottom w:w="0" w:type="dxa"/>
                    <w:right w:w="15" w:type="dxa"/>
                  </w:tcMar>
                  <w:vAlign w:val="center"/>
                </w:tcPr>
                <w:p w14:paraId="0B05B06E">
                  <w:pPr>
                    <w:jc w:val="center"/>
                    <w:rPr>
                      <w:rFonts w:hint="eastAsia" w:ascii="Times New Roman" w:hAnsi="Times New Roman"/>
                      <w:color w:val="auto"/>
                      <w:sz w:val="21"/>
                      <w:szCs w:val="21"/>
                      <w:lang w:eastAsia="zh-CN"/>
                    </w:rPr>
                  </w:pPr>
                  <w:r>
                    <w:rPr>
                      <w:rFonts w:hint="eastAsia" w:ascii="宋体" w:hAnsi="宋体" w:eastAsia="宋体" w:cs="宋体"/>
                      <w:color w:val="auto"/>
                      <w:sz w:val="21"/>
                      <w:szCs w:val="21"/>
                      <w:lang w:val="zh-CN"/>
                    </w:rPr>
                    <w:t>卖给附近农户作为农田施肥</w:t>
                  </w:r>
                  <w:r>
                    <w:rPr>
                      <w:rFonts w:hint="eastAsia" w:ascii="Times New Roman" w:hAnsi="Times New Roman"/>
                      <w:color w:val="auto"/>
                      <w:sz w:val="21"/>
                      <w:szCs w:val="21"/>
                      <w:lang w:eastAsia="zh-CN"/>
                    </w:rPr>
                    <w:t>，不外排</w:t>
                  </w:r>
                </w:p>
              </w:tc>
              <w:tc>
                <w:tcPr>
                  <w:tcW w:w="955" w:type="dxa"/>
                  <w:vMerge w:val="continue"/>
                  <w:tcMar>
                    <w:top w:w="15" w:type="dxa"/>
                    <w:left w:w="15" w:type="dxa"/>
                    <w:bottom w:w="0" w:type="dxa"/>
                    <w:right w:w="15" w:type="dxa"/>
                  </w:tcMar>
                  <w:vAlign w:val="center"/>
                </w:tcPr>
                <w:p w14:paraId="6572EAB3">
                  <w:pPr>
                    <w:jc w:val="center"/>
                    <w:rPr>
                      <w:rFonts w:hint="eastAsia" w:ascii="Times New Roman" w:hAnsi="Times New Roman" w:cs="宋体"/>
                      <w:color w:val="auto"/>
                      <w:sz w:val="21"/>
                      <w:szCs w:val="21"/>
                      <w:lang w:val="zh-CN"/>
                    </w:rPr>
                  </w:pPr>
                </w:p>
              </w:tc>
            </w:tr>
            <w:tr w14:paraId="606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exact"/>
                <w:jc w:val="center"/>
              </w:trPr>
              <w:tc>
                <w:tcPr>
                  <w:tcW w:w="362" w:type="dxa"/>
                  <w:vMerge w:val="continue"/>
                  <w:tcMar>
                    <w:top w:w="15" w:type="dxa"/>
                    <w:left w:w="15" w:type="dxa"/>
                    <w:bottom w:w="0" w:type="dxa"/>
                    <w:right w:w="15" w:type="dxa"/>
                  </w:tcMar>
                  <w:vAlign w:val="center"/>
                </w:tcPr>
                <w:p w14:paraId="3F7A3899">
                  <w:pPr>
                    <w:adjustRightInd w:val="0"/>
                    <w:snapToGrid w:val="0"/>
                    <w:jc w:val="center"/>
                    <w:rPr>
                      <w:rFonts w:hint="eastAsia" w:ascii="Times New Roman" w:hAnsi="Times New Roman"/>
                      <w:color w:val="auto"/>
                      <w:sz w:val="21"/>
                      <w:szCs w:val="21"/>
                    </w:rPr>
                  </w:pPr>
                </w:p>
              </w:tc>
              <w:tc>
                <w:tcPr>
                  <w:tcW w:w="715" w:type="dxa"/>
                  <w:vMerge w:val="continue"/>
                  <w:tcMar>
                    <w:top w:w="15" w:type="dxa"/>
                    <w:left w:w="15" w:type="dxa"/>
                    <w:bottom w:w="0" w:type="dxa"/>
                    <w:right w:w="15" w:type="dxa"/>
                  </w:tcMar>
                  <w:vAlign w:val="center"/>
                </w:tcPr>
                <w:p w14:paraId="0A31FE8A">
                  <w:pPr>
                    <w:adjustRightInd w:val="0"/>
                    <w:snapToGrid w:val="0"/>
                    <w:jc w:val="center"/>
                    <w:rPr>
                      <w:rFonts w:ascii="Times New Roman" w:hAnsi="Times New Roman"/>
                      <w:color w:val="auto"/>
                      <w:sz w:val="21"/>
                      <w:szCs w:val="21"/>
                    </w:rPr>
                  </w:pPr>
                </w:p>
              </w:tc>
              <w:tc>
                <w:tcPr>
                  <w:tcW w:w="2655" w:type="dxa"/>
                  <w:tcMar>
                    <w:top w:w="15" w:type="dxa"/>
                    <w:left w:w="15" w:type="dxa"/>
                    <w:bottom w:w="0" w:type="dxa"/>
                    <w:right w:w="15" w:type="dxa"/>
                  </w:tcMar>
                  <w:vAlign w:val="center"/>
                </w:tcPr>
                <w:p w14:paraId="5FF0EDB6">
                  <w:pPr>
                    <w:spacing w:line="260" w:lineRule="exact"/>
                    <w:jc w:val="center"/>
                    <w:rPr>
                      <w:rFonts w:ascii="Times New Roman" w:hAnsi="Times New Roman"/>
                      <w:color w:val="auto"/>
                      <w:sz w:val="21"/>
                      <w:szCs w:val="21"/>
                    </w:rPr>
                  </w:pPr>
                  <w:r>
                    <w:rPr>
                      <w:rFonts w:hint="eastAsia" w:ascii="Times New Roman" w:hAnsi="Times New Roman"/>
                      <w:color w:val="auto"/>
                      <w:sz w:val="21"/>
                      <w:szCs w:val="21"/>
                    </w:rPr>
                    <w:t>由卫生人员</w:t>
                  </w:r>
                  <w:r>
                    <w:rPr>
                      <w:rFonts w:hint="eastAsia" w:ascii="Times New Roman" w:hAnsi="Times New Roman" w:cs="宋体"/>
                      <w:color w:val="auto"/>
                      <w:sz w:val="21"/>
                      <w:szCs w:val="21"/>
                    </w:rPr>
                    <w:t>统一收集后，清运至相关部门指定地点处理</w:t>
                  </w:r>
                </w:p>
              </w:tc>
              <w:tc>
                <w:tcPr>
                  <w:tcW w:w="1095" w:type="dxa"/>
                  <w:tcMar>
                    <w:top w:w="15" w:type="dxa"/>
                    <w:left w:w="15" w:type="dxa"/>
                    <w:bottom w:w="0" w:type="dxa"/>
                    <w:right w:w="15" w:type="dxa"/>
                  </w:tcMar>
                  <w:vAlign w:val="center"/>
                </w:tcPr>
                <w:p w14:paraId="2CB4DCB1">
                  <w:pPr>
                    <w:spacing w:line="260" w:lineRule="exact"/>
                    <w:jc w:val="center"/>
                    <w:rPr>
                      <w:rFonts w:hint="eastAsia" w:ascii="Times New Roman" w:hAnsi="Times New Roman"/>
                      <w:color w:val="auto"/>
                      <w:sz w:val="21"/>
                      <w:szCs w:val="21"/>
                    </w:rPr>
                  </w:pPr>
                  <w:r>
                    <w:rPr>
                      <w:rFonts w:ascii="Times New Roman" w:hAnsi="Times New Roman"/>
                      <w:bCs/>
                      <w:color w:val="auto"/>
                      <w:sz w:val="21"/>
                      <w:szCs w:val="21"/>
                    </w:rPr>
                    <w:t>生活垃圾</w:t>
                  </w:r>
                </w:p>
              </w:tc>
              <w:tc>
                <w:tcPr>
                  <w:tcW w:w="2940" w:type="dxa"/>
                  <w:tcMar>
                    <w:top w:w="15" w:type="dxa"/>
                    <w:left w:w="15" w:type="dxa"/>
                    <w:bottom w:w="0" w:type="dxa"/>
                    <w:right w:w="15" w:type="dxa"/>
                  </w:tcMar>
                  <w:vAlign w:val="center"/>
                </w:tcPr>
                <w:p w14:paraId="63DEB19F">
                  <w:pPr>
                    <w:jc w:val="center"/>
                    <w:rPr>
                      <w:rFonts w:ascii="Times New Roman" w:hAnsi="Times New Roman" w:cs="Times New Roman"/>
                      <w:color w:val="auto"/>
                      <w:szCs w:val="21"/>
                    </w:rPr>
                  </w:pPr>
                  <w:r>
                    <w:rPr>
                      <w:rFonts w:ascii="Times New Roman" w:hAnsi="Times New Roman" w:cs="Times New Roman"/>
                      <w:color w:val="auto"/>
                      <w:szCs w:val="21"/>
                    </w:rPr>
                    <w:t>无害化处理，保持区内和周围</w:t>
                  </w:r>
                </w:p>
                <w:p w14:paraId="3167DC83">
                  <w:pPr>
                    <w:spacing w:line="260" w:lineRule="exact"/>
                    <w:jc w:val="center"/>
                    <w:rPr>
                      <w:rFonts w:ascii="Times New Roman" w:hAnsi="Times New Roman"/>
                      <w:bCs/>
                      <w:color w:val="auto"/>
                      <w:sz w:val="21"/>
                      <w:szCs w:val="21"/>
                    </w:rPr>
                  </w:pPr>
                  <w:r>
                    <w:rPr>
                      <w:rFonts w:ascii="Times New Roman" w:hAnsi="Times New Roman" w:cs="Times New Roman"/>
                      <w:color w:val="auto"/>
                      <w:szCs w:val="21"/>
                    </w:rPr>
                    <w:t>环境优美</w:t>
                  </w:r>
                </w:p>
              </w:tc>
              <w:tc>
                <w:tcPr>
                  <w:tcW w:w="955" w:type="dxa"/>
                  <w:vMerge w:val="continue"/>
                  <w:tcMar>
                    <w:top w:w="15" w:type="dxa"/>
                    <w:left w:w="15" w:type="dxa"/>
                    <w:bottom w:w="0" w:type="dxa"/>
                    <w:right w:w="15" w:type="dxa"/>
                  </w:tcMar>
                  <w:vAlign w:val="center"/>
                </w:tcPr>
                <w:p w14:paraId="02671121">
                  <w:pPr>
                    <w:spacing w:line="260" w:lineRule="exact"/>
                    <w:jc w:val="center"/>
                    <w:rPr>
                      <w:rFonts w:ascii="Times New Roman" w:hAnsi="Times New Roman" w:cs="Times New Roman"/>
                      <w:color w:val="auto"/>
                      <w:szCs w:val="21"/>
                    </w:rPr>
                  </w:pPr>
                </w:p>
              </w:tc>
            </w:tr>
            <w:tr w14:paraId="2758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exact"/>
                <w:jc w:val="center"/>
              </w:trPr>
              <w:tc>
                <w:tcPr>
                  <w:tcW w:w="362" w:type="dxa"/>
                  <w:vMerge w:val="continue"/>
                  <w:tcMar>
                    <w:top w:w="15" w:type="dxa"/>
                    <w:left w:w="15" w:type="dxa"/>
                    <w:bottom w:w="0" w:type="dxa"/>
                    <w:right w:w="15" w:type="dxa"/>
                  </w:tcMar>
                  <w:vAlign w:val="center"/>
                </w:tcPr>
                <w:p w14:paraId="445329DD">
                  <w:pPr>
                    <w:adjustRightInd w:val="0"/>
                    <w:snapToGrid w:val="0"/>
                    <w:jc w:val="center"/>
                    <w:rPr>
                      <w:rFonts w:hint="eastAsia" w:ascii="Times New Roman" w:hAnsi="Times New Roman"/>
                      <w:color w:val="auto"/>
                      <w:sz w:val="21"/>
                      <w:szCs w:val="21"/>
                    </w:rPr>
                  </w:pPr>
                </w:p>
              </w:tc>
              <w:tc>
                <w:tcPr>
                  <w:tcW w:w="715" w:type="dxa"/>
                  <w:vMerge w:val="continue"/>
                  <w:tcMar>
                    <w:top w:w="15" w:type="dxa"/>
                    <w:left w:w="15" w:type="dxa"/>
                    <w:bottom w:w="0" w:type="dxa"/>
                    <w:right w:w="15" w:type="dxa"/>
                  </w:tcMar>
                  <w:vAlign w:val="center"/>
                </w:tcPr>
                <w:p w14:paraId="1F0B5AB8">
                  <w:pPr>
                    <w:adjustRightInd w:val="0"/>
                    <w:snapToGrid w:val="0"/>
                    <w:jc w:val="center"/>
                    <w:rPr>
                      <w:rFonts w:ascii="Times New Roman" w:hAnsi="Times New Roman"/>
                      <w:color w:val="auto"/>
                      <w:sz w:val="21"/>
                      <w:szCs w:val="21"/>
                    </w:rPr>
                  </w:pPr>
                </w:p>
              </w:tc>
              <w:tc>
                <w:tcPr>
                  <w:tcW w:w="2655" w:type="dxa"/>
                  <w:tcMar>
                    <w:top w:w="15" w:type="dxa"/>
                    <w:left w:w="15" w:type="dxa"/>
                    <w:bottom w:w="0" w:type="dxa"/>
                    <w:right w:w="15" w:type="dxa"/>
                  </w:tcMar>
                  <w:vAlign w:val="center"/>
                </w:tcPr>
                <w:p w14:paraId="7CDDA74E">
                  <w:pPr>
                    <w:spacing w:line="2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委托周边农民清掏作为农肥</w:t>
                  </w:r>
                </w:p>
              </w:tc>
              <w:tc>
                <w:tcPr>
                  <w:tcW w:w="1095" w:type="dxa"/>
                  <w:tcMar>
                    <w:top w:w="15" w:type="dxa"/>
                    <w:left w:w="15" w:type="dxa"/>
                    <w:bottom w:w="0" w:type="dxa"/>
                    <w:right w:w="15" w:type="dxa"/>
                  </w:tcMar>
                  <w:vAlign w:val="center"/>
                </w:tcPr>
                <w:p w14:paraId="6854C872">
                  <w:pPr>
                    <w:spacing w:line="260" w:lineRule="exact"/>
                    <w:jc w:val="center"/>
                    <w:rPr>
                      <w:rFonts w:ascii="Times New Roman" w:hAnsi="Times New Roman"/>
                      <w:bCs/>
                      <w:color w:val="auto"/>
                      <w:sz w:val="21"/>
                      <w:szCs w:val="21"/>
                    </w:rPr>
                  </w:pPr>
                  <w:r>
                    <w:rPr>
                      <w:rFonts w:hint="eastAsia" w:ascii="Times New Roman" w:hAnsi="Times New Roman"/>
                      <w:color w:val="auto"/>
                      <w:sz w:val="21"/>
                      <w:szCs w:val="21"/>
                      <w:lang w:eastAsia="zh-CN"/>
                    </w:rPr>
                    <w:t>化粪池污泥</w:t>
                  </w:r>
                </w:p>
              </w:tc>
              <w:tc>
                <w:tcPr>
                  <w:tcW w:w="2940" w:type="dxa"/>
                  <w:tcMar>
                    <w:top w:w="15" w:type="dxa"/>
                    <w:left w:w="15" w:type="dxa"/>
                    <w:bottom w:w="0" w:type="dxa"/>
                    <w:right w:w="15" w:type="dxa"/>
                  </w:tcMar>
                  <w:vAlign w:val="center"/>
                </w:tcPr>
                <w:p w14:paraId="08C3E94C">
                  <w:pPr>
                    <w:spacing w:line="2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清掏作为农肥，不外排</w:t>
                  </w:r>
                </w:p>
              </w:tc>
              <w:tc>
                <w:tcPr>
                  <w:tcW w:w="955" w:type="dxa"/>
                  <w:vMerge w:val="continue"/>
                  <w:tcMar>
                    <w:top w:w="15" w:type="dxa"/>
                    <w:left w:w="15" w:type="dxa"/>
                    <w:bottom w:w="0" w:type="dxa"/>
                    <w:right w:w="15" w:type="dxa"/>
                  </w:tcMar>
                  <w:vAlign w:val="center"/>
                </w:tcPr>
                <w:p w14:paraId="02E72A76">
                  <w:pPr>
                    <w:spacing w:line="260" w:lineRule="exact"/>
                    <w:jc w:val="center"/>
                    <w:rPr>
                      <w:rFonts w:hint="eastAsia" w:ascii="Times New Roman" w:hAnsi="Times New Roman"/>
                      <w:color w:val="auto"/>
                      <w:sz w:val="21"/>
                      <w:szCs w:val="21"/>
                      <w:lang w:eastAsia="zh-CN"/>
                    </w:rPr>
                  </w:pPr>
                </w:p>
              </w:tc>
            </w:tr>
          </w:tbl>
          <w:p w14:paraId="325600B9">
            <w:pPr>
              <w:spacing w:before="156" w:beforeLines="50" w:after="156" w:afterLines="50" w:line="240" w:lineRule="auto"/>
              <w:jc w:val="left"/>
              <w:rPr>
                <w:rFonts w:ascii="Times New Roman" w:hAnsi="Times New Roman"/>
                <w:b/>
                <w:color w:val="auto"/>
                <w:sz w:val="24"/>
              </w:rPr>
            </w:pPr>
            <w:r>
              <w:rPr>
                <w:rFonts w:hint="eastAsia" w:ascii="Times New Roman" w:hAnsi="Times New Roman" w:cs="宋体"/>
                <w:b/>
                <w:color w:val="auto"/>
                <w:sz w:val="24"/>
                <w:szCs w:val="24"/>
              </w:rPr>
              <w:t>（</w:t>
            </w:r>
            <w:r>
              <w:rPr>
                <w:rFonts w:hint="eastAsia" w:ascii="Times New Roman" w:hAnsi="Times New Roman" w:cs="宋体"/>
                <w:b/>
                <w:color w:val="auto"/>
                <w:sz w:val="24"/>
                <w:szCs w:val="24"/>
                <w:lang w:eastAsia="zh-CN"/>
              </w:rPr>
              <w:t>五</w:t>
            </w:r>
            <w:r>
              <w:rPr>
                <w:rFonts w:hint="eastAsia" w:ascii="Times New Roman" w:hAnsi="Times New Roman" w:cs="宋体"/>
                <w:b/>
                <w:color w:val="auto"/>
                <w:sz w:val="24"/>
                <w:szCs w:val="24"/>
              </w:rPr>
              <w:t>）评价总结论</w:t>
            </w:r>
          </w:p>
          <w:p w14:paraId="44B51B69">
            <w:pPr>
              <w:spacing w:line="360" w:lineRule="auto"/>
              <w:ind w:firstLine="456" w:firstLineChars="200"/>
              <w:rPr>
                <w:rFonts w:hint="eastAsia" w:ascii="Times New Roman" w:hAnsi="Times New Roman" w:cs="宋体"/>
                <w:color w:val="auto"/>
                <w:spacing w:val="-6"/>
                <w:sz w:val="24"/>
                <w:szCs w:val="24"/>
              </w:rPr>
            </w:pPr>
            <w:r>
              <w:rPr>
                <w:rFonts w:hint="eastAsia" w:ascii="Times New Roman" w:hAnsi="Times New Roman" w:cs="宋体"/>
                <w:color w:val="auto"/>
                <w:spacing w:val="-6"/>
                <w:sz w:val="24"/>
                <w:szCs w:val="24"/>
                <w:lang w:eastAsia="zh-CN"/>
              </w:rPr>
              <w:t>本项目属于茶叶加工项目，</w:t>
            </w:r>
            <w:r>
              <w:rPr>
                <w:rFonts w:hint="eastAsia" w:ascii="Times New Roman" w:hAnsi="Times New Roman"/>
                <w:color w:val="auto"/>
                <w:sz w:val="24"/>
              </w:rPr>
              <w:t>符合国家</w:t>
            </w:r>
            <w:r>
              <w:rPr>
                <w:rFonts w:hint="eastAsia" w:ascii="Times New Roman" w:hAnsi="Times New Roman"/>
                <w:color w:val="auto"/>
                <w:sz w:val="24"/>
                <w:lang w:eastAsia="zh-CN"/>
              </w:rPr>
              <w:t>当前的产业</w:t>
            </w:r>
            <w:r>
              <w:rPr>
                <w:rFonts w:hint="eastAsia" w:ascii="Times New Roman" w:hAnsi="Times New Roman"/>
                <w:color w:val="auto"/>
                <w:sz w:val="24"/>
              </w:rPr>
              <w:t>政策，符合相关规划，符合达标排放、总量控制的原则。</w:t>
            </w:r>
            <w:r>
              <w:rPr>
                <w:rFonts w:hint="eastAsia" w:ascii="Times New Roman" w:hAnsi="Times New Roman"/>
                <w:color w:val="auto"/>
                <w:sz w:val="24"/>
                <w:lang w:eastAsia="zh-CN"/>
              </w:rPr>
              <w:t>项目建设具有较好的社会、经济效益。</w:t>
            </w:r>
            <w:r>
              <w:rPr>
                <w:rFonts w:ascii="Times New Roman" w:hAnsi="Times New Roman"/>
                <w:color w:val="auto"/>
                <w:sz w:val="24"/>
              </w:rPr>
              <w:t>项目产生的环境影响包括废水、废气、噪声、固废。在采取环评提出的防治措施后，可以得到有效控制，不会对周围环境产生显著的影响。</w:t>
            </w:r>
            <w:r>
              <w:rPr>
                <w:rFonts w:hint="eastAsia" w:ascii="Times New Roman" w:hAnsi="Times New Roman"/>
                <w:color w:val="auto"/>
                <w:sz w:val="24"/>
              </w:rPr>
              <w:t>项目符合清洁生产原则。</w:t>
            </w:r>
            <w:r>
              <w:rPr>
                <w:rFonts w:ascii="Times New Roman" w:hAnsi="Times New Roman"/>
                <w:color w:val="auto"/>
                <w:sz w:val="24"/>
              </w:rPr>
              <w:t>因此，在</w:t>
            </w:r>
            <w:r>
              <w:rPr>
                <w:rFonts w:hint="eastAsia" w:ascii="Times New Roman" w:hAnsi="Times New Roman"/>
                <w:color w:val="auto"/>
                <w:sz w:val="24"/>
              </w:rPr>
              <w:t>严格执行“三同时”制度，加强企业环境管理，采纳本报告提出的环保措施的前提下，从环境影响的角度分析本项目可行</w:t>
            </w:r>
            <w:r>
              <w:rPr>
                <w:rFonts w:ascii="Times New Roman" w:hAnsi="Times New Roman"/>
                <w:color w:val="auto"/>
                <w:sz w:val="24"/>
              </w:rPr>
              <w:t>。</w:t>
            </w:r>
          </w:p>
          <w:p w14:paraId="6170810E">
            <w:pPr>
              <w:spacing w:before="100" w:beforeAutospacing="1" w:line="360" w:lineRule="auto"/>
              <w:rPr>
                <w:rFonts w:ascii="Times New Roman" w:hAnsi="Times New Roman"/>
                <w:b/>
                <w:color w:val="auto"/>
                <w:sz w:val="24"/>
              </w:rPr>
            </w:pPr>
            <w:r>
              <w:rPr>
                <w:rFonts w:hint="eastAsia" w:ascii="Times New Roman" w:hAnsi="Times New Roman" w:cs="宋体"/>
                <w:b/>
                <w:color w:val="auto"/>
                <w:sz w:val="24"/>
                <w:szCs w:val="24"/>
                <w:lang w:eastAsia="zh-CN"/>
              </w:rPr>
              <w:t>（六）</w:t>
            </w:r>
            <w:r>
              <w:rPr>
                <w:rFonts w:ascii="Times New Roman" w:hAnsi="Times New Roman"/>
                <w:b/>
                <w:color w:val="auto"/>
                <w:sz w:val="24"/>
              </w:rPr>
              <w:t>建议</w:t>
            </w:r>
          </w:p>
          <w:p w14:paraId="2476A95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1、生产过程中产生的固废分类收集存放，能回用的尽量回用。</w:t>
            </w:r>
          </w:p>
          <w:p w14:paraId="165EA5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2、大量采用节能降耗产品，如节能灯，节能电器等。 </w:t>
            </w:r>
          </w:p>
          <w:p w14:paraId="353DB39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对高噪声设备进行合理布局，并对车间采取隔声措施，同时应加强管理，保证设备的正常运行，防止设备带故障使用。</w:t>
            </w:r>
          </w:p>
          <w:p w14:paraId="22D886E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按照环保治理设施与主体工程“同时设计同时施工、同时投入运行”的三同时原则落实项目环保设施。</w:t>
            </w:r>
          </w:p>
          <w:p w14:paraId="265E8F1D">
            <w:pPr>
              <w:spacing w:line="360" w:lineRule="auto"/>
              <w:ind w:left="357" w:leftChars="170" w:firstLine="120" w:firstLineChars="50"/>
              <w:rPr>
                <w:rFonts w:hint="eastAsia" w:ascii="Times New Roman" w:hAnsi="Times New Roman"/>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、应坚持以人为本，加强职业卫生防护。</w:t>
            </w:r>
          </w:p>
        </w:tc>
      </w:tr>
    </w:tbl>
    <w:p w14:paraId="5873A8DC">
      <w:pPr>
        <w:rPr>
          <w:rFonts w:hint="eastAsia"/>
          <w:lang w:val="en-US" w:eastAsia="zh-CN"/>
        </w:rPr>
      </w:pPr>
    </w:p>
    <w:tbl>
      <w:tblPr>
        <w:tblStyle w:val="24"/>
        <w:tblW w:w="9101" w:type="dxa"/>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101"/>
      </w:tblGrid>
      <w:tr w14:paraId="09CBF52D">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5813" w:hRule="atLeast"/>
          <w:jc w:val="center"/>
        </w:trPr>
        <w:tc>
          <w:tcPr>
            <w:tcW w:w="9101" w:type="dxa"/>
            <w:tcBorders>
              <w:bottom w:val="single" w:color="auto" w:sz="4" w:space="0"/>
            </w:tcBorders>
            <w:vAlign w:val="top"/>
          </w:tcPr>
          <w:p w14:paraId="03C556CB">
            <w:pPr>
              <w:pStyle w:val="58"/>
              <w:adjustRightInd w:val="0"/>
              <w:snapToGrid w:val="0"/>
              <w:spacing w:before="156" w:line="360" w:lineRule="auto"/>
              <w:rPr>
                <w:rFonts w:ascii="宋体" w:hAnsi="宋体"/>
                <w:szCs w:val="24"/>
              </w:rPr>
            </w:pPr>
            <w:r>
              <w:rPr>
                <w:rFonts w:ascii="宋体" w:hAnsi="宋体"/>
                <w:szCs w:val="24"/>
              </w:rPr>
              <w:t>预审意见：</w:t>
            </w:r>
          </w:p>
          <w:p w14:paraId="47F1F707">
            <w:pPr>
              <w:spacing w:line="360" w:lineRule="auto"/>
              <w:rPr>
                <w:rFonts w:ascii="宋体" w:hAnsi="宋体"/>
                <w:sz w:val="24"/>
              </w:rPr>
            </w:pPr>
          </w:p>
          <w:p w14:paraId="0424057D">
            <w:pPr>
              <w:spacing w:line="360" w:lineRule="auto"/>
              <w:rPr>
                <w:rFonts w:ascii="宋体" w:hAnsi="宋体"/>
                <w:sz w:val="24"/>
              </w:rPr>
            </w:pPr>
          </w:p>
          <w:p w14:paraId="001ED6DF">
            <w:pPr>
              <w:spacing w:line="360" w:lineRule="auto"/>
              <w:rPr>
                <w:rFonts w:ascii="宋体" w:hAnsi="宋体"/>
                <w:sz w:val="24"/>
              </w:rPr>
            </w:pPr>
          </w:p>
          <w:p w14:paraId="6E7C5C57">
            <w:pPr>
              <w:spacing w:line="360" w:lineRule="auto"/>
              <w:rPr>
                <w:rFonts w:hint="eastAsia" w:ascii="宋体" w:hAnsi="宋体"/>
                <w:sz w:val="24"/>
              </w:rPr>
            </w:pPr>
          </w:p>
          <w:p w14:paraId="4B432B67">
            <w:pPr>
              <w:spacing w:line="360" w:lineRule="auto"/>
              <w:rPr>
                <w:rFonts w:ascii="宋体" w:hAnsi="宋体"/>
                <w:sz w:val="24"/>
              </w:rPr>
            </w:pPr>
          </w:p>
          <w:p w14:paraId="557272E9">
            <w:pPr>
              <w:spacing w:line="360" w:lineRule="auto"/>
              <w:rPr>
                <w:rFonts w:hint="eastAsia" w:ascii="宋体" w:hAnsi="宋体"/>
                <w:sz w:val="24"/>
              </w:rPr>
            </w:pPr>
          </w:p>
          <w:p w14:paraId="200A2888">
            <w:pPr>
              <w:spacing w:line="360" w:lineRule="auto"/>
              <w:rPr>
                <w:rFonts w:hint="eastAsia" w:ascii="宋体" w:hAnsi="宋体"/>
                <w:sz w:val="24"/>
              </w:rPr>
            </w:pPr>
          </w:p>
          <w:p w14:paraId="69798CD3">
            <w:pPr>
              <w:spacing w:line="360" w:lineRule="auto"/>
              <w:rPr>
                <w:rFonts w:ascii="宋体" w:hAnsi="宋体"/>
                <w:sz w:val="24"/>
              </w:rPr>
            </w:pPr>
          </w:p>
          <w:p w14:paraId="6C47FF53">
            <w:pPr>
              <w:spacing w:line="360" w:lineRule="auto"/>
              <w:ind w:firstLine="2208" w:firstLineChars="920"/>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公</w:t>
            </w:r>
            <w:r>
              <w:rPr>
                <w:rFonts w:ascii="宋体" w:hAnsi="宋体"/>
                <w:sz w:val="24"/>
              </w:rPr>
              <w:t xml:space="preserve">  章</w:t>
            </w:r>
          </w:p>
          <w:p w14:paraId="1C0B20AD">
            <w:pPr>
              <w:spacing w:line="360" w:lineRule="auto"/>
              <w:ind w:firstLine="768" w:firstLineChars="320"/>
              <w:rPr>
                <w:rFonts w:ascii="宋体" w:hAnsi="宋体"/>
                <w:sz w:val="24"/>
              </w:rPr>
            </w:pPr>
            <w:r>
              <w:rPr>
                <w:rFonts w:ascii="宋体" w:hAnsi="宋体"/>
                <w:sz w:val="24"/>
              </w:rPr>
              <w:t xml:space="preserve"> </w:t>
            </w:r>
          </w:p>
          <w:p w14:paraId="4674B344">
            <w:pPr>
              <w:spacing w:line="360" w:lineRule="auto"/>
              <w:rPr>
                <w:rFonts w:hint="eastAsia" w:ascii="宋体" w:hAnsi="宋体"/>
                <w:sz w:val="24"/>
              </w:rPr>
            </w:pPr>
            <w:r>
              <w:rPr>
                <w:rFonts w:ascii="宋体" w:hAnsi="宋体"/>
                <w:sz w:val="24"/>
              </w:rPr>
              <w:t>经办</w:t>
            </w:r>
            <w:r>
              <w:rPr>
                <w:rFonts w:hint="eastAsia" w:ascii="宋体" w:hAnsi="宋体"/>
                <w:sz w:val="24"/>
              </w:rPr>
              <w:t>人</w:t>
            </w:r>
            <w:r>
              <w:rPr>
                <w:rFonts w:ascii="宋体" w:hAnsi="宋体"/>
                <w:sz w:val="24"/>
              </w:rPr>
              <w:t xml:space="preserve">：               </w:t>
            </w:r>
            <w:r>
              <w:rPr>
                <w:rFonts w:hint="eastAsia" w:ascii="宋体" w:hAnsi="宋体"/>
                <w:sz w:val="24"/>
              </w:rPr>
              <w:t xml:space="preserve">  </w:t>
            </w:r>
            <w:r>
              <w:rPr>
                <w:rFonts w:ascii="宋体" w:hAnsi="宋体"/>
                <w:sz w:val="24"/>
              </w:rPr>
              <w:t xml:space="preserve">                              年   月   日</w:t>
            </w:r>
          </w:p>
        </w:tc>
      </w:tr>
      <w:tr w14:paraId="603BBEE0">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5489" w:hRule="atLeast"/>
          <w:jc w:val="center"/>
        </w:trPr>
        <w:tc>
          <w:tcPr>
            <w:tcW w:w="9101" w:type="dxa"/>
            <w:tcBorders>
              <w:top w:val="single" w:color="auto" w:sz="4" w:space="0"/>
              <w:bottom w:val="single" w:color="auto" w:sz="4" w:space="0"/>
            </w:tcBorders>
            <w:vAlign w:val="top"/>
          </w:tcPr>
          <w:p w14:paraId="3B059CD4">
            <w:pPr>
              <w:adjustRightInd w:val="0"/>
              <w:snapToGrid w:val="0"/>
              <w:spacing w:before="156" w:line="360" w:lineRule="auto"/>
              <w:rPr>
                <w:rFonts w:hint="eastAsia" w:ascii="宋体" w:hAnsi="宋体"/>
                <w:sz w:val="24"/>
              </w:rPr>
            </w:pPr>
            <w:r>
              <w:rPr>
                <w:rFonts w:hint="eastAsia" w:ascii="宋体" w:hAnsi="宋体"/>
                <w:sz w:val="24"/>
              </w:rPr>
              <w:t>下一级环境保护行政主管部门审查意见：</w:t>
            </w:r>
          </w:p>
          <w:p w14:paraId="5EB6A76C">
            <w:pPr>
              <w:spacing w:line="360" w:lineRule="auto"/>
              <w:rPr>
                <w:rFonts w:ascii="宋体" w:hAnsi="宋体"/>
                <w:sz w:val="24"/>
              </w:rPr>
            </w:pPr>
          </w:p>
          <w:p w14:paraId="27E9C1C0">
            <w:pPr>
              <w:spacing w:line="360" w:lineRule="auto"/>
              <w:rPr>
                <w:rFonts w:hint="eastAsia" w:ascii="宋体" w:hAnsi="宋体"/>
                <w:sz w:val="24"/>
              </w:rPr>
            </w:pPr>
          </w:p>
          <w:p w14:paraId="001DA5CA">
            <w:pPr>
              <w:spacing w:line="360" w:lineRule="auto"/>
              <w:rPr>
                <w:rFonts w:ascii="宋体" w:hAnsi="宋体"/>
                <w:sz w:val="24"/>
              </w:rPr>
            </w:pPr>
          </w:p>
          <w:p w14:paraId="70CED330">
            <w:pPr>
              <w:spacing w:line="360" w:lineRule="auto"/>
              <w:rPr>
                <w:rFonts w:hint="eastAsia" w:ascii="宋体" w:hAnsi="宋体"/>
                <w:sz w:val="24"/>
              </w:rPr>
            </w:pPr>
          </w:p>
          <w:p w14:paraId="693C6C3B">
            <w:pPr>
              <w:spacing w:line="360" w:lineRule="auto"/>
              <w:ind w:firstLine="1008" w:firstLineChars="420"/>
              <w:rPr>
                <w:rFonts w:hint="eastAsia" w:ascii="宋体" w:hAnsi="宋体"/>
                <w:sz w:val="24"/>
              </w:rPr>
            </w:pPr>
          </w:p>
          <w:p w14:paraId="2F00AFCB">
            <w:pPr>
              <w:spacing w:line="360" w:lineRule="auto"/>
              <w:ind w:firstLine="528"/>
              <w:rPr>
                <w:rFonts w:hint="eastAsia" w:ascii="宋体" w:hAnsi="宋体"/>
                <w:sz w:val="24"/>
              </w:rPr>
            </w:pPr>
          </w:p>
          <w:p w14:paraId="21D35751">
            <w:pPr>
              <w:spacing w:line="360" w:lineRule="auto"/>
              <w:ind w:firstLine="528"/>
              <w:rPr>
                <w:rFonts w:hint="eastAsia" w:ascii="宋体" w:hAnsi="宋体"/>
                <w:sz w:val="24"/>
              </w:rPr>
            </w:pPr>
          </w:p>
          <w:p w14:paraId="7FD88E1A">
            <w:pPr>
              <w:spacing w:line="360" w:lineRule="auto"/>
              <w:ind w:firstLine="528"/>
              <w:rPr>
                <w:rFonts w:hint="eastAsia" w:ascii="宋体" w:hAnsi="宋体"/>
                <w:sz w:val="24"/>
              </w:rPr>
            </w:pPr>
          </w:p>
          <w:p w14:paraId="6B650C2A">
            <w:pPr>
              <w:spacing w:line="360" w:lineRule="auto"/>
              <w:ind w:firstLine="528"/>
              <w:rPr>
                <w:rFonts w:hint="eastAsia" w:ascii="宋体" w:hAnsi="宋体"/>
                <w:sz w:val="24"/>
              </w:rPr>
            </w:pPr>
          </w:p>
          <w:p w14:paraId="048C415D">
            <w:pPr>
              <w:spacing w:line="360" w:lineRule="auto"/>
              <w:ind w:firstLine="528"/>
              <w:rPr>
                <w:rFonts w:hint="eastAsia" w:ascii="宋体" w:hAnsi="宋体"/>
                <w:sz w:val="24"/>
              </w:rPr>
            </w:pPr>
          </w:p>
          <w:p w14:paraId="53745B21">
            <w:pPr>
              <w:spacing w:line="360" w:lineRule="auto"/>
              <w:ind w:firstLine="528"/>
              <w:rPr>
                <w:rFonts w:hint="eastAsia" w:ascii="宋体" w:hAnsi="宋体"/>
                <w:sz w:val="24"/>
              </w:rPr>
            </w:pPr>
          </w:p>
          <w:p w14:paraId="0E565809">
            <w:pPr>
              <w:spacing w:line="360" w:lineRule="auto"/>
              <w:rPr>
                <w:rFonts w:hint="eastAsia" w:ascii="宋体" w:hAnsi="宋体"/>
                <w:sz w:val="24"/>
              </w:rPr>
            </w:pPr>
            <w:r>
              <w:rPr>
                <w:rFonts w:hint="eastAsia" w:ascii="宋体" w:hAnsi="宋体"/>
                <w:sz w:val="24"/>
              </w:rPr>
              <w:t xml:space="preserve">                                                                    </w:t>
            </w:r>
          </w:p>
          <w:p w14:paraId="16BADF02">
            <w:pPr>
              <w:spacing w:line="360" w:lineRule="auto"/>
              <w:ind w:firstLine="528"/>
              <w:rPr>
                <w:rFonts w:hint="eastAsia" w:ascii="宋体" w:hAnsi="宋体"/>
                <w:sz w:val="24"/>
              </w:rPr>
            </w:pPr>
            <w:r>
              <w:rPr>
                <w:rFonts w:hint="eastAsia" w:ascii="宋体" w:hAnsi="宋体"/>
                <w:sz w:val="24"/>
              </w:rPr>
              <w:t xml:space="preserve">                                                         公</w:t>
            </w:r>
            <w:r>
              <w:rPr>
                <w:rFonts w:ascii="宋体" w:hAnsi="宋体"/>
                <w:sz w:val="24"/>
              </w:rPr>
              <w:t xml:space="preserve">  章</w:t>
            </w:r>
          </w:p>
          <w:p w14:paraId="4DB77FB3">
            <w:pPr>
              <w:spacing w:line="360" w:lineRule="auto"/>
              <w:ind w:firstLine="528"/>
              <w:rPr>
                <w:rFonts w:hint="eastAsia" w:ascii="宋体" w:hAnsi="宋体"/>
                <w:sz w:val="24"/>
              </w:rPr>
            </w:pPr>
            <w:r>
              <w:rPr>
                <w:rFonts w:ascii="宋体" w:hAnsi="宋体"/>
                <w:sz w:val="24"/>
              </w:rPr>
              <w:t>经办</w:t>
            </w:r>
            <w:r>
              <w:rPr>
                <w:rFonts w:hint="eastAsia" w:ascii="宋体" w:hAnsi="宋体"/>
                <w:sz w:val="24"/>
              </w:rPr>
              <w:t>人</w:t>
            </w:r>
            <w:r>
              <w:rPr>
                <w:rFonts w:ascii="宋体" w:hAnsi="宋体"/>
                <w:sz w:val="24"/>
              </w:rPr>
              <w:t>：</w:t>
            </w:r>
            <w:r>
              <w:rPr>
                <w:rFonts w:hint="eastAsia" w:ascii="宋体" w:hAnsi="宋体"/>
                <w:sz w:val="24"/>
              </w:rPr>
              <w:t xml:space="preserve">                                             </w:t>
            </w:r>
            <w:r>
              <w:rPr>
                <w:rFonts w:ascii="宋体" w:hAnsi="宋体"/>
                <w:sz w:val="24"/>
              </w:rPr>
              <w:t xml:space="preserve">年   月   日                                                  </w:t>
            </w:r>
            <w:r>
              <w:rPr>
                <w:rFonts w:hint="eastAsia" w:ascii="宋体" w:hAnsi="宋体"/>
                <w:sz w:val="24"/>
              </w:rPr>
              <w:t xml:space="preserve">       </w:t>
            </w:r>
          </w:p>
        </w:tc>
      </w:tr>
      <w:tr w14:paraId="5CFA5CBB">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12584" w:hRule="atLeast"/>
          <w:jc w:val="center"/>
        </w:trPr>
        <w:tc>
          <w:tcPr>
            <w:tcW w:w="9101" w:type="dxa"/>
            <w:tcBorders>
              <w:top w:val="single" w:color="auto" w:sz="4" w:space="0"/>
            </w:tcBorders>
            <w:vAlign w:val="top"/>
          </w:tcPr>
          <w:p w14:paraId="756B9F73">
            <w:pPr>
              <w:spacing w:before="156" w:line="360" w:lineRule="auto"/>
              <w:rPr>
                <w:rFonts w:ascii="宋体" w:hAnsi="宋体"/>
                <w:sz w:val="24"/>
              </w:rPr>
            </w:pPr>
            <w:r>
              <w:rPr>
                <w:rFonts w:ascii="宋体" w:hAnsi="宋体"/>
                <w:sz w:val="24"/>
              </w:rPr>
              <w:t>审批意见：</w:t>
            </w:r>
          </w:p>
          <w:p w14:paraId="1E6C4235">
            <w:pPr>
              <w:spacing w:line="360" w:lineRule="auto"/>
              <w:rPr>
                <w:rFonts w:ascii="宋体" w:hAnsi="宋体"/>
                <w:sz w:val="24"/>
              </w:rPr>
            </w:pPr>
          </w:p>
          <w:p w14:paraId="212F5C9E">
            <w:pPr>
              <w:spacing w:line="360" w:lineRule="auto"/>
              <w:rPr>
                <w:rFonts w:ascii="宋体" w:hAnsi="宋体"/>
                <w:sz w:val="24"/>
              </w:rPr>
            </w:pPr>
          </w:p>
          <w:p w14:paraId="46894F3D">
            <w:pPr>
              <w:spacing w:line="360" w:lineRule="auto"/>
              <w:rPr>
                <w:rFonts w:ascii="宋体" w:hAnsi="宋体"/>
                <w:sz w:val="24"/>
              </w:rPr>
            </w:pPr>
          </w:p>
          <w:p w14:paraId="0905A717">
            <w:pPr>
              <w:spacing w:line="360" w:lineRule="auto"/>
              <w:rPr>
                <w:rFonts w:ascii="宋体" w:hAnsi="宋体"/>
                <w:sz w:val="24"/>
              </w:rPr>
            </w:pPr>
          </w:p>
          <w:p w14:paraId="4CDBFE99">
            <w:pPr>
              <w:spacing w:line="360" w:lineRule="auto"/>
              <w:rPr>
                <w:rFonts w:ascii="宋体" w:hAnsi="宋体"/>
                <w:sz w:val="24"/>
              </w:rPr>
            </w:pPr>
          </w:p>
          <w:p w14:paraId="596040A6">
            <w:pPr>
              <w:spacing w:line="360" w:lineRule="auto"/>
              <w:rPr>
                <w:rFonts w:ascii="宋体" w:hAnsi="宋体"/>
                <w:sz w:val="24"/>
              </w:rPr>
            </w:pPr>
          </w:p>
          <w:p w14:paraId="4BE0AC66">
            <w:pPr>
              <w:spacing w:line="360" w:lineRule="auto"/>
              <w:rPr>
                <w:rFonts w:ascii="宋体" w:hAnsi="宋体"/>
                <w:sz w:val="24"/>
              </w:rPr>
            </w:pPr>
          </w:p>
          <w:p w14:paraId="40B287D7">
            <w:pPr>
              <w:spacing w:line="360" w:lineRule="auto"/>
              <w:rPr>
                <w:rFonts w:ascii="宋体" w:hAnsi="宋体"/>
                <w:sz w:val="24"/>
              </w:rPr>
            </w:pPr>
          </w:p>
          <w:p w14:paraId="71112166">
            <w:pPr>
              <w:spacing w:line="360" w:lineRule="auto"/>
              <w:rPr>
                <w:rFonts w:ascii="宋体" w:hAnsi="宋体"/>
                <w:sz w:val="24"/>
              </w:rPr>
            </w:pPr>
          </w:p>
          <w:p w14:paraId="09F128F8">
            <w:pPr>
              <w:spacing w:line="360" w:lineRule="auto"/>
              <w:rPr>
                <w:rFonts w:ascii="宋体" w:hAnsi="宋体"/>
                <w:sz w:val="24"/>
              </w:rPr>
            </w:pPr>
          </w:p>
          <w:p w14:paraId="2B40184E">
            <w:pPr>
              <w:spacing w:line="360" w:lineRule="auto"/>
              <w:rPr>
                <w:rFonts w:ascii="宋体" w:hAnsi="宋体"/>
                <w:sz w:val="24"/>
              </w:rPr>
            </w:pPr>
          </w:p>
          <w:p w14:paraId="79A4A2E6">
            <w:pPr>
              <w:spacing w:line="360" w:lineRule="auto"/>
              <w:rPr>
                <w:rFonts w:ascii="宋体" w:hAnsi="宋体"/>
                <w:sz w:val="24"/>
              </w:rPr>
            </w:pPr>
          </w:p>
          <w:p w14:paraId="70C31927">
            <w:pPr>
              <w:spacing w:line="360" w:lineRule="auto"/>
              <w:rPr>
                <w:rFonts w:ascii="宋体" w:hAnsi="宋体"/>
                <w:sz w:val="24"/>
              </w:rPr>
            </w:pPr>
          </w:p>
          <w:p w14:paraId="74DC7A1E">
            <w:pPr>
              <w:spacing w:line="360" w:lineRule="auto"/>
              <w:rPr>
                <w:rFonts w:ascii="宋体" w:hAnsi="宋体"/>
                <w:sz w:val="24"/>
              </w:rPr>
            </w:pPr>
          </w:p>
          <w:p w14:paraId="6DF5FA64">
            <w:pPr>
              <w:spacing w:line="360" w:lineRule="auto"/>
              <w:rPr>
                <w:rFonts w:ascii="宋体" w:hAnsi="宋体"/>
                <w:sz w:val="24"/>
              </w:rPr>
            </w:pPr>
          </w:p>
          <w:p w14:paraId="1DD4135F">
            <w:pPr>
              <w:spacing w:line="360" w:lineRule="auto"/>
              <w:rPr>
                <w:rFonts w:ascii="宋体" w:hAnsi="宋体"/>
                <w:sz w:val="24"/>
              </w:rPr>
            </w:pPr>
          </w:p>
          <w:p w14:paraId="345D7692">
            <w:pPr>
              <w:spacing w:line="360" w:lineRule="auto"/>
              <w:rPr>
                <w:rFonts w:hint="eastAsia" w:ascii="宋体" w:hAnsi="宋体"/>
                <w:sz w:val="24"/>
              </w:rPr>
            </w:pPr>
          </w:p>
          <w:p w14:paraId="376F1973">
            <w:pPr>
              <w:spacing w:line="360" w:lineRule="auto"/>
              <w:rPr>
                <w:rFonts w:ascii="宋体" w:hAnsi="宋体"/>
                <w:sz w:val="24"/>
              </w:rPr>
            </w:pPr>
          </w:p>
          <w:p w14:paraId="0AC5B84B">
            <w:pPr>
              <w:spacing w:line="360" w:lineRule="auto"/>
              <w:rPr>
                <w:rFonts w:hint="eastAsia" w:ascii="宋体" w:hAnsi="宋体"/>
                <w:sz w:val="24"/>
              </w:rPr>
            </w:pPr>
          </w:p>
          <w:p w14:paraId="558FF675">
            <w:pPr>
              <w:spacing w:line="360" w:lineRule="auto"/>
              <w:rPr>
                <w:rFonts w:hint="eastAsia" w:ascii="宋体" w:hAnsi="宋体"/>
                <w:sz w:val="24"/>
              </w:rPr>
            </w:pPr>
          </w:p>
          <w:p w14:paraId="09EA7787">
            <w:pPr>
              <w:spacing w:line="360" w:lineRule="auto"/>
              <w:rPr>
                <w:rFonts w:hint="eastAsia" w:ascii="宋体" w:hAnsi="宋体"/>
                <w:sz w:val="24"/>
              </w:rPr>
            </w:pPr>
          </w:p>
          <w:p w14:paraId="6CE515D0">
            <w:pPr>
              <w:spacing w:line="360" w:lineRule="auto"/>
              <w:rPr>
                <w:rFonts w:hint="eastAsia" w:ascii="宋体" w:hAnsi="宋体"/>
                <w:sz w:val="24"/>
              </w:rPr>
            </w:pPr>
          </w:p>
          <w:p w14:paraId="41506C6C">
            <w:pPr>
              <w:spacing w:line="360" w:lineRule="auto"/>
              <w:rPr>
                <w:rFonts w:hint="eastAsia" w:ascii="宋体" w:hAnsi="宋体"/>
                <w:sz w:val="24"/>
              </w:rPr>
            </w:pPr>
          </w:p>
          <w:p w14:paraId="4F17B034">
            <w:pPr>
              <w:spacing w:line="360" w:lineRule="auto"/>
              <w:rPr>
                <w:rFonts w:hint="eastAsia" w:ascii="宋体" w:hAnsi="宋体"/>
                <w:sz w:val="24"/>
              </w:rPr>
            </w:pPr>
          </w:p>
          <w:p w14:paraId="45E782E4">
            <w:pPr>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4790C071">
            <w:pPr>
              <w:spacing w:line="360" w:lineRule="auto"/>
              <w:rPr>
                <w:rFonts w:ascii="宋体" w:hAnsi="宋体"/>
                <w:sz w:val="24"/>
              </w:rPr>
            </w:pPr>
            <w:r>
              <w:rPr>
                <w:rFonts w:ascii="宋体" w:hAnsi="宋体"/>
                <w:sz w:val="24"/>
              </w:rPr>
              <w:t xml:space="preserve">                                                         </w:t>
            </w:r>
            <w:r>
              <w:rPr>
                <w:rFonts w:hint="eastAsia" w:ascii="宋体" w:hAnsi="宋体"/>
                <w:sz w:val="24"/>
              </w:rPr>
              <w:t>公</w:t>
            </w:r>
            <w:r>
              <w:rPr>
                <w:rFonts w:ascii="宋体" w:hAnsi="宋体"/>
                <w:sz w:val="24"/>
              </w:rPr>
              <w:t xml:space="preserve">  章</w:t>
            </w:r>
          </w:p>
          <w:p w14:paraId="2CCE5F1D">
            <w:pPr>
              <w:spacing w:line="360" w:lineRule="auto"/>
              <w:rPr>
                <w:rFonts w:hint="eastAsia" w:ascii="宋体" w:hAnsi="宋体"/>
                <w:sz w:val="24"/>
              </w:rPr>
            </w:pPr>
            <w:r>
              <w:rPr>
                <w:rFonts w:ascii="宋体" w:hAnsi="宋体"/>
                <w:sz w:val="24"/>
              </w:rPr>
              <w:t>经办</w:t>
            </w:r>
            <w:r>
              <w:rPr>
                <w:rFonts w:hint="eastAsia" w:ascii="宋体" w:hAnsi="宋体"/>
                <w:sz w:val="24"/>
              </w:rPr>
              <w:t>人</w:t>
            </w:r>
            <w:r>
              <w:rPr>
                <w:rFonts w:ascii="宋体" w:hAnsi="宋体"/>
                <w:sz w:val="24"/>
              </w:rPr>
              <w:t>：</w:t>
            </w:r>
            <w:r>
              <w:rPr>
                <w:rFonts w:hint="eastAsia" w:ascii="宋体" w:hAnsi="宋体"/>
                <w:sz w:val="24"/>
              </w:rPr>
              <w:t xml:space="preserve">                                              </w:t>
            </w:r>
            <w:r>
              <w:rPr>
                <w:rFonts w:ascii="宋体" w:hAnsi="宋体"/>
                <w:sz w:val="24"/>
              </w:rPr>
              <w:t>年   月   日</w:t>
            </w:r>
          </w:p>
        </w:tc>
      </w:tr>
    </w:tbl>
    <w:p w14:paraId="59BA1FDA">
      <w:pPr>
        <w:pStyle w:val="2"/>
        <w:jc w:val="both"/>
        <w:rPr>
          <w:rFonts w:hint="eastAsia"/>
          <w:lang w:val="en-US" w:eastAsia="zh-CN"/>
        </w:rPr>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pPr>
    </w:p>
    <w:p w14:paraId="7D31C9D5">
      <w:pPr>
        <w:pStyle w:val="4"/>
        <w:rPr>
          <w:rFonts w:hint="eastAsia"/>
          <w:lang w:val="en-US" w:eastAsia="zh-CN"/>
        </w:rPr>
      </w:pPr>
    </w:p>
    <w:p w14:paraId="00B6321C">
      <w:pPr>
        <w:pStyle w:val="4"/>
        <w:rPr>
          <w:rFonts w:hint="eastAsia"/>
          <w:lang w:val="en-US" w:eastAsia="zh-CN"/>
        </w:rPr>
      </w:pPr>
    </w:p>
    <w:p w14:paraId="60E28910">
      <w:pPr>
        <w:pStyle w:val="4"/>
        <w:rPr>
          <w:rFonts w:hint="eastAsia"/>
          <w:lang w:val="en-US" w:eastAsia="zh-CN"/>
        </w:rPr>
      </w:pPr>
    </w:p>
    <w:p w14:paraId="1B4D0C74">
      <w:pPr>
        <w:pStyle w:val="4"/>
        <w:rPr>
          <w:rFonts w:hint="eastAsia"/>
          <w:lang w:val="en-US" w:eastAsia="zh-CN"/>
        </w:rPr>
      </w:pPr>
    </w:p>
    <w:sectPr>
      <w:footerReference r:id="rId1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15A89">
    <w:pPr>
      <w:pStyle w:val="19"/>
      <w:framePr w:wrap="around" w:vAnchor="text" w:hAnchor="margin" w:xAlign="center" w:y="1"/>
      <w:rPr>
        <w:rStyle w:val="28"/>
      </w:rPr>
    </w:pPr>
    <w:r>
      <w:fldChar w:fldCharType="begin"/>
    </w:r>
    <w:r>
      <w:rPr>
        <w:rStyle w:val="28"/>
      </w:rPr>
      <w:instrText xml:space="preserve">PAGE  </w:instrText>
    </w:r>
    <w:r>
      <w:fldChar w:fldCharType="end"/>
    </w:r>
  </w:p>
  <w:p w14:paraId="366EE04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BA66">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AB19">
    <w:pPr>
      <w:pStyle w:val="19"/>
      <w:ind w:firstLine="360"/>
      <w:jc w:val="both"/>
    </w:pP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B5F05">
    <w:pPr>
      <w:pStyle w:val="19"/>
      <w:framePr w:wrap="around" w:vAnchor="text" w:hAnchor="margin" w:xAlign="center" w:y="2"/>
      <w:ind w:firstLine="360"/>
      <w:rPr>
        <w:rStyle w:val="28"/>
      </w:rPr>
    </w:pPr>
    <w:r>
      <w:fldChar w:fldCharType="begin"/>
    </w:r>
    <w:r>
      <w:rPr>
        <w:rStyle w:val="28"/>
      </w:rPr>
      <w:instrText xml:space="preserve">PAGE  </w:instrText>
    </w:r>
    <w:r>
      <w:fldChar w:fldCharType="separate"/>
    </w:r>
    <w:r>
      <w:rPr>
        <w:rStyle w:val="28"/>
      </w:rPr>
      <w:t>1</w:t>
    </w:r>
    <w:r>
      <w:fldChar w:fldCharType="end"/>
    </w:r>
  </w:p>
  <w:p w14:paraId="357C914F">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2DE63">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5520">
    <w:pPr>
      <w:pStyle w:val="19"/>
      <w:ind w:firstLine="360"/>
      <w:jc w:val="both"/>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1DFFD">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0C01DFFD">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kern w:val="0"/>
        <w:szCs w:val="21"/>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6D91">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CD42F">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A1CD42F">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C787">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6E0B">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0167B">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5BE7">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5B94">
    <w:pPr>
      <w:pStyle w:val="20"/>
      <w:pBdr>
        <w:bottom w:val="none" w:color="auto" w:sz="0" w:space="0"/>
      </w:pBdr>
      <w:ind w:firstLine="420"/>
      <w:rPr>
        <w:rFonts w:hint="eastAsia"/>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3DE34">
    <w:pPr>
      <w:pStyle w:val="2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8EEA">
    <w:pPr>
      <w:pStyle w:val="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77C1">
    <w:pPr>
      <w:pBdr>
        <w:bottom w:val="none" w:color="auto" w:sz="0" w:space="0"/>
      </w:pBdr>
      <w:tabs>
        <w:tab w:val="center" w:pos="4153"/>
        <w:tab w:val="right" w:pos="83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C1D0">
    <w:pPr>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60DF4"/>
    <w:multiLevelType w:val="singleLevel"/>
    <w:tmpl w:val="F8860DF4"/>
    <w:lvl w:ilvl="0" w:tentative="0">
      <w:start w:val="3"/>
      <w:numFmt w:val="decimal"/>
      <w:suff w:val="nothing"/>
      <w:lvlText w:val="%1、"/>
      <w:lvlJc w:val="left"/>
    </w:lvl>
  </w:abstractNum>
  <w:abstractNum w:abstractNumId="1">
    <w:nsid w:val="FEDEE622"/>
    <w:multiLevelType w:val="singleLevel"/>
    <w:tmpl w:val="FEDEE622"/>
    <w:lvl w:ilvl="0" w:tentative="0">
      <w:start w:val="3"/>
      <w:numFmt w:val="decimal"/>
      <w:suff w:val="nothing"/>
      <w:lvlText w:val="（%1）"/>
      <w:lvlJc w:val="left"/>
    </w:lvl>
  </w:abstractNum>
  <w:abstractNum w:abstractNumId="2">
    <w:nsid w:val="05A66E23"/>
    <w:multiLevelType w:val="multilevel"/>
    <w:tmpl w:val="05A66E23"/>
    <w:lvl w:ilvl="0" w:tentative="0">
      <w:start w:val="1"/>
      <w:numFmt w:val="decimal"/>
      <w:pStyle w:val="52"/>
      <w:suff w:val="space"/>
      <w:lvlText w:val="表%1"/>
      <w:lvlJc w:val="center"/>
      <w:pPr>
        <w:ind w:left="420" w:hanging="420"/>
      </w:pPr>
      <w:rPr>
        <w:rFonts w:hint="default" w:ascii="Times New Roman" w:hAnsi="Times New Roman" w:eastAsia="黑体"/>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655043"/>
    <w:multiLevelType w:val="singleLevel"/>
    <w:tmpl w:val="37655043"/>
    <w:lvl w:ilvl="0" w:tentative="0">
      <w:start w:val="2"/>
      <w:numFmt w:val="decimal"/>
      <w:lvlText w:val="%1、"/>
      <w:lvlJc w:val="left"/>
      <w:pPr>
        <w:tabs>
          <w:tab w:val="left" w:pos="840"/>
        </w:tabs>
        <w:ind w:left="840" w:hanging="360"/>
      </w:pPr>
      <w:rPr>
        <w:rFonts w:hint="eastAsia"/>
      </w:rPr>
    </w:lvl>
  </w:abstractNum>
  <w:abstractNum w:abstractNumId="4">
    <w:nsid w:val="3B5F7605"/>
    <w:multiLevelType w:val="multilevel"/>
    <w:tmpl w:val="3B5F7605"/>
    <w:lvl w:ilvl="0" w:tentative="0">
      <w:start w:val="1"/>
      <w:numFmt w:val="decimal"/>
      <w:lvlText w:val="%1."/>
      <w:lvlJc w:val="left"/>
      <w:pPr>
        <w:ind w:left="420" w:hanging="420"/>
      </w:pPr>
      <w:rPr>
        <w:rFonts w:cs="Times New Roman"/>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4A3213D6"/>
    <w:multiLevelType w:val="multilevel"/>
    <w:tmpl w:val="4A3213D6"/>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55234D00"/>
    <w:multiLevelType w:val="singleLevel"/>
    <w:tmpl w:val="55234D00"/>
    <w:lvl w:ilvl="0" w:tentative="0">
      <w:start w:val="3"/>
      <w:numFmt w:val="decimal"/>
      <w:suff w:val="nothing"/>
      <w:lvlText w:val="%1、"/>
      <w:lvlJc w:val="left"/>
    </w:lvl>
  </w:abstractNum>
  <w:abstractNum w:abstractNumId="7">
    <w:nsid w:val="552B6EF7"/>
    <w:multiLevelType w:val="singleLevel"/>
    <w:tmpl w:val="552B6EF7"/>
    <w:lvl w:ilvl="0" w:tentative="0">
      <w:start w:val="1"/>
      <w:numFmt w:val="chineseCounting"/>
      <w:suff w:val="nothing"/>
      <w:lvlText w:val="%1、"/>
      <w:lvlJc w:val="left"/>
    </w:lvl>
  </w:abstractNum>
  <w:abstractNum w:abstractNumId="8">
    <w:nsid w:val="56385134"/>
    <w:multiLevelType w:val="singleLevel"/>
    <w:tmpl w:val="56385134"/>
    <w:lvl w:ilvl="0" w:tentative="0">
      <w:start w:val="1"/>
      <w:numFmt w:val="decimal"/>
      <w:suff w:val="nothing"/>
      <w:lvlText w:val="%1、"/>
      <w:lvlJc w:val="left"/>
    </w:lvl>
  </w:abstractNum>
  <w:abstractNum w:abstractNumId="9">
    <w:nsid w:val="56397068"/>
    <w:multiLevelType w:val="singleLevel"/>
    <w:tmpl w:val="56397068"/>
    <w:lvl w:ilvl="0" w:tentative="0">
      <w:start w:val="3"/>
      <w:numFmt w:val="decimal"/>
      <w:suff w:val="nothing"/>
      <w:lvlText w:val="%1、"/>
      <w:lvlJc w:val="left"/>
    </w:lvl>
  </w:abstractNum>
  <w:abstractNum w:abstractNumId="10">
    <w:nsid w:val="568B2661"/>
    <w:multiLevelType w:val="singleLevel"/>
    <w:tmpl w:val="568B2661"/>
    <w:lvl w:ilvl="0" w:tentative="0">
      <w:start w:val="1"/>
      <w:numFmt w:val="chineseCounting"/>
      <w:suff w:val="nothing"/>
      <w:lvlText w:val="%1、"/>
      <w:lvlJc w:val="left"/>
    </w:lvl>
  </w:abstractNum>
  <w:abstractNum w:abstractNumId="11">
    <w:nsid w:val="59776E75"/>
    <w:multiLevelType w:val="multilevel"/>
    <w:tmpl w:val="59776E75"/>
    <w:lvl w:ilvl="0" w:tentative="0">
      <w:start w:val="1"/>
      <w:numFmt w:val="decimal"/>
      <w:pStyle w:val="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2"/>
  </w:num>
  <w:num w:numId="3">
    <w:abstractNumId w:val="3"/>
  </w:num>
  <w:num w:numId="4">
    <w:abstractNumId w:val="4"/>
  </w:num>
  <w:num w:numId="5">
    <w:abstractNumId w:val="5"/>
  </w:num>
  <w:num w:numId="6">
    <w:abstractNumId w:val="7"/>
  </w:num>
  <w:num w:numId="7">
    <w:abstractNumId w:val="6"/>
  </w:num>
  <w:num w:numId="8">
    <w:abstractNumId w:val="10"/>
  </w:num>
  <w:num w:numId="9">
    <w:abstractNumId w:val="8"/>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6A041DC9"/>
    <w:rsid w:val="01840185"/>
    <w:rsid w:val="01B41DD3"/>
    <w:rsid w:val="02A23404"/>
    <w:rsid w:val="03B16411"/>
    <w:rsid w:val="03FF7A69"/>
    <w:rsid w:val="0414451F"/>
    <w:rsid w:val="04325DD4"/>
    <w:rsid w:val="04517C77"/>
    <w:rsid w:val="04717BA5"/>
    <w:rsid w:val="05DD0C98"/>
    <w:rsid w:val="069270E6"/>
    <w:rsid w:val="06F87451"/>
    <w:rsid w:val="072B5F19"/>
    <w:rsid w:val="07376171"/>
    <w:rsid w:val="088510DD"/>
    <w:rsid w:val="08A433C5"/>
    <w:rsid w:val="0B77567C"/>
    <w:rsid w:val="0BD104E5"/>
    <w:rsid w:val="0C02397F"/>
    <w:rsid w:val="0CEF11A2"/>
    <w:rsid w:val="0D76669D"/>
    <w:rsid w:val="0DFE5884"/>
    <w:rsid w:val="0E2932D3"/>
    <w:rsid w:val="0FDC702A"/>
    <w:rsid w:val="0FE6222E"/>
    <w:rsid w:val="104868F2"/>
    <w:rsid w:val="10930B59"/>
    <w:rsid w:val="11607AF4"/>
    <w:rsid w:val="11A602AD"/>
    <w:rsid w:val="11DB75DF"/>
    <w:rsid w:val="128361C1"/>
    <w:rsid w:val="12972B4C"/>
    <w:rsid w:val="12AE2708"/>
    <w:rsid w:val="13404F48"/>
    <w:rsid w:val="139A7548"/>
    <w:rsid w:val="14292ABA"/>
    <w:rsid w:val="144F7BE5"/>
    <w:rsid w:val="15137275"/>
    <w:rsid w:val="15F038F9"/>
    <w:rsid w:val="16793D47"/>
    <w:rsid w:val="16C356C8"/>
    <w:rsid w:val="17DE0948"/>
    <w:rsid w:val="18D206CC"/>
    <w:rsid w:val="19A576C4"/>
    <w:rsid w:val="19C96AF3"/>
    <w:rsid w:val="19E360E4"/>
    <w:rsid w:val="1A8C655D"/>
    <w:rsid w:val="1AFB2489"/>
    <w:rsid w:val="1C0F26AF"/>
    <w:rsid w:val="1CF0646D"/>
    <w:rsid w:val="1D367911"/>
    <w:rsid w:val="1D623EC7"/>
    <w:rsid w:val="1EB65A54"/>
    <w:rsid w:val="1EE25121"/>
    <w:rsid w:val="223306DD"/>
    <w:rsid w:val="22401398"/>
    <w:rsid w:val="24834EE2"/>
    <w:rsid w:val="248C23DB"/>
    <w:rsid w:val="24AE38DD"/>
    <w:rsid w:val="24FB2091"/>
    <w:rsid w:val="26331017"/>
    <w:rsid w:val="267F598F"/>
    <w:rsid w:val="268540FE"/>
    <w:rsid w:val="26995D65"/>
    <w:rsid w:val="26FC539B"/>
    <w:rsid w:val="270316CD"/>
    <w:rsid w:val="27E26F98"/>
    <w:rsid w:val="288F4EDC"/>
    <w:rsid w:val="2A9D4FDC"/>
    <w:rsid w:val="2B581302"/>
    <w:rsid w:val="2C9C1098"/>
    <w:rsid w:val="2EAA74D8"/>
    <w:rsid w:val="2EB809F3"/>
    <w:rsid w:val="2EE41539"/>
    <w:rsid w:val="2F786E0D"/>
    <w:rsid w:val="30523590"/>
    <w:rsid w:val="31F41324"/>
    <w:rsid w:val="33171077"/>
    <w:rsid w:val="33777F91"/>
    <w:rsid w:val="341F7D35"/>
    <w:rsid w:val="346A3163"/>
    <w:rsid w:val="354A4B89"/>
    <w:rsid w:val="356175CC"/>
    <w:rsid w:val="357345EB"/>
    <w:rsid w:val="35A95E06"/>
    <w:rsid w:val="35F56F89"/>
    <w:rsid w:val="366455BE"/>
    <w:rsid w:val="36A86FD2"/>
    <w:rsid w:val="36BA176E"/>
    <w:rsid w:val="382F38E3"/>
    <w:rsid w:val="3A7F5E7A"/>
    <w:rsid w:val="3AC40479"/>
    <w:rsid w:val="3B5A45F9"/>
    <w:rsid w:val="3C2005CE"/>
    <w:rsid w:val="3CB54272"/>
    <w:rsid w:val="3CC836FE"/>
    <w:rsid w:val="3D58270C"/>
    <w:rsid w:val="3D823E4E"/>
    <w:rsid w:val="3DC64DFC"/>
    <w:rsid w:val="3E304F02"/>
    <w:rsid w:val="3E3D2C1D"/>
    <w:rsid w:val="3EDE60D0"/>
    <w:rsid w:val="3F8C550C"/>
    <w:rsid w:val="3FB24636"/>
    <w:rsid w:val="40824C63"/>
    <w:rsid w:val="40926154"/>
    <w:rsid w:val="422E6AFB"/>
    <w:rsid w:val="430C11FC"/>
    <w:rsid w:val="445205FE"/>
    <w:rsid w:val="445E2065"/>
    <w:rsid w:val="44BE0F83"/>
    <w:rsid w:val="44D5167A"/>
    <w:rsid w:val="44D95413"/>
    <w:rsid w:val="45146F6B"/>
    <w:rsid w:val="456852D7"/>
    <w:rsid w:val="45A52FAA"/>
    <w:rsid w:val="45ED4AB7"/>
    <w:rsid w:val="46234AD8"/>
    <w:rsid w:val="46242D7F"/>
    <w:rsid w:val="465C6F95"/>
    <w:rsid w:val="472C14A4"/>
    <w:rsid w:val="48562861"/>
    <w:rsid w:val="486239FF"/>
    <w:rsid w:val="48B71C09"/>
    <w:rsid w:val="4AF00489"/>
    <w:rsid w:val="4B217CD3"/>
    <w:rsid w:val="4C54319B"/>
    <w:rsid w:val="4CCE6726"/>
    <w:rsid w:val="4DEB52F3"/>
    <w:rsid w:val="4F3312F8"/>
    <w:rsid w:val="50281548"/>
    <w:rsid w:val="50A96248"/>
    <w:rsid w:val="515033CD"/>
    <w:rsid w:val="51BB1B77"/>
    <w:rsid w:val="51E32F2C"/>
    <w:rsid w:val="523C5ADB"/>
    <w:rsid w:val="54C747A3"/>
    <w:rsid w:val="556E6BEA"/>
    <w:rsid w:val="55BD5029"/>
    <w:rsid w:val="56803029"/>
    <w:rsid w:val="57110FAA"/>
    <w:rsid w:val="5780410F"/>
    <w:rsid w:val="58130798"/>
    <w:rsid w:val="58413F45"/>
    <w:rsid w:val="587309E6"/>
    <w:rsid w:val="58784FB2"/>
    <w:rsid w:val="58E05459"/>
    <w:rsid w:val="58E72955"/>
    <w:rsid w:val="59404136"/>
    <w:rsid w:val="599F63CF"/>
    <w:rsid w:val="59EC6258"/>
    <w:rsid w:val="5C6C57DE"/>
    <w:rsid w:val="5C9E3BA4"/>
    <w:rsid w:val="5CFB0BFE"/>
    <w:rsid w:val="5F9842CF"/>
    <w:rsid w:val="5FEE3339"/>
    <w:rsid w:val="60121C32"/>
    <w:rsid w:val="6055581F"/>
    <w:rsid w:val="605C3BBA"/>
    <w:rsid w:val="6112328B"/>
    <w:rsid w:val="61297697"/>
    <w:rsid w:val="619F7967"/>
    <w:rsid w:val="63353FDC"/>
    <w:rsid w:val="634E19E2"/>
    <w:rsid w:val="635122FC"/>
    <w:rsid w:val="63FC178E"/>
    <w:rsid w:val="64041B7F"/>
    <w:rsid w:val="640C4FB9"/>
    <w:rsid w:val="64D05A4B"/>
    <w:rsid w:val="64DC4AF5"/>
    <w:rsid w:val="64DD194F"/>
    <w:rsid w:val="650B719E"/>
    <w:rsid w:val="655860D0"/>
    <w:rsid w:val="681A01C2"/>
    <w:rsid w:val="691947DF"/>
    <w:rsid w:val="69452791"/>
    <w:rsid w:val="69500872"/>
    <w:rsid w:val="69935B56"/>
    <w:rsid w:val="6A041DC9"/>
    <w:rsid w:val="6A0573E5"/>
    <w:rsid w:val="6A3D7DF4"/>
    <w:rsid w:val="6C1C48B2"/>
    <w:rsid w:val="6C2F71A1"/>
    <w:rsid w:val="6D510F80"/>
    <w:rsid w:val="6D535020"/>
    <w:rsid w:val="6D931BE1"/>
    <w:rsid w:val="6E2D2AC7"/>
    <w:rsid w:val="6F810DA8"/>
    <w:rsid w:val="6FC040C1"/>
    <w:rsid w:val="716A19EE"/>
    <w:rsid w:val="72F87956"/>
    <w:rsid w:val="72FD4C1A"/>
    <w:rsid w:val="730E0927"/>
    <w:rsid w:val="73A925C4"/>
    <w:rsid w:val="74535F3B"/>
    <w:rsid w:val="74572B1F"/>
    <w:rsid w:val="74860400"/>
    <w:rsid w:val="74E108AC"/>
    <w:rsid w:val="752D1BFE"/>
    <w:rsid w:val="75982A13"/>
    <w:rsid w:val="762C65F3"/>
    <w:rsid w:val="764E3B17"/>
    <w:rsid w:val="769E4DCB"/>
    <w:rsid w:val="77076D91"/>
    <w:rsid w:val="78607D43"/>
    <w:rsid w:val="7878146B"/>
    <w:rsid w:val="79364641"/>
    <w:rsid w:val="79FB2141"/>
    <w:rsid w:val="7B6B461B"/>
    <w:rsid w:val="7B763E2A"/>
    <w:rsid w:val="7C78462B"/>
    <w:rsid w:val="7C835D30"/>
    <w:rsid w:val="7E7E005A"/>
    <w:rsid w:val="7ED7124F"/>
    <w:rsid w:val="7F3538DA"/>
    <w:rsid w:val="7FA9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paragraph" w:styleId="5">
    <w:name w:val="heading 2"/>
    <w:basedOn w:val="1"/>
    <w:next w:val="1"/>
    <w:qFormat/>
    <w:uiPriority w:val="0"/>
    <w:pPr>
      <w:keepNext/>
      <w:keepLines/>
      <w:numPr>
        <w:ilvl w:val="0"/>
        <w:numId w:val="1"/>
      </w:numPr>
      <w:spacing w:line="360" w:lineRule="auto"/>
      <w:jc w:val="left"/>
      <w:outlineLvl w:val="1"/>
    </w:pPr>
    <w:rPr>
      <w:rFonts w:ascii="Arial" w:hAnsi="Arial"/>
      <w:b/>
      <w:bCs/>
      <w:sz w:val="24"/>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6">
    <w:name w:val="Default Paragraph Font"/>
    <w:link w:val="27"/>
    <w:semiHidden/>
    <w:qFormat/>
    <w:uiPriority w:val="0"/>
    <w:rPr>
      <w:rFonts w:ascii="宋体" w:hAnsi="宋体" w:cs="宋体"/>
      <w:kern w:val="0"/>
      <w:sz w:val="24"/>
      <w:szCs w:val="21"/>
    </w:rPr>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adjustRightInd/>
      <w:spacing w:before="340" w:after="330" w:line="360" w:lineRule="auto"/>
      <w:jc w:val="center"/>
      <w:textAlignment w:val="auto"/>
    </w:pPr>
    <w:rPr>
      <w:rFonts w:ascii="Calibri" w:hAnsi="黑体" w:eastAsia="宋体" w:cs="Times New Roman"/>
      <w:sz w:val="21"/>
      <w:szCs w:val="24"/>
      <w:lang w:val="en-US" w:eastAsia="zh-CN"/>
    </w:rPr>
  </w:style>
  <w:style w:type="paragraph" w:customStyle="1" w:styleId="4">
    <w:name w:val="文本正文"/>
    <w:basedOn w:val="1"/>
    <w:qFormat/>
    <w:uiPriority w:val="0"/>
    <w:pPr>
      <w:snapToGrid w:val="0"/>
      <w:spacing w:line="360" w:lineRule="auto"/>
      <w:ind w:firstLine="510"/>
      <w:jc w:val="left"/>
    </w:pPr>
    <w:rPr>
      <w:spacing w:val="4"/>
      <w:kern w:val="24"/>
      <w:szCs w:val="24"/>
      <w:lang w:val="zh-CN"/>
    </w:rPr>
  </w:style>
  <w:style w:type="paragraph" w:styleId="8">
    <w:name w:val="Note Heading"/>
    <w:basedOn w:val="1"/>
    <w:next w:val="1"/>
    <w:qFormat/>
    <w:uiPriority w:val="0"/>
    <w:pPr>
      <w:jc w:val="center"/>
    </w:pPr>
    <w:rPr>
      <w:kern w:val="2"/>
      <w:sz w:val="21"/>
      <w:szCs w:val="24"/>
    </w:rPr>
  </w:style>
  <w:style w:type="paragraph" w:styleId="9">
    <w:name w:val="Normal Indent"/>
    <w:basedOn w:val="1"/>
    <w:link w:val="51"/>
    <w:qFormat/>
    <w:uiPriority w:val="0"/>
    <w:pPr>
      <w:spacing w:before="156" w:beforeLines="0" w:line="360" w:lineRule="auto"/>
      <w:ind w:right="210" w:rightChars="100" w:firstLine="480" w:firstLineChars="200"/>
    </w:pPr>
    <w:rPr>
      <w:rFonts w:ascii="宋体" w:hAnsi="宋体" w:cs="宋体"/>
      <w:color w:val="000000"/>
      <w:sz w:val="24"/>
    </w:rPr>
  </w:style>
  <w:style w:type="paragraph" w:styleId="10">
    <w:name w:val="toa heading"/>
    <w:basedOn w:val="1"/>
    <w:next w:val="1"/>
    <w:unhideWhenUsed/>
    <w:qFormat/>
    <w:uiPriority w:val="99"/>
    <w:pPr>
      <w:spacing w:before="120"/>
    </w:pPr>
    <w:rPr>
      <w:rFonts w:ascii="Arial" w:hAnsi="Arial" w:cs="Arial"/>
      <w:sz w:val="24"/>
    </w:rPr>
  </w:style>
  <w:style w:type="paragraph" w:styleId="11">
    <w:name w:val="annotation text"/>
    <w:basedOn w:val="1"/>
    <w:qFormat/>
    <w:uiPriority w:val="0"/>
    <w:pPr>
      <w:jc w:val="left"/>
    </w:pPr>
  </w:style>
  <w:style w:type="paragraph" w:styleId="12">
    <w:name w:val="Salutation"/>
    <w:basedOn w:val="1"/>
    <w:next w:val="1"/>
    <w:qFormat/>
    <w:uiPriority w:val="0"/>
    <w:rPr>
      <w:kern w:val="2"/>
      <w:sz w:val="21"/>
      <w:szCs w:val="24"/>
    </w:rPr>
  </w:style>
  <w:style w:type="paragraph" w:styleId="13">
    <w:name w:val="Body Text"/>
    <w:basedOn w:val="1"/>
    <w:qFormat/>
    <w:uiPriority w:val="0"/>
    <w:pPr>
      <w:spacing w:before="20" w:beforeLines="0" w:after="20" w:afterLines="0"/>
      <w:jc w:val="center"/>
    </w:pPr>
    <w:rPr>
      <w:sz w:val="24"/>
    </w:rPr>
  </w:style>
  <w:style w:type="paragraph" w:styleId="14">
    <w:name w:val="Body Text Indent"/>
    <w:basedOn w:val="1"/>
    <w:unhideWhenUsed/>
    <w:qFormat/>
    <w:uiPriority w:val="99"/>
    <w:pPr>
      <w:spacing w:line="500" w:lineRule="atLeast"/>
      <w:ind w:firstLine="360"/>
    </w:pPr>
    <w:rPr>
      <w:sz w:val="24"/>
    </w:r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szCs w:val="20"/>
    </w:rPr>
  </w:style>
  <w:style w:type="paragraph" w:styleId="17">
    <w:name w:val="Date"/>
    <w:basedOn w:val="1"/>
    <w:next w:val="1"/>
    <w:unhideWhenUsed/>
    <w:qFormat/>
    <w:uiPriority w:val="99"/>
    <w:rPr>
      <w:sz w:val="24"/>
    </w:rPr>
  </w:style>
  <w:style w:type="paragraph" w:styleId="18">
    <w:name w:val="Body Text Indent 2"/>
    <w:basedOn w:val="1"/>
    <w:unhideWhenUsed/>
    <w:qFormat/>
    <w:uiPriority w:val="99"/>
    <w:pPr>
      <w:tabs>
        <w:tab w:val="left" w:pos="0"/>
      </w:tabs>
      <w:ind w:firstLine="480"/>
    </w:pPr>
    <w:rPr>
      <w:sz w:val="24"/>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2">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3">
    <w:name w:val="Body Text First Indent"/>
    <w:basedOn w:val="13"/>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Char Char Char Char Char Char Char Char1 Char Char Char Char"/>
    <w:basedOn w:val="1"/>
    <w:link w:val="26"/>
    <w:qFormat/>
    <w:uiPriority w:val="0"/>
    <w:pPr>
      <w:widowControl/>
      <w:jc w:val="left"/>
    </w:pPr>
    <w:rPr>
      <w:rFonts w:ascii="宋体" w:hAnsi="宋体" w:cs="宋体"/>
      <w:kern w:val="0"/>
      <w:sz w:val="24"/>
      <w:szCs w:val="21"/>
    </w:rPr>
  </w:style>
  <w:style w:type="character" w:styleId="28">
    <w:name w:val="page number"/>
    <w:basedOn w:val="26"/>
    <w:unhideWhenUsed/>
    <w:qFormat/>
    <w:uiPriority w:val="99"/>
  </w:style>
  <w:style w:type="character" w:styleId="29">
    <w:name w:val="Hyperlink"/>
    <w:unhideWhenUsed/>
    <w:qFormat/>
    <w:uiPriority w:val="99"/>
    <w:rPr>
      <w:color w:val="0000FF"/>
      <w:sz w:val="21"/>
      <w:szCs w:val="24"/>
      <w:u w:val="single"/>
    </w:rPr>
  </w:style>
  <w:style w:type="character" w:styleId="30">
    <w:name w:val="annotation reference"/>
    <w:basedOn w:val="26"/>
    <w:unhideWhenUsed/>
    <w:qFormat/>
    <w:uiPriority w:val="99"/>
    <w:rPr>
      <w:sz w:val="21"/>
      <w:szCs w:val="21"/>
    </w:rPr>
  </w:style>
  <w:style w:type="paragraph" w:customStyle="1" w:styleId="31">
    <w:name w:val="报告正文"/>
    <w:basedOn w:val="1"/>
    <w:next w:val="1"/>
    <w:qFormat/>
    <w:uiPriority w:val="0"/>
    <w:pPr>
      <w:spacing w:line="360" w:lineRule="auto"/>
      <w:ind w:firstLine="200" w:firstLineChars="200"/>
      <w:jc w:val="left"/>
    </w:pPr>
    <w:rPr>
      <w:sz w:val="24"/>
    </w:rPr>
  </w:style>
  <w:style w:type="paragraph" w:customStyle="1" w:styleId="32">
    <w:name w:val="小标题（表内部的）"/>
    <w:basedOn w:val="1"/>
    <w:qFormat/>
    <w:uiPriority w:val="0"/>
    <w:pPr>
      <w:spacing w:line="360" w:lineRule="auto"/>
    </w:pPr>
    <w:rPr>
      <w:rFonts w:eastAsia="黑体"/>
      <w:b/>
      <w:bCs/>
      <w:sz w:val="24"/>
    </w:rPr>
  </w:style>
  <w:style w:type="paragraph" w:customStyle="1" w:styleId="33">
    <w:name w:val="Table Paragraph"/>
    <w:basedOn w:val="1"/>
    <w:qFormat/>
    <w:uiPriority w:val="1"/>
  </w:style>
  <w:style w:type="paragraph" w:customStyle="1" w:styleId="34">
    <w:name w:val="表格内容"/>
    <w:basedOn w:val="1"/>
    <w:qFormat/>
    <w:uiPriority w:val="0"/>
    <w:pPr>
      <w:widowControl/>
      <w:tabs>
        <w:tab w:val="left" w:pos="5327"/>
        <w:tab w:val="left" w:pos="6326"/>
        <w:tab w:val="left" w:pos="7230"/>
        <w:tab w:val="left" w:pos="9301"/>
      </w:tabs>
      <w:spacing w:line="240" w:lineRule="atLeast"/>
      <w:ind w:firstLine="560" w:firstLineChars="200"/>
      <w:jc w:val="left"/>
    </w:pPr>
    <w:rPr>
      <w:rFonts w:ascii="仿宋_GB2312" w:hAnsi="Arial Narrow" w:eastAsia="华文中宋"/>
      <w:kern w:val="0"/>
      <w:sz w:val="24"/>
      <w:szCs w:val="24"/>
    </w:rPr>
  </w:style>
  <w:style w:type="paragraph" w:customStyle="1" w:styleId="35">
    <w:name w:val="表格文字"/>
    <w:basedOn w:val="1"/>
    <w:qFormat/>
    <w:uiPriority w:val="0"/>
    <w:pPr>
      <w:jc w:val="center"/>
    </w:pPr>
    <w:rPr>
      <w:rFonts w:ascii="仿宋_GB2312" w:hAnsi="Arial Black" w:eastAsia="仿宋_GB2312" w:cs="Times New Roman"/>
      <w:kern w:val="44"/>
      <w:szCs w:val="24"/>
    </w:rPr>
  </w:style>
  <w:style w:type="paragraph" w:customStyle="1" w:styleId="36">
    <w:name w:val="表题"/>
    <w:basedOn w:val="1"/>
    <w:qFormat/>
    <w:uiPriority w:val="0"/>
    <w:pPr>
      <w:autoSpaceDE w:val="0"/>
      <w:autoSpaceDN w:val="0"/>
      <w:adjustRightInd w:val="0"/>
      <w:spacing w:line="360" w:lineRule="auto"/>
      <w:jc w:val="center"/>
    </w:pPr>
    <w:rPr>
      <w:b/>
    </w:rPr>
  </w:style>
  <w:style w:type="character" w:customStyle="1" w:styleId="37">
    <w:name w:val="正文缩进 Char"/>
    <w:basedOn w:val="26"/>
    <w:link w:val="9"/>
    <w:qFormat/>
    <w:uiPriority w:val="0"/>
    <w:rPr>
      <w:rFonts w:ascii="宋体" w:hAnsi="宋体" w:cs="宋体"/>
      <w:color w:val="000000"/>
      <w:sz w:val="24"/>
    </w:rPr>
  </w:style>
  <w:style w:type="paragraph" w:customStyle="1" w:styleId="38">
    <w:name w:val="表"/>
    <w:basedOn w:val="1"/>
    <w:qFormat/>
    <w:uiPriority w:val="0"/>
    <w:pPr>
      <w:spacing w:line="340" w:lineRule="exact"/>
      <w:jc w:val="center"/>
    </w:pPr>
    <w:rPr>
      <w:rFonts w:ascii="宋体" w:hAnsi="宋体" w:cs="Times New Roman"/>
      <w:szCs w:val="20"/>
    </w:rPr>
  </w:style>
  <w:style w:type="paragraph" w:customStyle="1" w:styleId="39">
    <w:name w:val="居中正文"/>
    <w:basedOn w:val="23"/>
    <w:qFormat/>
    <w:uiPriority w:val="0"/>
    <w:pPr>
      <w:overflowPunct/>
      <w:autoSpaceDE/>
      <w:autoSpaceDN/>
      <w:spacing w:before="120"/>
      <w:ind w:firstLine="0"/>
      <w:jc w:val="center"/>
      <w:textAlignment w:val="baseline"/>
    </w:pPr>
    <w:rPr>
      <w:rFonts w:ascii="宋体"/>
      <w:kern w:val="28"/>
      <w:sz w:val="24"/>
    </w:rPr>
  </w:style>
  <w:style w:type="paragraph" w:customStyle="1" w:styleId="40">
    <w:name w:val="正文5"/>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41">
    <w:name w:val="样式 表头样式1 + 段前: 0.5 行 段后: 10.15 磅"/>
    <w:basedOn w:val="42"/>
    <w:qFormat/>
    <w:uiPriority w:val="0"/>
    <w:pPr>
      <w:adjustRightInd w:val="0"/>
      <w:snapToGrid w:val="0"/>
      <w:spacing w:before="0" w:beforeLines="0"/>
    </w:pPr>
    <w:rPr>
      <w:rFonts w:cs="宋体"/>
      <w:bCs/>
      <w:kern w:val="0"/>
      <w:sz w:val="21"/>
      <w:szCs w:val="21"/>
    </w:rPr>
  </w:style>
  <w:style w:type="paragraph" w:customStyle="1" w:styleId="42">
    <w:name w:val="表头样式1"/>
    <w:basedOn w:val="1"/>
    <w:qFormat/>
    <w:uiPriority w:val="0"/>
    <w:pPr>
      <w:spacing w:before="156" w:beforeLines="50"/>
      <w:jc w:val="center"/>
    </w:pPr>
    <w:rPr>
      <w:rFonts w:eastAsia="黑体"/>
      <w:b/>
      <w:sz w:val="24"/>
    </w:rPr>
  </w:style>
  <w:style w:type="paragraph" w:customStyle="1" w:styleId="43">
    <w:name w:val="表内格式"/>
    <w:basedOn w:val="1"/>
    <w:qFormat/>
    <w:uiPriority w:val="0"/>
    <w:pPr>
      <w:spacing w:line="360" w:lineRule="auto"/>
      <w:jc w:val="center"/>
    </w:pPr>
    <w:rPr>
      <w:kern w:val="0"/>
      <w:sz w:val="18"/>
      <w:szCs w:val="20"/>
    </w:rPr>
  </w:style>
  <w:style w:type="character" w:customStyle="1" w:styleId="44">
    <w:name w:val="正weng Char Char"/>
    <w:qFormat/>
    <w:uiPriority w:val="0"/>
    <w:rPr>
      <w:rFonts w:cs="宋体"/>
      <w:sz w:val="24"/>
      <w:szCs w:val="24"/>
    </w:rPr>
  </w:style>
  <w:style w:type="paragraph" w:customStyle="1" w:styleId="45">
    <w:name w:val="正weng"/>
    <w:basedOn w:val="1"/>
    <w:qFormat/>
    <w:uiPriority w:val="0"/>
    <w:pPr>
      <w:widowControl/>
      <w:overflowPunct w:val="0"/>
      <w:spacing w:line="360" w:lineRule="auto"/>
      <w:ind w:firstLine="200" w:firstLineChars="200"/>
      <w:jc w:val="left"/>
    </w:pPr>
    <w:rPr>
      <w:rFonts w:cs="宋体" w:asciiTheme="minorHAnsi" w:hAnsiTheme="minorHAnsi"/>
      <w:szCs w:val="24"/>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宋体 小四"/>
    <w:basedOn w:val="1"/>
    <w:qFormat/>
    <w:uiPriority w:val="0"/>
    <w:pPr>
      <w:spacing w:line="360" w:lineRule="auto"/>
      <w:ind w:firstLine="200" w:firstLineChars="200"/>
    </w:pPr>
    <w:rPr>
      <w:rFonts w:hAnsi="宋体"/>
      <w:sz w:val="24"/>
      <w:szCs w:val="24"/>
    </w:rPr>
  </w:style>
  <w:style w:type="paragraph" w:customStyle="1" w:styleId="48">
    <w:name w:val="样式35"/>
    <w:basedOn w:val="1"/>
    <w:qFormat/>
    <w:uiPriority w:val="0"/>
    <w:pPr>
      <w:adjustRightInd w:val="0"/>
      <w:spacing w:line="312" w:lineRule="auto"/>
      <w:ind w:firstLine="567"/>
    </w:pPr>
    <w:rPr>
      <w:rFonts w:ascii="宋体"/>
      <w:kern w:val="0"/>
      <w:sz w:val="28"/>
    </w:rPr>
  </w:style>
  <w:style w:type="paragraph" w:customStyle="1" w:styleId="49">
    <w:name w:val="图文框"/>
    <w:basedOn w:val="1"/>
    <w:qFormat/>
    <w:uiPriority w:val="0"/>
    <w:pPr>
      <w:adjustRightInd w:val="0"/>
      <w:snapToGrid w:val="0"/>
      <w:spacing w:line="360" w:lineRule="auto"/>
    </w:pPr>
    <w:rPr>
      <w:sz w:val="24"/>
    </w:rPr>
  </w:style>
  <w:style w:type="paragraph" w:customStyle="1" w:styleId="50">
    <w:name w:val="正文样式"/>
    <w:basedOn w:val="1"/>
    <w:qFormat/>
    <w:uiPriority w:val="0"/>
    <w:pPr>
      <w:spacing w:line="500" w:lineRule="exact"/>
      <w:ind w:firstLine="560"/>
    </w:pPr>
    <w:rPr>
      <w:rFonts w:eastAsia="Times New Roman"/>
      <w:sz w:val="28"/>
    </w:rPr>
  </w:style>
  <w:style w:type="character" w:customStyle="1" w:styleId="51">
    <w:name w:val="正文缩进 字符"/>
    <w:link w:val="9"/>
    <w:qFormat/>
    <w:uiPriority w:val="0"/>
    <w:rPr>
      <w:rFonts w:ascii="宋体" w:hAnsi="宋体" w:eastAsia="宋体" w:cs="宋体"/>
      <w:color w:val="000000"/>
      <w:kern w:val="2"/>
      <w:sz w:val="24"/>
      <w:szCs w:val="24"/>
      <w:u w:val="none" w:color="auto"/>
      <w:lang w:val="en-US" w:eastAsia="zh-CN" w:bidi="ar-SA"/>
    </w:rPr>
  </w:style>
  <w:style w:type="paragraph" w:customStyle="1" w:styleId="52">
    <w:name w:val="表格表头"/>
    <w:basedOn w:val="53"/>
    <w:qFormat/>
    <w:uiPriority w:val="0"/>
    <w:pPr>
      <w:numPr>
        <w:ilvl w:val="0"/>
        <w:numId w:val="2"/>
      </w:numPr>
      <w:snapToGrid w:val="0"/>
      <w:ind w:leftChars="0" w:right="0" w:rightChars="0"/>
      <w:jc w:val="center"/>
    </w:pPr>
    <w:rPr>
      <w:rFonts w:ascii="黑体" w:hAnsi="宋体" w:eastAsia="黑体"/>
      <w:b/>
      <w:color w:val="000000"/>
      <w:w w:val="100"/>
      <w:sz w:val="24"/>
      <w:szCs w:val="24"/>
    </w:rPr>
  </w:style>
  <w:style w:type="paragraph" w:customStyle="1" w:styleId="53">
    <w:name w:val="p0"/>
    <w:basedOn w:val="1"/>
    <w:qFormat/>
    <w:uiPriority w:val="0"/>
    <w:pPr>
      <w:widowControl/>
      <w:spacing w:line="360" w:lineRule="auto"/>
      <w:ind w:left="84" w:leftChars="50" w:right="84" w:rightChars="50"/>
      <w:jc w:val="left"/>
    </w:pPr>
    <w:rPr>
      <w:w w:val="90"/>
      <w:szCs w:val="21"/>
    </w:rPr>
  </w:style>
  <w:style w:type="paragraph" w:customStyle="1" w:styleId="54">
    <w:name w:val="首行缩进"/>
    <w:basedOn w:val="1"/>
    <w:qFormat/>
    <w:uiPriority w:val="0"/>
    <w:pPr>
      <w:spacing w:line="360" w:lineRule="auto"/>
      <w:ind w:firstLine="480" w:firstLineChars="200"/>
    </w:pPr>
    <w:rPr>
      <w:sz w:val="24"/>
    </w:rPr>
  </w:style>
  <w:style w:type="paragraph" w:customStyle="1" w:styleId="55">
    <w:name w:val="1.5倍行距"/>
    <w:basedOn w:val="1"/>
    <w:next w:val="1"/>
    <w:qFormat/>
    <w:uiPriority w:val="0"/>
    <w:pPr>
      <w:spacing w:line="360" w:lineRule="auto"/>
      <w:ind w:firstLine="200" w:firstLineChars="200"/>
      <w:jc w:val="left"/>
    </w:pPr>
  </w:style>
  <w:style w:type="paragraph" w:customStyle="1" w:styleId="56">
    <w:name w:val="正文1"/>
    <w:basedOn w:val="1"/>
    <w:qFormat/>
    <w:uiPriority w:val="0"/>
    <w:pPr>
      <w:ind w:firstLine="200" w:firstLineChars="200"/>
    </w:pPr>
    <w:rPr>
      <w:szCs w:val="28"/>
    </w:rPr>
  </w:style>
  <w:style w:type="paragraph" w:customStyle="1" w:styleId="57">
    <w:name w:val="表标题"/>
    <w:basedOn w:val="1"/>
    <w:qFormat/>
    <w:uiPriority w:val="0"/>
    <w:pPr>
      <w:adjustRightInd w:val="0"/>
      <w:snapToGrid w:val="0"/>
      <w:spacing w:before="62" w:beforeLines="20" w:after="62" w:afterLines="20" w:line="360" w:lineRule="auto"/>
      <w:jc w:val="center"/>
    </w:pPr>
    <w:rPr>
      <w:rFonts w:eastAsia="黑体"/>
      <w:spacing w:val="12"/>
      <w:kern w:val="2"/>
      <w:sz w:val="24"/>
      <w:szCs w:val="21"/>
      <w:lang w:val="en-US" w:eastAsia="zh-CN" w:bidi="ar-SA"/>
    </w:rPr>
  </w:style>
  <w:style w:type="paragraph" w:customStyle="1" w:styleId="58">
    <w:name w:val="简单回函地址"/>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10.wmf"/><Relationship Id="rId38" Type="http://schemas.openxmlformats.org/officeDocument/2006/relationships/oleObject" Target="embeddings/oleObject10.bin"/><Relationship Id="rId37" Type="http://schemas.openxmlformats.org/officeDocument/2006/relationships/image" Target="media/image9.wmf"/><Relationship Id="rId36" Type="http://schemas.openxmlformats.org/officeDocument/2006/relationships/oleObject" Target="embeddings/oleObject9.bin"/><Relationship Id="rId35" Type="http://schemas.openxmlformats.org/officeDocument/2006/relationships/image" Target="media/image8.wmf"/><Relationship Id="rId34" Type="http://schemas.openxmlformats.org/officeDocument/2006/relationships/oleObject" Target="embeddings/oleObject8.bin"/><Relationship Id="rId33" Type="http://schemas.openxmlformats.org/officeDocument/2006/relationships/image" Target="media/image7.wmf"/><Relationship Id="rId32" Type="http://schemas.openxmlformats.org/officeDocument/2006/relationships/oleObject" Target="embeddings/oleObject7.bin"/><Relationship Id="rId31" Type="http://schemas.openxmlformats.org/officeDocument/2006/relationships/image" Target="media/image6.wmf"/><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image" Target="media/image5.wmf"/><Relationship Id="rId28" Type="http://schemas.openxmlformats.org/officeDocument/2006/relationships/oleObject" Target="embeddings/oleObject5.bin"/><Relationship Id="rId27" Type="http://schemas.openxmlformats.org/officeDocument/2006/relationships/image" Target="media/image4.wmf"/><Relationship Id="rId26" Type="http://schemas.openxmlformats.org/officeDocument/2006/relationships/oleObject" Target="embeddings/oleObject4.bin"/><Relationship Id="rId25" Type="http://schemas.openxmlformats.org/officeDocument/2006/relationships/image" Target="media/image3.wmf"/><Relationship Id="rId24" Type="http://schemas.openxmlformats.org/officeDocument/2006/relationships/oleObject" Target="embeddings/oleObject3.bin"/><Relationship Id="rId23" Type="http://schemas.openxmlformats.org/officeDocument/2006/relationships/image" Target="media/image2.wmf"/><Relationship Id="rId22" Type="http://schemas.openxmlformats.org/officeDocument/2006/relationships/oleObject" Target="embeddings/oleObject2.bin"/><Relationship Id="rId21" Type="http://schemas.openxmlformats.org/officeDocument/2006/relationships/image" Target="media/image1.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58</Pages>
  <Words>7075</Words>
  <Characters>7760</Characters>
  <Lines>0</Lines>
  <Paragraphs>0</Paragraphs>
  <TotalTime>8</TotalTime>
  <ScaleCrop>false</ScaleCrop>
  <LinksUpToDate>false</LinksUpToDate>
  <CharactersWithSpaces>7837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2018-11-24T07:16:00Z</dcterms:created>
  <dc:creator>F-hawk</dc:creator>
  <cp:lastModifiedBy>刘变香</cp:lastModifiedBy>
  <dcterms:modified xsi:type="dcterms:W3CDTF">2025-09-17T00:58:52Z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26840D96B5784A5E8C5BCD9EBF0CF5B0</vt:lpwstr>
  </property>
</Properties>
</file>