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FF6A50">
      <w:pPr>
        <w:rPr>
          <w:rFonts w:hint="eastAsia"/>
          <w:color w:val="auto"/>
          <w:lang w:val="en-US" w:eastAsia="zh-CN"/>
        </w:rPr>
      </w:pPr>
    </w:p>
    <w:sdt>
      <w:sdtPr>
        <w:rPr>
          <w:rFonts w:ascii="宋体" w:hAnsi="宋体" w:eastAsia="宋体" w:cs="Times New Roman"/>
          <w:b/>
          <w:bCs/>
          <w:color w:val="000000" w:themeColor="text1"/>
          <w:kern w:val="2"/>
          <w:sz w:val="48"/>
          <w:szCs w:val="48"/>
          <w:lang w:val="en-US" w:eastAsia="zh-CN" w:bidi="ar-SA"/>
          <w14:textFill>
            <w14:solidFill>
              <w14:schemeClr w14:val="tx1"/>
            </w14:solidFill>
          </w14:textFill>
        </w:rPr>
        <w:id w:val="147464436"/>
        <w15:color w:val="DBDBDB"/>
        <w:docPartObj>
          <w:docPartGallery w:val="Table of Contents"/>
          <w:docPartUnique/>
        </w:docPartObj>
      </w:sdtPr>
      <w:sdtEndPr>
        <w:rPr>
          <w:rFonts w:ascii="宋体" w:hAnsi="宋体" w:eastAsia="宋体" w:cs="Times New Roman"/>
          <w:b/>
          <w:bCs/>
          <w:color w:val="000000" w:themeColor="text1"/>
          <w:kern w:val="2"/>
          <w:sz w:val="48"/>
          <w:szCs w:val="48"/>
          <w:lang w:val="en-US" w:eastAsia="zh-CN" w:bidi="ar-SA"/>
          <w14:textFill>
            <w14:solidFill>
              <w14:schemeClr w14:val="tx1"/>
            </w14:solidFill>
          </w14:textFill>
        </w:rPr>
      </w:sdtEndPr>
      <w:sdtContent>
        <w:p w14:paraId="0F44C20B">
          <w:pPr>
            <w:spacing w:before="0" w:beforeLines="0" w:after="0" w:afterLines="0" w:line="240" w:lineRule="auto"/>
            <w:ind w:left="0" w:leftChars="0" w:right="0" w:rightChars="0" w:firstLine="0" w:firstLineChars="0"/>
            <w:jc w:val="center"/>
            <w:rPr>
              <w:b/>
              <w:bCs/>
              <w:sz w:val="48"/>
              <w:szCs w:val="48"/>
            </w:rPr>
          </w:pPr>
          <w:r>
            <w:rPr>
              <w:rFonts w:ascii="宋体" w:hAnsi="宋体" w:eastAsia="宋体"/>
              <w:b/>
              <w:bCs/>
              <w:sz w:val="48"/>
              <w:szCs w:val="48"/>
            </w:rPr>
            <w:t>目录</w:t>
          </w:r>
        </w:p>
        <w:p w14:paraId="1D407DC0">
          <w:pPr>
            <w:pStyle w:val="17"/>
            <w:tabs>
              <w:tab w:val="right" w:leader="dot" w:pos="8504"/>
            </w:tabs>
          </w:pPr>
          <w:r>
            <w:fldChar w:fldCharType="begin"/>
          </w:r>
          <w:r>
            <w:instrText xml:space="preserve">TOC \o "1-1" \h \u </w:instrText>
          </w:r>
          <w:r>
            <w:fldChar w:fldCharType="separate"/>
          </w:r>
          <w:r>
            <w:fldChar w:fldCharType="begin"/>
          </w:r>
          <w:r>
            <w:instrText xml:space="preserve"> HYPERLINK \l _Toc295 </w:instrText>
          </w:r>
          <w:r>
            <w:fldChar w:fldCharType="separate"/>
          </w:r>
          <w:r>
            <w:rPr>
              <w:rFonts w:hint="eastAsia"/>
              <w:bCs/>
              <w:lang w:val="en-US" w:eastAsia="zh-CN"/>
            </w:rPr>
            <w:t>附件</w:t>
          </w:r>
          <w:r>
            <w:tab/>
          </w:r>
          <w:r>
            <w:fldChar w:fldCharType="begin"/>
          </w:r>
          <w:r>
            <w:instrText xml:space="preserve"> PAGEREF _Toc295 \h </w:instrText>
          </w:r>
          <w:r>
            <w:fldChar w:fldCharType="separate"/>
          </w:r>
          <w:r>
            <w:t>1</w:t>
          </w:r>
          <w:r>
            <w:fldChar w:fldCharType="end"/>
          </w:r>
          <w:r>
            <w:fldChar w:fldCharType="end"/>
          </w:r>
        </w:p>
        <w:p w14:paraId="446B6EBD">
          <w:pPr>
            <w:pStyle w:val="17"/>
            <w:tabs>
              <w:tab w:val="right" w:leader="dot" w:pos="8504"/>
            </w:tabs>
          </w:pPr>
          <w:r>
            <w:fldChar w:fldCharType="begin"/>
          </w:r>
          <w:r>
            <w:instrText xml:space="preserve"> HYPERLINK \l _Toc30723 </w:instrText>
          </w:r>
          <w:r>
            <w:fldChar w:fldCharType="separate"/>
          </w:r>
          <w:r>
            <w:rPr>
              <w:rFonts w:hint="eastAsia"/>
              <w:bCs/>
              <w:lang w:val="en-US" w:eastAsia="zh-CN"/>
            </w:rPr>
            <w:t>附图</w:t>
          </w:r>
          <w:r>
            <w:tab/>
          </w:r>
          <w:r>
            <w:fldChar w:fldCharType="begin"/>
          </w:r>
          <w:r>
            <w:instrText xml:space="preserve"> PAGEREF _Toc30723 \h </w:instrText>
          </w:r>
          <w:r>
            <w:fldChar w:fldCharType="separate"/>
          </w:r>
          <w:r>
            <w:t>1</w:t>
          </w:r>
          <w:r>
            <w:fldChar w:fldCharType="end"/>
          </w:r>
          <w:r>
            <w:fldChar w:fldCharType="end"/>
          </w:r>
        </w:p>
        <w:p w14:paraId="1EC28523">
          <w:pPr>
            <w:pStyle w:val="17"/>
            <w:tabs>
              <w:tab w:val="right" w:leader="dot" w:pos="8504"/>
            </w:tabs>
          </w:pPr>
          <w:r>
            <w:fldChar w:fldCharType="begin"/>
          </w:r>
          <w:r>
            <w:instrText xml:space="preserve"> HYPERLINK \l _Toc15301 </w:instrText>
          </w:r>
          <w:r>
            <w:fldChar w:fldCharType="separate"/>
          </w:r>
          <w:r>
            <w:rPr>
              <w:rFonts w:hint="default"/>
            </w:rPr>
            <w:t>前言</w:t>
          </w:r>
          <w:r>
            <w:tab/>
          </w:r>
          <w:r>
            <w:fldChar w:fldCharType="begin"/>
          </w:r>
          <w:r>
            <w:instrText xml:space="preserve"> PAGEREF _Toc15301 \h </w:instrText>
          </w:r>
          <w:r>
            <w:fldChar w:fldCharType="separate"/>
          </w:r>
          <w:r>
            <w:t>1</w:t>
          </w:r>
          <w:r>
            <w:fldChar w:fldCharType="end"/>
          </w:r>
          <w:r>
            <w:fldChar w:fldCharType="end"/>
          </w:r>
        </w:p>
        <w:p w14:paraId="351CBE11">
          <w:pPr>
            <w:pStyle w:val="17"/>
            <w:tabs>
              <w:tab w:val="right" w:leader="dot" w:pos="8504"/>
            </w:tabs>
          </w:pPr>
          <w:r>
            <w:fldChar w:fldCharType="begin"/>
          </w:r>
          <w:r>
            <w:instrText xml:space="preserve"> HYPERLINK \l _Toc17648 </w:instrText>
          </w:r>
          <w:r>
            <w:fldChar w:fldCharType="separate"/>
          </w:r>
          <w:r>
            <w:rPr>
              <w:rFonts w:hint="default"/>
            </w:rPr>
            <w:t>一、建设项目基本情况</w:t>
          </w:r>
          <w:r>
            <w:tab/>
          </w:r>
          <w:r>
            <w:fldChar w:fldCharType="begin"/>
          </w:r>
          <w:r>
            <w:instrText xml:space="preserve"> PAGEREF _Toc17648 \h </w:instrText>
          </w:r>
          <w:r>
            <w:fldChar w:fldCharType="separate"/>
          </w:r>
          <w:r>
            <w:t>3</w:t>
          </w:r>
          <w:r>
            <w:fldChar w:fldCharType="end"/>
          </w:r>
          <w:r>
            <w:fldChar w:fldCharType="end"/>
          </w:r>
        </w:p>
        <w:p w14:paraId="7FE7786B">
          <w:pPr>
            <w:pStyle w:val="17"/>
            <w:tabs>
              <w:tab w:val="right" w:leader="dot" w:pos="8504"/>
            </w:tabs>
          </w:pPr>
          <w:r>
            <w:fldChar w:fldCharType="begin"/>
          </w:r>
          <w:r>
            <w:instrText xml:space="preserve"> HYPERLINK \l _Toc968 </w:instrText>
          </w:r>
          <w:r>
            <w:fldChar w:fldCharType="separate"/>
          </w:r>
          <w:r>
            <w:rPr>
              <w:rFonts w:hint="default"/>
            </w:rPr>
            <w:t>二、建设内容</w:t>
          </w:r>
          <w:r>
            <w:tab/>
          </w:r>
          <w:r>
            <w:fldChar w:fldCharType="begin"/>
          </w:r>
          <w:r>
            <w:instrText xml:space="preserve"> PAGEREF _Toc968 \h </w:instrText>
          </w:r>
          <w:r>
            <w:fldChar w:fldCharType="separate"/>
          </w:r>
          <w:r>
            <w:t>29</w:t>
          </w:r>
          <w:r>
            <w:fldChar w:fldCharType="end"/>
          </w:r>
          <w:r>
            <w:fldChar w:fldCharType="end"/>
          </w:r>
        </w:p>
        <w:p w14:paraId="383A5B07">
          <w:pPr>
            <w:pStyle w:val="17"/>
            <w:tabs>
              <w:tab w:val="right" w:leader="dot" w:pos="8504"/>
            </w:tabs>
          </w:pPr>
          <w:r>
            <w:fldChar w:fldCharType="begin"/>
          </w:r>
          <w:r>
            <w:instrText xml:space="preserve"> HYPERLINK \l _Toc28966 </w:instrText>
          </w:r>
          <w:r>
            <w:fldChar w:fldCharType="separate"/>
          </w:r>
          <w:r>
            <w:rPr>
              <w:rFonts w:hint="default"/>
            </w:rPr>
            <w:t>三、生态环境现状、保护目标及评价标准</w:t>
          </w:r>
          <w:r>
            <w:tab/>
          </w:r>
          <w:r>
            <w:fldChar w:fldCharType="begin"/>
          </w:r>
          <w:r>
            <w:instrText xml:space="preserve"> PAGEREF _Toc28966 \h </w:instrText>
          </w:r>
          <w:r>
            <w:fldChar w:fldCharType="separate"/>
          </w:r>
          <w:r>
            <w:t>47</w:t>
          </w:r>
          <w:r>
            <w:fldChar w:fldCharType="end"/>
          </w:r>
          <w:r>
            <w:fldChar w:fldCharType="end"/>
          </w:r>
        </w:p>
        <w:p w14:paraId="0709E7A6">
          <w:pPr>
            <w:pStyle w:val="17"/>
            <w:tabs>
              <w:tab w:val="right" w:leader="dot" w:pos="8504"/>
            </w:tabs>
          </w:pPr>
          <w:r>
            <w:fldChar w:fldCharType="begin"/>
          </w:r>
          <w:r>
            <w:instrText xml:space="preserve"> HYPERLINK \l _Toc16529 </w:instrText>
          </w:r>
          <w:r>
            <w:fldChar w:fldCharType="separate"/>
          </w:r>
          <w:r>
            <w:rPr>
              <w:rFonts w:hint="default"/>
            </w:rPr>
            <w:t>四、生态环境影响分析</w:t>
          </w:r>
          <w:r>
            <w:tab/>
          </w:r>
          <w:r>
            <w:fldChar w:fldCharType="begin"/>
          </w:r>
          <w:r>
            <w:instrText xml:space="preserve"> PAGEREF _Toc16529 \h </w:instrText>
          </w:r>
          <w:r>
            <w:fldChar w:fldCharType="separate"/>
          </w:r>
          <w:r>
            <w:t>67</w:t>
          </w:r>
          <w:r>
            <w:fldChar w:fldCharType="end"/>
          </w:r>
          <w:r>
            <w:fldChar w:fldCharType="end"/>
          </w:r>
        </w:p>
        <w:p w14:paraId="390A0D49">
          <w:pPr>
            <w:pStyle w:val="17"/>
            <w:tabs>
              <w:tab w:val="right" w:leader="dot" w:pos="8504"/>
            </w:tabs>
          </w:pPr>
          <w:r>
            <w:fldChar w:fldCharType="begin"/>
          </w:r>
          <w:r>
            <w:instrText xml:space="preserve"> HYPERLINK \l _Toc3119 </w:instrText>
          </w:r>
          <w:r>
            <w:fldChar w:fldCharType="separate"/>
          </w:r>
          <w:r>
            <w:rPr>
              <w:rFonts w:hint="default"/>
            </w:rPr>
            <w:t>五、主要生态环境保护措施</w:t>
          </w:r>
          <w:r>
            <w:tab/>
          </w:r>
          <w:r>
            <w:fldChar w:fldCharType="begin"/>
          </w:r>
          <w:r>
            <w:instrText xml:space="preserve"> PAGEREF _Toc3119 \h </w:instrText>
          </w:r>
          <w:r>
            <w:fldChar w:fldCharType="separate"/>
          </w:r>
          <w:r>
            <w:t>85</w:t>
          </w:r>
          <w:r>
            <w:fldChar w:fldCharType="end"/>
          </w:r>
          <w:r>
            <w:fldChar w:fldCharType="end"/>
          </w:r>
        </w:p>
        <w:p w14:paraId="42605607">
          <w:pPr>
            <w:pStyle w:val="17"/>
            <w:tabs>
              <w:tab w:val="right" w:leader="dot" w:pos="8504"/>
            </w:tabs>
          </w:pPr>
          <w:r>
            <w:fldChar w:fldCharType="begin"/>
          </w:r>
          <w:r>
            <w:instrText xml:space="preserve"> HYPERLINK \l _Toc14949 </w:instrText>
          </w:r>
          <w:r>
            <w:fldChar w:fldCharType="separate"/>
          </w:r>
          <w:r>
            <w:rPr>
              <w:rFonts w:hint="eastAsia" w:ascii="宋体" w:hAnsi="宋体" w:eastAsia="宋体" w:cs="宋体"/>
              <w:bCs/>
              <w:szCs w:val="32"/>
              <w:shd w:val="clear" w:color="auto" w:fill="FFFFFF" w:themeFill="background1"/>
            </w:rPr>
            <w:t>六、生态环境保护措施监督检查清单</w:t>
          </w:r>
          <w:r>
            <w:tab/>
          </w:r>
          <w:r>
            <w:fldChar w:fldCharType="begin"/>
          </w:r>
          <w:r>
            <w:instrText xml:space="preserve"> PAGEREF _Toc14949 \h </w:instrText>
          </w:r>
          <w:r>
            <w:fldChar w:fldCharType="separate"/>
          </w:r>
          <w:r>
            <w:t>96</w:t>
          </w:r>
          <w:r>
            <w:fldChar w:fldCharType="end"/>
          </w:r>
          <w:r>
            <w:fldChar w:fldCharType="end"/>
          </w:r>
        </w:p>
        <w:p w14:paraId="45409EA2">
          <w:pPr>
            <w:pStyle w:val="17"/>
            <w:tabs>
              <w:tab w:val="right" w:leader="dot" w:pos="8504"/>
            </w:tabs>
          </w:pPr>
          <w:r>
            <w:fldChar w:fldCharType="begin"/>
          </w:r>
          <w:r>
            <w:instrText xml:space="preserve"> HYPERLINK \l _Toc131 </w:instrText>
          </w:r>
          <w:r>
            <w:fldChar w:fldCharType="separate"/>
          </w:r>
          <w:r>
            <w:rPr>
              <w:rFonts w:hint="default"/>
            </w:rPr>
            <w:t>七、结论</w:t>
          </w:r>
          <w:r>
            <w:tab/>
          </w:r>
          <w:r>
            <w:fldChar w:fldCharType="begin"/>
          </w:r>
          <w:r>
            <w:instrText xml:space="preserve"> PAGEREF _Toc131 \h </w:instrText>
          </w:r>
          <w:r>
            <w:fldChar w:fldCharType="separate"/>
          </w:r>
          <w:r>
            <w:t>100</w:t>
          </w:r>
          <w:r>
            <w:fldChar w:fldCharType="end"/>
          </w:r>
          <w:r>
            <w:fldChar w:fldCharType="end"/>
          </w:r>
        </w:p>
        <w:p w14:paraId="7CB0D284">
          <w:r>
            <w:fldChar w:fldCharType="end"/>
          </w:r>
        </w:p>
      </w:sdtContent>
    </w:sdt>
    <w:p w14:paraId="0F04B481">
      <w:pPr>
        <w:pStyle w:val="37"/>
        <w:bidi w:val="0"/>
        <w:ind w:left="0" w:leftChars="0" w:firstLine="0" w:firstLineChars="0"/>
        <w:outlineLvl w:val="0"/>
        <w:rPr>
          <w:rFonts w:hint="eastAsia"/>
          <w:b/>
          <w:bCs/>
          <w:color w:val="auto"/>
          <w:lang w:val="en-US" w:eastAsia="zh-CN"/>
        </w:rPr>
      </w:pPr>
      <w:bookmarkStart w:id="0" w:name="_Toc17373"/>
      <w:bookmarkStart w:id="1" w:name="_Toc295"/>
      <w:r>
        <w:rPr>
          <w:rFonts w:hint="eastAsia"/>
          <w:b/>
          <w:bCs/>
          <w:color w:val="auto"/>
          <w:lang w:val="en-US" w:eastAsia="zh-CN"/>
        </w:rPr>
        <w:t>附件</w:t>
      </w:r>
      <w:bookmarkEnd w:id="0"/>
      <w:bookmarkEnd w:id="1"/>
    </w:p>
    <w:p w14:paraId="305E0A9F">
      <w:pPr>
        <w:pStyle w:val="37"/>
        <w:bidi w:val="0"/>
        <w:rPr>
          <w:rFonts w:hint="eastAsia"/>
          <w:color w:val="auto"/>
          <w:lang w:val="en-US" w:eastAsia="zh-CN"/>
        </w:rPr>
      </w:pPr>
      <w:r>
        <w:rPr>
          <w:rFonts w:hint="eastAsia"/>
          <w:color w:val="auto"/>
          <w:lang w:val="en-US" w:eastAsia="zh-CN"/>
        </w:rPr>
        <w:t>附件1 项目环评委托书；</w:t>
      </w:r>
    </w:p>
    <w:p w14:paraId="5B95E950">
      <w:pPr>
        <w:pStyle w:val="37"/>
        <w:bidi w:val="0"/>
        <w:ind w:left="0" w:leftChars="0" w:firstLine="480" w:firstLineChars="200"/>
        <w:rPr>
          <w:rFonts w:hint="eastAsia"/>
          <w:color w:val="auto"/>
          <w:lang w:val="en-US" w:eastAsia="zh-CN"/>
        </w:rPr>
      </w:pPr>
      <w:r>
        <w:rPr>
          <w:rFonts w:hint="eastAsia"/>
          <w:color w:val="auto"/>
          <w:lang w:val="en-US" w:eastAsia="zh-CN"/>
        </w:rPr>
        <w:t>附件2 德宏州水利局关于准予芒市大河新桥电站至洞坎大桥段河道治理工程</w:t>
      </w:r>
    </w:p>
    <w:p w14:paraId="3E31DFA8">
      <w:pPr>
        <w:pStyle w:val="37"/>
        <w:bidi w:val="0"/>
        <w:ind w:left="0" w:leftChars="0" w:firstLine="0" w:firstLineChars="0"/>
        <w:rPr>
          <w:rFonts w:hint="eastAsia"/>
          <w:color w:val="auto"/>
          <w:lang w:val="en-US" w:eastAsia="zh-CN"/>
        </w:rPr>
      </w:pPr>
      <w:r>
        <w:rPr>
          <w:rFonts w:hint="eastAsia"/>
          <w:color w:val="auto"/>
          <w:lang w:val="en-US" w:eastAsia="zh-CN"/>
        </w:rPr>
        <w:t>初步设计报告的行政许可决定书；</w:t>
      </w:r>
    </w:p>
    <w:p w14:paraId="39A43657">
      <w:pPr>
        <w:pStyle w:val="37"/>
        <w:bidi w:val="0"/>
        <w:rPr>
          <w:rFonts w:hint="eastAsia"/>
          <w:color w:val="auto"/>
          <w:lang w:val="en-US" w:eastAsia="zh-CN"/>
        </w:rPr>
      </w:pPr>
      <w:r>
        <w:rPr>
          <w:rFonts w:hint="eastAsia"/>
          <w:color w:val="auto"/>
          <w:lang w:val="en-US" w:eastAsia="zh-CN"/>
        </w:rPr>
        <w:t>附件3：芒市自然资源局关于芒市大河新桥电站至洞坎大桥段河道治理工程选址意见的复函；</w:t>
      </w:r>
    </w:p>
    <w:p w14:paraId="2B6F689E">
      <w:pPr>
        <w:pStyle w:val="37"/>
        <w:bidi w:val="0"/>
        <w:rPr>
          <w:rFonts w:hint="eastAsia"/>
          <w:color w:val="auto"/>
          <w:lang w:val="en-US" w:eastAsia="zh-CN"/>
        </w:rPr>
      </w:pPr>
      <w:r>
        <w:rPr>
          <w:rFonts w:hint="eastAsia"/>
          <w:color w:val="auto"/>
          <w:lang w:val="en-US" w:eastAsia="zh-CN"/>
        </w:rPr>
        <w:t>附件4：芒市林业和草原局关于芒市大河新桥电站至洞坎大桥段河道治理工程选址意见的复函；</w:t>
      </w:r>
    </w:p>
    <w:p w14:paraId="71E1E76A">
      <w:pPr>
        <w:pStyle w:val="37"/>
        <w:bidi w:val="0"/>
        <w:rPr>
          <w:rFonts w:hint="eastAsia"/>
          <w:color w:val="auto"/>
          <w:lang w:val="en-US" w:eastAsia="zh-CN"/>
        </w:rPr>
      </w:pPr>
      <w:r>
        <w:rPr>
          <w:rFonts w:hint="eastAsia"/>
          <w:color w:val="auto"/>
          <w:lang w:val="en-US" w:eastAsia="zh-CN"/>
        </w:rPr>
        <w:t>附件5：项目进度控制表；</w:t>
      </w:r>
    </w:p>
    <w:p w14:paraId="01D109B3">
      <w:pPr>
        <w:pStyle w:val="37"/>
        <w:bidi w:val="0"/>
        <w:rPr>
          <w:rFonts w:hint="eastAsia"/>
          <w:color w:val="auto"/>
          <w:lang w:val="en-US" w:eastAsia="zh-CN"/>
        </w:rPr>
      </w:pPr>
      <w:r>
        <w:rPr>
          <w:rFonts w:hint="eastAsia"/>
          <w:color w:val="auto"/>
          <w:lang w:val="en-US" w:eastAsia="zh-CN"/>
        </w:rPr>
        <w:t>附件6：项目内部审核表。</w:t>
      </w:r>
    </w:p>
    <w:p w14:paraId="4301AFF8">
      <w:pPr>
        <w:pStyle w:val="37"/>
        <w:bidi w:val="0"/>
        <w:rPr>
          <w:rFonts w:hint="default"/>
          <w:color w:val="auto"/>
          <w:lang w:val="en-US" w:eastAsia="zh-CN"/>
        </w:rPr>
      </w:pPr>
    </w:p>
    <w:p w14:paraId="0EE9F57C">
      <w:pPr>
        <w:pStyle w:val="37"/>
        <w:bidi w:val="0"/>
        <w:rPr>
          <w:rFonts w:hint="default"/>
          <w:color w:val="auto"/>
          <w:lang w:val="en-US" w:eastAsia="zh-CN"/>
        </w:rPr>
      </w:pPr>
    </w:p>
    <w:p w14:paraId="64474642">
      <w:pPr>
        <w:pStyle w:val="37"/>
        <w:bidi w:val="0"/>
        <w:rPr>
          <w:rFonts w:hint="default"/>
          <w:color w:val="auto"/>
          <w:lang w:val="en-US" w:eastAsia="zh-CN"/>
        </w:rPr>
      </w:pPr>
    </w:p>
    <w:p w14:paraId="0537B6B6">
      <w:pPr>
        <w:pStyle w:val="37"/>
        <w:bidi w:val="0"/>
        <w:rPr>
          <w:rFonts w:hint="default"/>
          <w:color w:val="auto"/>
          <w:lang w:val="en-US" w:eastAsia="zh-CN"/>
        </w:rPr>
      </w:pPr>
    </w:p>
    <w:p w14:paraId="0792B475">
      <w:pPr>
        <w:pStyle w:val="37"/>
        <w:bidi w:val="0"/>
        <w:rPr>
          <w:rFonts w:hint="default"/>
          <w:color w:val="auto"/>
          <w:lang w:val="en-US" w:eastAsia="zh-CN"/>
        </w:rPr>
      </w:pPr>
    </w:p>
    <w:p w14:paraId="1581E88E">
      <w:pPr>
        <w:pStyle w:val="37"/>
        <w:bidi w:val="0"/>
        <w:rPr>
          <w:rFonts w:hint="default"/>
          <w:color w:val="auto"/>
          <w:lang w:val="en-US" w:eastAsia="zh-CN"/>
        </w:rPr>
      </w:pPr>
    </w:p>
    <w:p w14:paraId="64E70AEB">
      <w:pPr>
        <w:pStyle w:val="37"/>
        <w:bidi w:val="0"/>
        <w:rPr>
          <w:rFonts w:hint="default"/>
          <w:color w:val="auto"/>
          <w:lang w:val="en-US" w:eastAsia="zh-CN"/>
        </w:rPr>
      </w:pPr>
    </w:p>
    <w:p w14:paraId="7FE14C82">
      <w:pPr>
        <w:pStyle w:val="37"/>
        <w:bidi w:val="0"/>
        <w:ind w:left="0" w:leftChars="0" w:firstLine="0" w:firstLineChars="0"/>
        <w:outlineLvl w:val="0"/>
        <w:rPr>
          <w:rFonts w:hint="eastAsia"/>
          <w:b/>
          <w:bCs/>
          <w:color w:val="auto"/>
          <w:lang w:val="en-US" w:eastAsia="zh-CN"/>
        </w:rPr>
      </w:pPr>
      <w:bookmarkStart w:id="2" w:name="_Toc22811"/>
      <w:bookmarkStart w:id="3" w:name="_Toc30723"/>
      <w:r>
        <w:rPr>
          <w:rFonts w:hint="eastAsia"/>
          <w:b/>
          <w:bCs/>
          <w:color w:val="auto"/>
          <w:lang w:val="en-US" w:eastAsia="zh-CN"/>
        </w:rPr>
        <w:t>附图</w:t>
      </w:r>
      <w:bookmarkEnd w:id="2"/>
      <w:bookmarkEnd w:id="3"/>
    </w:p>
    <w:p w14:paraId="354BF51E">
      <w:pPr>
        <w:pStyle w:val="37"/>
        <w:bidi w:val="0"/>
        <w:rPr>
          <w:rFonts w:hint="eastAsia"/>
          <w:color w:val="auto"/>
          <w:lang w:val="en-US" w:eastAsia="zh-CN"/>
        </w:rPr>
      </w:pPr>
      <w:r>
        <w:rPr>
          <w:rFonts w:hint="eastAsia"/>
          <w:color w:val="auto"/>
          <w:lang w:val="en-US" w:eastAsia="zh-CN"/>
        </w:rPr>
        <w:t>附图1 项目地理位置图；</w:t>
      </w:r>
    </w:p>
    <w:p w14:paraId="63639056">
      <w:pPr>
        <w:pStyle w:val="37"/>
        <w:bidi w:val="0"/>
        <w:rPr>
          <w:rFonts w:hint="eastAsia"/>
          <w:color w:val="auto"/>
          <w:lang w:val="en-US" w:eastAsia="zh-CN"/>
        </w:rPr>
      </w:pPr>
      <w:r>
        <w:rPr>
          <w:rFonts w:hint="eastAsia"/>
          <w:color w:val="auto"/>
          <w:lang w:val="en-US" w:eastAsia="zh-CN"/>
        </w:rPr>
        <w:t>附图2 项目水系图；</w:t>
      </w:r>
    </w:p>
    <w:p w14:paraId="493B2F43">
      <w:pPr>
        <w:pStyle w:val="37"/>
        <w:bidi w:val="0"/>
        <w:rPr>
          <w:rFonts w:hint="default"/>
          <w:color w:val="auto"/>
          <w:lang w:val="en-US" w:eastAsia="zh-CN"/>
        </w:rPr>
      </w:pPr>
      <w:r>
        <w:rPr>
          <w:rFonts w:hint="eastAsia"/>
          <w:color w:val="auto"/>
          <w:lang w:val="en-US" w:eastAsia="zh-CN"/>
        </w:rPr>
        <w:t>附图3 项目周边关系图；</w:t>
      </w:r>
    </w:p>
    <w:p w14:paraId="0275517B">
      <w:pPr>
        <w:pStyle w:val="37"/>
        <w:bidi w:val="0"/>
        <w:rPr>
          <w:rFonts w:hint="eastAsia"/>
          <w:color w:val="auto"/>
          <w:lang w:val="en-US" w:eastAsia="zh-CN"/>
        </w:rPr>
      </w:pPr>
      <w:r>
        <w:rPr>
          <w:rFonts w:hint="eastAsia"/>
          <w:color w:val="auto"/>
          <w:lang w:val="en-US" w:eastAsia="zh-CN"/>
        </w:rPr>
        <w:t>附图4 工程施工总体平面布置图；</w:t>
      </w:r>
    </w:p>
    <w:p w14:paraId="52F21D19">
      <w:pPr>
        <w:pStyle w:val="37"/>
        <w:bidi w:val="0"/>
        <w:rPr>
          <w:rFonts w:hint="eastAsia"/>
          <w:color w:val="auto"/>
          <w:lang w:val="en-US" w:eastAsia="zh-CN"/>
        </w:rPr>
      </w:pPr>
      <w:r>
        <w:rPr>
          <w:rFonts w:hint="eastAsia"/>
          <w:color w:val="auto"/>
          <w:lang w:val="en-US" w:eastAsia="zh-CN"/>
        </w:rPr>
        <w:t>附图5 项目与云南省主体功能区规划位置关系图；</w:t>
      </w:r>
    </w:p>
    <w:p w14:paraId="6170558F">
      <w:pPr>
        <w:pStyle w:val="37"/>
        <w:bidi w:val="0"/>
        <w:rPr>
          <w:rFonts w:hint="eastAsia"/>
          <w:color w:val="auto"/>
          <w:lang w:val="en-US" w:eastAsia="zh-CN"/>
        </w:rPr>
      </w:pPr>
      <w:r>
        <w:rPr>
          <w:rFonts w:hint="eastAsia"/>
          <w:color w:val="auto"/>
          <w:lang w:val="en-US" w:eastAsia="zh-CN"/>
        </w:rPr>
        <w:t>附图6 项目与云南省生态功能区划位置关系图；</w:t>
      </w:r>
    </w:p>
    <w:p w14:paraId="23095F00">
      <w:pPr>
        <w:pStyle w:val="37"/>
        <w:bidi w:val="0"/>
        <w:rPr>
          <w:rFonts w:hint="default"/>
          <w:color w:val="auto"/>
          <w:lang w:val="en-US" w:eastAsia="zh-CN"/>
        </w:rPr>
      </w:pPr>
      <w:r>
        <w:rPr>
          <w:rFonts w:hint="eastAsia"/>
          <w:color w:val="auto"/>
          <w:lang w:val="en-US" w:eastAsia="zh-CN"/>
        </w:rPr>
        <w:t>附图7 项目区植被类型图。</w:t>
      </w:r>
    </w:p>
    <w:p w14:paraId="040F6E2A">
      <w:pPr>
        <w:pStyle w:val="37"/>
        <w:bidi w:val="0"/>
        <w:rPr>
          <w:rFonts w:hint="default"/>
          <w:color w:val="auto"/>
          <w:lang w:val="en-US" w:eastAsia="zh-CN"/>
        </w:rPr>
        <w:sectPr>
          <w:footerReference r:id="rId5" w:type="default"/>
          <w:pgSz w:w="11906" w:h="16838"/>
          <w:pgMar w:top="1134" w:right="1701" w:bottom="1134" w:left="170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2BF84E8">
      <w:pPr>
        <w:pStyle w:val="4"/>
        <w:keepNext w:val="0"/>
        <w:keepLines w:val="0"/>
        <w:pageBreakBefore/>
        <w:widowControl w:val="0"/>
        <w:kinsoku/>
        <w:wordWrap/>
        <w:overflowPunct/>
        <w:topLinePunct w:val="0"/>
        <w:autoSpaceDE/>
        <w:autoSpaceDN/>
        <w:bidi w:val="0"/>
        <w:adjustRightInd/>
        <w:snapToGrid w:val="0"/>
        <w:ind w:firstLine="0" w:firstLineChars="0"/>
        <w:textAlignment w:val="auto"/>
        <w:outlineLvl w:val="0"/>
        <w:rPr>
          <w:rFonts w:hint="default"/>
          <w:color w:val="auto"/>
        </w:rPr>
      </w:pPr>
      <w:bookmarkStart w:id="4" w:name="_Toc15301"/>
      <w:bookmarkStart w:id="5" w:name="_Toc21266"/>
      <w:r>
        <w:rPr>
          <w:rFonts w:hint="default"/>
          <w:color w:val="auto"/>
        </w:rPr>
        <w:t>前言</w:t>
      </w:r>
      <w:bookmarkEnd w:id="4"/>
      <w:bookmarkEnd w:id="5"/>
    </w:p>
    <w:p w14:paraId="3DBCC5FB">
      <w:pPr>
        <w:pStyle w:val="37"/>
        <w:bidi w:val="0"/>
        <w:rPr>
          <w:rFonts w:hint="eastAsia"/>
          <w:color w:val="auto"/>
          <w:lang w:val="en-US" w:eastAsia="zh-CN"/>
        </w:rPr>
      </w:pPr>
      <w:r>
        <w:rPr>
          <w:rFonts w:hint="eastAsia"/>
          <w:color w:val="auto"/>
          <w:lang w:val="en-US" w:eastAsia="zh-CN"/>
        </w:rPr>
        <w:t>芒市大河新桥电站至洞坎大桥段河道治理工程已列入《“十四五”解决水利防洪排涝薄弱环节实施方案》云南省200—3000平方公里中小河流治理项目清单中。2016年7月德宏州水利局编制完成《德宏州水利发展“十三五”规划》 和2016年8月德宏州水利电力勘察设计院编制完成《加快水利薄弱环节建设德宏州水利实施方案（2016-2019 年）》中，芒市大河新桥电站至洞坎大桥段河道治理工程已列入规划范围内。2023年5月德宏州水利水电勘察设计院和云南省水文水资源局德宏分局编制完成《德宏州芒市大河德宏段治理方案》，其规划主要结论为：芒市大河属跨州（市）河流全长102km，有防洪任务段分为保山市龙陵县段、德宏州芒市段，其中德宏州芒市段防洪任务段长58km；分为芒市大河芒市段、芒市大河遮放段。需治理河长36.92km，其中芒市大河芒市段需治理段长28.83km，芒市大河遮放段需治理段长8.09km。芒市大河新桥电站至洞坎大桥段河道治理工程位于芒市大河芒市段上游，已列入规划范围内。主要以保护农田为主，治理段河道长3.83km，治理河段设计防洪标准为10年一遇，保护人口0.6万人，保护耕地0.4万亩。本工程的实施可提高该治理河段防洪能力，结合现状已治理段、远期整合芒市大河其他河段防洪项目的实施，逐步形成芒市大河流域完备的防洪体系，减少防洪应急抢险的负担，确保沿河村寨居民的生命财产免受洪水危害，全面落实“一条河一条河治理要求”，做到“治理一条、见效一条”。</w:t>
      </w:r>
    </w:p>
    <w:p w14:paraId="2A1C7BE5">
      <w:pPr>
        <w:pStyle w:val="37"/>
        <w:bidi w:val="0"/>
        <w:ind w:left="0" w:leftChars="0" w:firstLine="480" w:firstLineChars="200"/>
        <w:rPr>
          <w:rFonts w:hint="default"/>
          <w:color w:val="auto"/>
          <w:lang w:val="en-US" w:eastAsia="zh-CN"/>
        </w:rPr>
      </w:pPr>
      <w:r>
        <w:rPr>
          <w:rFonts w:hint="eastAsia"/>
          <w:color w:val="auto"/>
          <w:lang w:eastAsia="zh-CN"/>
        </w:rPr>
        <w:t>项目建设单位委托云南辰禹建设工程投资集团有限责任公司于</w:t>
      </w:r>
      <w:r>
        <w:rPr>
          <w:rFonts w:hint="eastAsia"/>
          <w:color w:val="auto"/>
          <w:lang w:val="en-US" w:eastAsia="zh-CN"/>
        </w:rPr>
        <w:t>2020 年7月编制完成《芒市大河新桥电站至洞坎大桥段河道治理工程初步设计报告（审定稿）》。2023年7月根据省水利厅对中小河流“合规性审查”的有关要求，将初设方案进行概算价格信息更新复核，修改完成《芒市大河新桥电站至洞坎大桥段河道治理工程初步设计报告（审定稿）》上报省水利厅进行“合规性审查”。德宏州水利局出具了《德宏州水利局关于准予芒市大河新桥电站至洞坎大桥段河道治理工程初步设计报告的行政许可决定书》，同意项目实施。</w:t>
      </w:r>
    </w:p>
    <w:p w14:paraId="52738B5E">
      <w:pPr>
        <w:spacing w:line="360" w:lineRule="auto"/>
        <w:ind w:firstLine="475" w:firstLineChars="198"/>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根据中华人民共和国国务院第682号令《建设项目环境保护管理条例》《中华人民共和国环境影响评价法》等法律法规规定，</w:t>
      </w:r>
      <w:r>
        <w:rPr>
          <w:rFonts w:hint="default" w:ascii="Times New Roman" w:hAnsi="Times New Roman" w:eastAsia="宋体" w:cs="Times New Roman"/>
          <w:color w:val="auto"/>
          <w:lang w:eastAsia="zh-CN"/>
        </w:rPr>
        <w:t>“</w:t>
      </w:r>
      <w:r>
        <w:rPr>
          <w:rFonts w:hint="eastAsia"/>
          <w:color w:val="auto"/>
          <w:lang w:val="en-US" w:eastAsia="zh-CN"/>
        </w:rPr>
        <w:t>芒市大河新桥电站至洞坎大桥段河道治理工程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须开展环境影响评价工作</w:t>
      </w:r>
      <w:r>
        <w:rPr>
          <w:rFonts w:hint="eastAsia" w:cs="Times New Roman"/>
          <w:color w:val="auto"/>
          <w:lang w:eastAsia="zh-CN"/>
        </w:rPr>
        <w:t>。</w:t>
      </w:r>
      <w:r>
        <w:rPr>
          <w:rFonts w:hint="default" w:ascii="Times New Roman" w:hAnsi="Times New Roman" w:eastAsia="宋体" w:cs="Times New Roman"/>
          <w:color w:val="auto"/>
          <w:lang w:eastAsia="zh-CN"/>
        </w:rPr>
        <w:t>项目涉及</w:t>
      </w:r>
      <w:r>
        <w:rPr>
          <w:rFonts w:hint="default" w:ascii="Times New Roman" w:hAnsi="Times New Roman" w:eastAsia="宋体" w:cs="Times New Roman"/>
          <w:color w:val="auto"/>
          <w:lang w:val="en-US" w:eastAsia="zh-CN"/>
        </w:rPr>
        <w:t>芒市大河左岸</w:t>
      </w:r>
      <w:r>
        <w:rPr>
          <w:rFonts w:hint="eastAsia" w:cs="Times New Roman"/>
          <w:color w:val="auto"/>
          <w:lang w:val="en-US" w:eastAsia="zh-CN"/>
        </w:rPr>
        <w:t>及右岸</w:t>
      </w:r>
      <w:r>
        <w:rPr>
          <w:rFonts w:hint="default" w:ascii="Times New Roman" w:hAnsi="Times New Roman" w:eastAsia="宋体" w:cs="Times New Roman"/>
          <w:color w:val="auto"/>
          <w:lang w:val="en-US" w:eastAsia="zh-CN"/>
        </w:rPr>
        <w:t>新建护岸</w:t>
      </w:r>
      <w:r>
        <w:rPr>
          <w:rFonts w:hint="eastAsia" w:cs="Times New Roman"/>
          <w:color w:val="auto"/>
          <w:lang w:val="en-US" w:eastAsia="zh-CN"/>
        </w:rPr>
        <w:t>，</w:t>
      </w:r>
      <w:r>
        <w:rPr>
          <w:rFonts w:hint="eastAsia"/>
          <w:color w:val="auto"/>
          <w:lang w:val="en-US" w:eastAsia="zh-CN"/>
        </w:rPr>
        <w:t>不属于新建大中型防洪除涝工程</w:t>
      </w:r>
      <w:r>
        <w:rPr>
          <w:rFonts w:hint="eastAsia" w:cs="Times New Roman"/>
          <w:color w:val="auto"/>
          <w:lang w:val="en-US" w:eastAsia="zh-CN"/>
        </w:rPr>
        <w:t>，</w:t>
      </w:r>
      <w:r>
        <w:rPr>
          <w:rFonts w:hint="default" w:ascii="Times New Roman" w:hAnsi="Times New Roman" w:eastAsia="宋体" w:cs="Times New Roman"/>
          <w:color w:val="auto"/>
          <w:kern w:val="0"/>
          <w:sz w:val="24"/>
          <w:lang w:val="en-US" w:eastAsia="zh-CN" w:bidi="ar"/>
        </w:rPr>
        <w:t>根据《建设项目环境影响评价分类管理名录（2021年版）》（生态环境部部令第16号，2021年01月01日实施）中项目类别“五十一、水利--127防洪除涝工程”，本工程属于防洪除涝工程中的“其他（小型沟渠的护坡除外；城镇排涝河流水闸、排涝泵站除外）”，应当编制环境影响报告表</w:t>
      </w:r>
      <w:r>
        <w:rPr>
          <w:rFonts w:hint="eastAsia" w:ascii="Times New Roman" w:hAnsi="Times New Roman" w:cs="Times New Roman"/>
          <w:color w:val="auto"/>
          <w:kern w:val="0"/>
          <w:sz w:val="24"/>
          <w:lang w:val="en-US" w:eastAsia="zh-CN" w:bidi="ar"/>
        </w:rPr>
        <w:t>。</w:t>
      </w:r>
    </w:p>
    <w:p w14:paraId="78D57913">
      <w:pPr>
        <w:keepNext w:val="0"/>
        <w:keepLines w:val="0"/>
        <w:widowControl/>
        <w:suppressLineNumbers w:val="0"/>
        <w:ind w:firstLine="480" w:firstLineChars="200"/>
        <w:jc w:val="both"/>
        <w:rPr>
          <w:rFonts w:hint="default"/>
          <w:color w:val="auto"/>
        </w:rPr>
      </w:pPr>
      <w:r>
        <w:rPr>
          <w:rFonts w:hint="default" w:ascii="Times New Roman" w:hAnsi="Times New Roman" w:eastAsia="宋体" w:cs="Times New Roman"/>
          <w:color w:val="auto"/>
          <w:lang w:val="en-US" w:eastAsia="zh-CN"/>
        </w:rPr>
        <w:t>为此，建设单位</w:t>
      </w:r>
      <w:r>
        <w:rPr>
          <w:rFonts w:hint="eastAsia" w:cs="Times New Roman"/>
          <w:color w:val="auto"/>
          <w:lang w:val="en-US" w:eastAsia="zh-CN"/>
        </w:rPr>
        <w:t>2024年4月</w:t>
      </w:r>
      <w:r>
        <w:rPr>
          <w:rFonts w:hint="default" w:ascii="Times New Roman" w:hAnsi="Times New Roman" w:eastAsia="宋体" w:cs="Times New Roman"/>
          <w:color w:val="auto"/>
          <w:lang w:val="en-US" w:eastAsia="zh-CN"/>
        </w:rPr>
        <w:t>特委托</w:t>
      </w:r>
      <w:r>
        <w:rPr>
          <w:rFonts w:hint="eastAsia"/>
          <w:color w:val="auto"/>
          <w:highlight w:val="none"/>
          <w:lang w:eastAsia="zh-CN"/>
        </w:rPr>
        <w:t>大理厚德环境科技咨询有限公司</w:t>
      </w:r>
      <w:r>
        <w:rPr>
          <w:rFonts w:hint="default"/>
          <w:color w:val="auto"/>
        </w:rPr>
        <w:t>（以下称</w:t>
      </w:r>
      <w:r>
        <w:rPr>
          <w:rFonts w:hint="eastAsia"/>
          <w:color w:val="auto"/>
          <w:lang w:eastAsia="zh-CN"/>
        </w:rPr>
        <w:t>“</w:t>
      </w:r>
      <w:r>
        <w:rPr>
          <w:rFonts w:hint="default"/>
          <w:color w:val="auto"/>
        </w:rPr>
        <w:t>我公司</w:t>
      </w:r>
      <w:r>
        <w:rPr>
          <w:rFonts w:hint="eastAsia"/>
          <w:color w:val="auto"/>
          <w:lang w:eastAsia="zh-CN"/>
        </w:rPr>
        <w:t>”</w:t>
      </w:r>
      <w:r>
        <w:rPr>
          <w:rFonts w:hint="default"/>
          <w:color w:val="auto"/>
        </w:rPr>
        <w:t>）</w:t>
      </w:r>
      <w:r>
        <w:rPr>
          <w:rFonts w:hint="default" w:ascii="Times New Roman" w:hAnsi="Times New Roman" w:eastAsia="宋体" w:cs="Times New Roman"/>
          <w:color w:val="auto"/>
          <w:lang w:val="en-US" w:eastAsia="zh-CN"/>
        </w:rPr>
        <w:t>开展项目环境影响评价工作。我</w:t>
      </w:r>
      <w:r>
        <w:rPr>
          <w:rFonts w:hint="eastAsia" w:ascii="Times New Roman" w:hAnsi="Times New Roman" w:eastAsia="宋体" w:cs="Times New Roman"/>
          <w:color w:val="auto"/>
          <w:lang w:val="en-US" w:eastAsia="zh-CN"/>
        </w:rPr>
        <w:t>公司</w:t>
      </w:r>
      <w:r>
        <w:rPr>
          <w:rFonts w:hint="default" w:ascii="Times New Roman" w:hAnsi="Times New Roman" w:eastAsia="宋体" w:cs="Times New Roman"/>
          <w:color w:val="auto"/>
          <w:lang w:val="en-US" w:eastAsia="zh-CN"/>
        </w:rPr>
        <w:t>接受委托后，及时成立环评项目组，对本项目情况及项目区环境质量进行了现状调查、实地踏勘和调研工作。在充分收集资料基础上，</w:t>
      </w:r>
      <w:r>
        <w:rPr>
          <w:rFonts w:hint="default" w:ascii="Times New Roman" w:hAnsi="Times New Roman" w:eastAsia="宋体" w:cs="Times New Roman"/>
          <w:color w:val="auto"/>
        </w:rPr>
        <w:t>按照国家和地方相关技术规范，</w:t>
      </w:r>
      <w:r>
        <w:rPr>
          <w:rFonts w:hint="default"/>
          <w:color w:val="auto"/>
        </w:rPr>
        <w:t>《</w:t>
      </w:r>
      <w:r>
        <w:rPr>
          <w:rFonts w:hint="eastAsia"/>
          <w:color w:val="auto"/>
          <w:lang w:val="en-US" w:eastAsia="zh-CN"/>
        </w:rPr>
        <w:t>芒市大河新桥电站至洞坎大桥段河道治理工</w:t>
      </w:r>
      <w:r>
        <w:rPr>
          <w:rFonts w:hint="eastAsia"/>
          <w:color w:val="auto"/>
          <w:lang w:eastAsia="zh-CN"/>
        </w:rPr>
        <w:t>程建设项目环境影响报告表</w:t>
      </w:r>
      <w:r>
        <w:rPr>
          <w:rFonts w:hint="default"/>
          <w:color w:val="auto"/>
        </w:rPr>
        <w:t>》，供建设单位上报生态环境主管部门审批。</w:t>
      </w:r>
    </w:p>
    <w:p w14:paraId="043C0255">
      <w:pPr>
        <w:pStyle w:val="4"/>
        <w:keepNext w:val="0"/>
        <w:keepLines w:val="0"/>
        <w:pageBreakBefore/>
        <w:widowControl w:val="0"/>
        <w:kinsoku/>
        <w:wordWrap/>
        <w:overflowPunct/>
        <w:topLinePunct w:val="0"/>
        <w:autoSpaceDE/>
        <w:autoSpaceDN/>
        <w:bidi w:val="0"/>
        <w:adjustRightInd/>
        <w:snapToGrid w:val="0"/>
        <w:ind w:firstLine="0" w:firstLineChars="0"/>
        <w:textAlignment w:val="auto"/>
        <w:rPr>
          <w:rFonts w:hint="default"/>
          <w:color w:val="auto"/>
        </w:rPr>
      </w:pPr>
      <w:bookmarkStart w:id="6" w:name="_Toc17648"/>
      <w:r>
        <w:rPr>
          <w:rFonts w:hint="default"/>
          <w:color w:val="auto"/>
        </w:rPr>
        <w:t>一、建设项目基本情况</w:t>
      </w:r>
      <w:bookmarkEnd w:id="6"/>
    </w:p>
    <w:tbl>
      <w:tblPr>
        <w:tblStyle w:val="23"/>
        <w:tblW w:w="940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75"/>
        <w:gridCol w:w="2962"/>
        <w:gridCol w:w="2070"/>
        <w:gridCol w:w="2800"/>
      </w:tblGrid>
      <w:tr w14:paraId="176CA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2B6A562C">
            <w:pPr>
              <w:pStyle w:val="35"/>
              <w:bidi w:val="0"/>
              <w:rPr>
                <w:rFonts w:hint="default"/>
                <w:color w:val="auto"/>
                <w:sz w:val="24"/>
                <w:szCs w:val="24"/>
              </w:rPr>
            </w:pPr>
            <w:r>
              <w:rPr>
                <w:rFonts w:hint="default"/>
                <w:color w:val="auto"/>
                <w:sz w:val="24"/>
                <w:szCs w:val="24"/>
              </w:rPr>
              <w:t>建设项目名称</w:t>
            </w:r>
          </w:p>
        </w:tc>
        <w:tc>
          <w:tcPr>
            <w:tcW w:w="7832" w:type="dxa"/>
            <w:gridSpan w:val="3"/>
            <w:vAlign w:val="center"/>
          </w:tcPr>
          <w:p w14:paraId="5174CEB1">
            <w:pPr>
              <w:adjustRightInd w:val="0"/>
              <w:snapToGrid w:val="0"/>
              <w:spacing w:line="240" w:lineRule="auto"/>
              <w:ind w:firstLine="0" w:firstLineChars="0"/>
              <w:jc w:val="center"/>
              <w:rPr>
                <w:rFonts w:hint="default"/>
                <w:color w:val="0000FF"/>
                <w:sz w:val="24"/>
                <w:szCs w:val="24"/>
                <w:lang w:eastAsia="zh-CN"/>
              </w:rPr>
            </w:pPr>
            <w:r>
              <w:rPr>
                <w:rFonts w:hint="eastAsia"/>
                <w:color w:val="auto"/>
                <w:lang w:val="en-US" w:eastAsia="zh-CN"/>
              </w:rPr>
              <w:t>芒市大河新桥电站至洞坎大桥段河道治理工程</w:t>
            </w:r>
          </w:p>
        </w:tc>
      </w:tr>
      <w:tr w14:paraId="2EFDB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0219990F">
            <w:pPr>
              <w:pStyle w:val="35"/>
              <w:bidi w:val="0"/>
              <w:rPr>
                <w:rFonts w:hint="default"/>
                <w:color w:val="auto"/>
                <w:sz w:val="24"/>
                <w:szCs w:val="24"/>
              </w:rPr>
            </w:pPr>
            <w:r>
              <w:rPr>
                <w:rFonts w:hint="default"/>
                <w:color w:val="auto"/>
                <w:sz w:val="24"/>
                <w:szCs w:val="24"/>
              </w:rPr>
              <w:t>项目代码</w:t>
            </w:r>
          </w:p>
        </w:tc>
        <w:tc>
          <w:tcPr>
            <w:tcW w:w="7832" w:type="dxa"/>
            <w:gridSpan w:val="3"/>
            <w:vAlign w:val="center"/>
          </w:tcPr>
          <w:p w14:paraId="28B3BE6B">
            <w:pPr>
              <w:pStyle w:val="20"/>
              <w:keepNext w:val="0"/>
              <w:keepLines w:val="0"/>
              <w:widowControl/>
              <w:suppressLineNumbers w:val="0"/>
              <w:spacing w:before="0" w:beforeAutospacing="0" w:after="0" w:afterAutospacing="0"/>
              <w:ind w:left="0" w:leftChars="0" w:right="0" w:rightChars="0" w:firstLine="0" w:firstLineChars="0"/>
              <w:jc w:val="center"/>
              <w:rPr>
                <w:rFonts w:hint="default"/>
                <w:color w:val="0000FF"/>
                <w:sz w:val="24"/>
                <w:szCs w:val="24"/>
                <w:lang w:val="en-US" w:eastAsia="zh-CN"/>
              </w:rPr>
            </w:pPr>
          </w:p>
        </w:tc>
      </w:tr>
      <w:tr w14:paraId="1BF8C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6B419D27">
            <w:pPr>
              <w:pStyle w:val="35"/>
              <w:bidi w:val="0"/>
              <w:rPr>
                <w:rFonts w:hint="default"/>
                <w:color w:val="auto"/>
                <w:sz w:val="24"/>
                <w:szCs w:val="24"/>
              </w:rPr>
            </w:pPr>
            <w:r>
              <w:rPr>
                <w:rFonts w:hint="default"/>
                <w:color w:val="auto"/>
                <w:sz w:val="24"/>
                <w:szCs w:val="24"/>
              </w:rPr>
              <w:t>建设单位联系人</w:t>
            </w:r>
          </w:p>
        </w:tc>
        <w:tc>
          <w:tcPr>
            <w:tcW w:w="2962" w:type="dxa"/>
            <w:vAlign w:val="center"/>
          </w:tcPr>
          <w:p w14:paraId="0F30AF53">
            <w:pPr>
              <w:adjustRightInd w:val="0"/>
              <w:snapToGrid w:val="0"/>
              <w:spacing w:line="240" w:lineRule="auto"/>
              <w:ind w:firstLine="0" w:firstLineChars="0"/>
              <w:jc w:val="center"/>
              <w:rPr>
                <w:rFonts w:hint="default"/>
                <w:color w:val="auto"/>
                <w:sz w:val="24"/>
                <w:szCs w:val="24"/>
                <w:lang w:val="en-US" w:eastAsia="zh-CN"/>
              </w:rPr>
            </w:pPr>
            <w:r>
              <w:rPr>
                <w:rFonts w:hint="default"/>
                <w:color w:val="auto"/>
                <w:sz w:val="24"/>
                <w:szCs w:val="24"/>
                <w:lang w:val="en-US" w:eastAsia="zh-CN"/>
              </w:rPr>
              <w:t>普志海</w:t>
            </w:r>
          </w:p>
        </w:tc>
        <w:tc>
          <w:tcPr>
            <w:tcW w:w="2070" w:type="dxa"/>
            <w:vAlign w:val="center"/>
          </w:tcPr>
          <w:p w14:paraId="0A7A5B68">
            <w:pPr>
              <w:adjustRightInd w:val="0"/>
              <w:snapToGrid w:val="0"/>
              <w:spacing w:line="240" w:lineRule="auto"/>
              <w:ind w:firstLine="0" w:firstLineChars="0"/>
              <w:jc w:val="center"/>
              <w:rPr>
                <w:rFonts w:hint="default"/>
                <w:color w:val="auto"/>
                <w:sz w:val="24"/>
                <w:szCs w:val="24"/>
              </w:rPr>
            </w:pPr>
            <w:r>
              <w:rPr>
                <w:rFonts w:hint="default" w:ascii="Times New Roman" w:hAnsi="Times New Roman" w:cs="Times New Roman"/>
                <w:color w:val="auto"/>
                <w:highlight w:val="none"/>
              </w:rPr>
              <w:t>联系方式</w:t>
            </w:r>
          </w:p>
        </w:tc>
        <w:tc>
          <w:tcPr>
            <w:tcW w:w="2800" w:type="dxa"/>
            <w:vAlign w:val="center"/>
          </w:tcPr>
          <w:p w14:paraId="2BE93407">
            <w:pPr>
              <w:adjustRightInd w:val="0"/>
              <w:snapToGrid w:val="0"/>
              <w:spacing w:line="240" w:lineRule="auto"/>
              <w:ind w:firstLine="0" w:firstLineChars="0"/>
              <w:jc w:val="center"/>
              <w:rPr>
                <w:rFonts w:hint="default"/>
                <w:color w:val="0000FF"/>
                <w:sz w:val="24"/>
                <w:szCs w:val="24"/>
                <w:lang w:val="en-US"/>
              </w:rPr>
            </w:pPr>
            <w:r>
              <w:rPr>
                <w:rFonts w:hint="default"/>
                <w:color w:val="auto"/>
                <w:sz w:val="24"/>
                <w:szCs w:val="24"/>
                <w:lang w:val="en-US" w:eastAsia="zh-CN"/>
              </w:rPr>
              <w:t>150</w:t>
            </w:r>
            <w:r>
              <w:rPr>
                <w:rFonts w:hint="eastAsia"/>
                <w:color w:val="auto"/>
                <w:sz w:val="24"/>
                <w:szCs w:val="24"/>
                <w:lang w:val="en-US" w:eastAsia="zh-CN"/>
              </w:rPr>
              <w:t>**********</w:t>
            </w:r>
          </w:p>
        </w:tc>
      </w:tr>
      <w:tr w14:paraId="1836C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391A72CB">
            <w:pPr>
              <w:pStyle w:val="35"/>
              <w:bidi w:val="0"/>
              <w:rPr>
                <w:rFonts w:hint="default"/>
                <w:color w:val="auto"/>
                <w:sz w:val="24"/>
                <w:szCs w:val="24"/>
              </w:rPr>
            </w:pPr>
            <w:r>
              <w:rPr>
                <w:rFonts w:hint="default"/>
                <w:color w:val="auto"/>
                <w:sz w:val="24"/>
                <w:szCs w:val="24"/>
              </w:rPr>
              <w:t>建设地点</w:t>
            </w:r>
          </w:p>
        </w:tc>
        <w:tc>
          <w:tcPr>
            <w:tcW w:w="7832" w:type="dxa"/>
            <w:gridSpan w:val="3"/>
            <w:vAlign w:val="center"/>
          </w:tcPr>
          <w:p w14:paraId="1CD13BAD">
            <w:pPr>
              <w:pStyle w:val="35"/>
              <w:bidi w:val="0"/>
              <w:rPr>
                <w:rFonts w:hint="default"/>
                <w:color w:val="0000FF"/>
                <w:sz w:val="24"/>
                <w:szCs w:val="24"/>
              </w:rPr>
            </w:pPr>
            <w:r>
              <w:rPr>
                <w:rFonts w:hint="default"/>
                <w:color w:val="auto"/>
                <w:sz w:val="24"/>
                <w:szCs w:val="24"/>
                <w:u w:val="none"/>
              </w:rPr>
              <w:t>云南省</w:t>
            </w:r>
            <w:r>
              <w:rPr>
                <w:rFonts w:hint="eastAsia"/>
                <w:color w:val="auto"/>
                <w:sz w:val="24"/>
                <w:szCs w:val="24"/>
                <w:u w:val="none"/>
                <w:lang w:eastAsia="zh-CN"/>
              </w:rPr>
              <w:t>德宏傣族景颇族自治州</w:t>
            </w:r>
            <w:r>
              <w:rPr>
                <w:rFonts w:hint="eastAsia" w:cs="Times New Roman"/>
                <w:color w:val="auto"/>
                <w:sz w:val="24"/>
                <w:szCs w:val="24"/>
                <w:u w:val="none"/>
                <w:lang w:eastAsia="zh-CN"/>
              </w:rPr>
              <w:t>芒市</w:t>
            </w:r>
          </w:p>
        </w:tc>
      </w:tr>
      <w:tr w14:paraId="579A98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4BC1F2AB">
            <w:pPr>
              <w:pStyle w:val="35"/>
              <w:bidi w:val="0"/>
              <w:rPr>
                <w:rFonts w:hint="default"/>
                <w:color w:val="auto"/>
                <w:sz w:val="24"/>
                <w:szCs w:val="24"/>
              </w:rPr>
            </w:pPr>
            <w:r>
              <w:rPr>
                <w:rFonts w:hint="default"/>
                <w:color w:val="auto"/>
                <w:sz w:val="24"/>
                <w:szCs w:val="24"/>
              </w:rPr>
              <w:t>地理坐标</w:t>
            </w:r>
          </w:p>
        </w:tc>
        <w:tc>
          <w:tcPr>
            <w:tcW w:w="7832" w:type="dxa"/>
            <w:gridSpan w:val="3"/>
            <w:vAlign w:val="center"/>
          </w:tcPr>
          <w:p w14:paraId="52D74C10">
            <w:pPr>
              <w:adjustRightInd w:val="0"/>
              <w:snapToGrid w:val="0"/>
              <w:ind w:left="0" w:leftChars="0" w:firstLine="0" w:firstLineChars="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起点（</w:t>
            </w:r>
            <w:r>
              <w:rPr>
                <w:rFonts w:hint="eastAsia" w:ascii="Times New Roman" w:hAnsi="Times New Roman" w:cs="Times New Roman"/>
                <w:color w:val="auto"/>
                <w:sz w:val="24"/>
                <w:u w:val="single"/>
                <w:lang w:val="en-US" w:eastAsia="zh-CN"/>
              </w:rPr>
              <w:t>98</w:t>
            </w:r>
            <w:r>
              <w:rPr>
                <w:rFonts w:hint="default" w:ascii="Times New Roman" w:hAnsi="Times New Roman" w:eastAsia="宋体" w:cs="Times New Roman"/>
                <w:color w:val="auto"/>
                <w:sz w:val="24"/>
              </w:rPr>
              <w:t>度</w:t>
            </w:r>
            <w:r>
              <w:rPr>
                <w:rFonts w:hint="eastAsia" w:ascii="Times New Roman" w:hAnsi="Times New Roman" w:cs="Times New Roman"/>
                <w:color w:val="auto"/>
                <w:sz w:val="24"/>
                <w:u w:val="single"/>
                <w:lang w:val="en-US" w:eastAsia="zh-CN"/>
              </w:rPr>
              <w:t>36</w:t>
            </w:r>
            <w:r>
              <w:rPr>
                <w:rFonts w:hint="default" w:ascii="Times New Roman" w:hAnsi="Times New Roman" w:eastAsia="宋体" w:cs="Times New Roman"/>
                <w:color w:val="auto"/>
                <w:sz w:val="24"/>
              </w:rPr>
              <w:t>分</w:t>
            </w:r>
            <w:r>
              <w:rPr>
                <w:rFonts w:hint="eastAsia" w:ascii="Times New Roman" w:hAnsi="Times New Roman" w:cs="Times New Roman"/>
                <w:color w:val="auto"/>
                <w:sz w:val="24"/>
                <w:u w:val="single"/>
                <w:lang w:val="en-US" w:eastAsia="zh-CN"/>
              </w:rPr>
              <w:t>44.152</w:t>
            </w:r>
            <w:r>
              <w:rPr>
                <w:rFonts w:hint="default" w:ascii="Times New Roman" w:hAnsi="Times New Roman" w:eastAsia="宋体" w:cs="Times New Roman"/>
                <w:color w:val="auto"/>
                <w:sz w:val="24"/>
              </w:rPr>
              <w:t>秒，</w:t>
            </w:r>
            <w:r>
              <w:rPr>
                <w:rFonts w:hint="default" w:ascii="Times New Roman" w:hAnsi="Times New Roman" w:eastAsia="宋体" w:cs="Times New Roman"/>
                <w:color w:val="auto"/>
                <w:sz w:val="24"/>
                <w:u w:val="single"/>
              </w:rPr>
              <w:t>2</w:t>
            </w:r>
            <w:r>
              <w:rPr>
                <w:rFonts w:hint="eastAsia" w:ascii="Times New Roman" w:hAnsi="Times New Roman" w:cs="Times New Roman"/>
                <w:color w:val="auto"/>
                <w:sz w:val="24"/>
                <w:u w:val="single"/>
                <w:lang w:val="en-US" w:eastAsia="zh-CN"/>
              </w:rPr>
              <w:t>4</w:t>
            </w:r>
            <w:r>
              <w:rPr>
                <w:rFonts w:hint="default" w:ascii="Times New Roman" w:hAnsi="Times New Roman" w:eastAsia="宋体" w:cs="Times New Roman"/>
                <w:color w:val="auto"/>
                <w:sz w:val="24"/>
              </w:rPr>
              <w:t>度</w:t>
            </w:r>
            <w:r>
              <w:rPr>
                <w:rFonts w:hint="eastAsia" w:ascii="Times New Roman" w:hAnsi="Times New Roman" w:cs="Times New Roman"/>
                <w:color w:val="auto"/>
                <w:sz w:val="24"/>
                <w:u w:val="single"/>
                <w:lang w:val="en-US" w:eastAsia="zh-CN"/>
              </w:rPr>
              <w:t>30</w:t>
            </w:r>
            <w:r>
              <w:rPr>
                <w:rFonts w:hint="default" w:ascii="Times New Roman" w:hAnsi="Times New Roman" w:eastAsia="宋体" w:cs="Times New Roman"/>
                <w:color w:val="auto"/>
                <w:sz w:val="24"/>
              </w:rPr>
              <w:t>分</w:t>
            </w:r>
            <w:r>
              <w:rPr>
                <w:rFonts w:hint="eastAsia" w:ascii="Times New Roman" w:hAnsi="Times New Roman" w:cs="Times New Roman"/>
                <w:color w:val="auto"/>
                <w:sz w:val="24"/>
                <w:u w:val="single"/>
                <w:lang w:val="en-US" w:eastAsia="zh-CN"/>
              </w:rPr>
              <w:t>32.503</w:t>
            </w:r>
            <w:r>
              <w:rPr>
                <w:rFonts w:hint="default" w:ascii="Times New Roman" w:hAnsi="Times New Roman" w:eastAsia="宋体" w:cs="Times New Roman"/>
                <w:color w:val="auto"/>
                <w:sz w:val="24"/>
              </w:rPr>
              <w:t>秒）</w:t>
            </w:r>
          </w:p>
          <w:p w14:paraId="5AEAD7FB">
            <w:pPr>
              <w:adjustRightInd w:val="0"/>
              <w:snapToGrid w:val="0"/>
              <w:spacing w:line="240" w:lineRule="auto"/>
              <w:ind w:firstLine="0" w:firstLineChars="0"/>
              <w:jc w:val="both"/>
              <w:rPr>
                <w:rFonts w:hint="eastAsia" w:ascii="Times New Roman" w:hAnsi="Times New Roman" w:cs="Times New Roman"/>
                <w:color w:val="0000FF"/>
                <w:kern w:val="0"/>
                <w:szCs w:val="24"/>
                <w:highlight w:val="none"/>
                <w:lang w:eastAsia="zh-CN"/>
              </w:rPr>
            </w:pPr>
            <w:r>
              <w:rPr>
                <w:rFonts w:hint="default" w:ascii="Times New Roman" w:hAnsi="Times New Roman" w:eastAsia="宋体" w:cs="Times New Roman"/>
                <w:color w:val="auto"/>
                <w:sz w:val="24"/>
              </w:rPr>
              <w:t>终点（</w:t>
            </w:r>
            <w:r>
              <w:rPr>
                <w:rFonts w:hint="eastAsia" w:ascii="Times New Roman" w:hAnsi="Times New Roman" w:cs="Times New Roman"/>
                <w:color w:val="auto"/>
                <w:sz w:val="24"/>
                <w:u w:val="single"/>
                <w:lang w:val="en-US" w:eastAsia="zh-CN"/>
              </w:rPr>
              <w:t>98</w:t>
            </w:r>
            <w:r>
              <w:rPr>
                <w:rFonts w:hint="default" w:ascii="Times New Roman" w:hAnsi="Times New Roman" w:eastAsia="宋体" w:cs="Times New Roman"/>
                <w:color w:val="auto"/>
                <w:sz w:val="24"/>
              </w:rPr>
              <w:t>度</w:t>
            </w:r>
            <w:r>
              <w:rPr>
                <w:rFonts w:hint="eastAsia" w:ascii="Times New Roman" w:hAnsi="Times New Roman" w:cs="Times New Roman"/>
                <w:color w:val="auto"/>
                <w:sz w:val="24"/>
                <w:u w:val="single"/>
                <w:lang w:val="en-US" w:eastAsia="zh-CN"/>
              </w:rPr>
              <w:t>36</w:t>
            </w:r>
            <w:r>
              <w:rPr>
                <w:rFonts w:hint="default" w:ascii="Times New Roman" w:hAnsi="Times New Roman" w:eastAsia="宋体" w:cs="Times New Roman"/>
                <w:color w:val="auto"/>
                <w:sz w:val="24"/>
              </w:rPr>
              <w:t>分</w:t>
            </w:r>
            <w:r>
              <w:rPr>
                <w:rFonts w:hint="eastAsia" w:ascii="Times New Roman" w:hAnsi="Times New Roman" w:cs="Times New Roman"/>
                <w:color w:val="auto"/>
                <w:sz w:val="24"/>
                <w:u w:val="single"/>
                <w:lang w:val="en-US" w:eastAsia="zh-CN"/>
              </w:rPr>
              <w:t>21.094</w:t>
            </w:r>
            <w:r>
              <w:rPr>
                <w:rFonts w:hint="default" w:ascii="Times New Roman" w:hAnsi="Times New Roman" w:eastAsia="宋体" w:cs="Times New Roman"/>
                <w:color w:val="auto"/>
                <w:sz w:val="24"/>
              </w:rPr>
              <w:t>秒，</w:t>
            </w:r>
            <w:r>
              <w:rPr>
                <w:rFonts w:hint="default" w:ascii="Times New Roman" w:hAnsi="Times New Roman" w:eastAsia="宋体" w:cs="Times New Roman"/>
                <w:color w:val="auto"/>
                <w:sz w:val="24"/>
                <w:u w:val="single"/>
                <w:lang w:val="en-US" w:eastAsia="zh-CN"/>
              </w:rPr>
              <w:t>2</w:t>
            </w:r>
            <w:r>
              <w:rPr>
                <w:rFonts w:hint="eastAsia" w:ascii="Times New Roman" w:hAnsi="Times New Roman" w:cs="Times New Roman"/>
                <w:color w:val="auto"/>
                <w:sz w:val="24"/>
                <w:u w:val="single"/>
                <w:lang w:val="en-US" w:eastAsia="zh-CN"/>
              </w:rPr>
              <w:t>4</w:t>
            </w:r>
            <w:r>
              <w:rPr>
                <w:rFonts w:hint="default" w:ascii="Times New Roman" w:hAnsi="Times New Roman" w:eastAsia="宋体" w:cs="Times New Roman"/>
                <w:color w:val="auto"/>
                <w:sz w:val="24"/>
              </w:rPr>
              <w:t>度</w:t>
            </w:r>
            <w:r>
              <w:rPr>
                <w:rFonts w:hint="default" w:ascii="Times New Roman" w:hAnsi="Times New Roman" w:eastAsia="宋体" w:cs="Times New Roman"/>
                <w:color w:val="auto"/>
                <w:sz w:val="24"/>
                <w:u w:val="single"/>
                <w:lang w:val="en-US" w:eastAsia="zh-CN"/>
              </w:rPr>
              <w:t>2</w:t>
            </w:r>
            <w:r>
              <w:rPr>
                <w:rFonts w:hint="eastAsia" w:ascii="Times New Roman" w:hAnsi="Times New Roman" w:cs="Times New Roman"/>
                <w:color w:val="auto"/>
                <w:sz w:val="24"/>
                <w:u w:val="single"/>
                <w:lang w:val="en-US" w:eastAsia="zh-CN"/>
              </w:rPr>
              <w:t>9</w:t>
            </w:r>
            <w:r>
              <w:rPr>
                <w:rFonts w:hint="default" w:ascii="Times New Roman" w:hAnsi="Times New Roman" w:eastAsia="宋体" w:cs="Times New Roman"/>
                <w:color w:val="auto"/>
                <w:sz w:val="24"/>
              </w:rPr>
              <w:t>分</w:t>
            </w:r>
            <w:r>
              <w:rPr>
                <w:rFonts w:hint="default" w:ascii="Times New Roman" w:hAnsi="Times New Roman" w:eastAsia="宋体" w:cs="Times New Roman"/>
                <w:color w:val="auto"/>
                <w:sz w:val="24"/>
                <w:u w:val="single"/>
              </w:rPr>
              <w:t>2</w:t>
            </w:r>
            <w:r>
              <w:rPr>
                <w:rFonts w:hint="eastAsia" w:ascii="Times New Roman" w:hAnsi="Times New Roman" w:cs="Times New Roman"/>
                <w:color w:val="auto"/>
                <w:sz w:val="24"/>
                <w:u w:val="single"/>
                <w:lang w:val="en-US" w:eastAsia="zh-CN"/>
              </w:rPr>
              <w:t>8.368</w:t>
            </w:r>
            <w:r>
              <w:rPr>
                <w:rFonts w:hint="default" w:ascii="Times New Roman" w:hAnsi="Times New Roman" w:eastAsia="宋体" w:cs="Times New Roman"/>
                <w:color w:val="auto"/>
                <w:sz w:val="24"/>
              </w:rPr>
              <w:t>秒）</w:t>
            </w:r>
          </w:p>
        </w:tc>
      </w:tr>
      <w:tr w14:paraId="2420E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1EB6C876">
            <w:pPr>
              <w:pStyle w:val="35"/>
              <w:bidi w:val="0"/>
              <w:rPr>
                <w:rFonts w:hint="default"/>
                <w:color w:val="auto"/>
                <w:sz w:val="24"/>
                <w:szCs w:val="24"/>
              </w:rPr>
            </w:pPr>
            <w:r>
              <w:rPr>
                <w:rFonts w:hint="default"/>
                <w:color w:val="auto"/>
                <w:sz w:val="24"/>
                <w:szCs w:val="24"/>
              </w:rPr>
              <w:t>建设项目</w:t>
            </w:r>
          </w:p>
          <w:p w14:paraId="453D93AD">
            <w:pPr>
              <w:pStyle w:val="35"/>
              <w:bidi w:val="0"/>
              <w:rPr>
                <w:rFonts w:hint="default"/>
                <w:color w:val="auto"/>
                <w:sz w:val="24"/>
                <w:szCs w:val="24"/>
              </w:rPr>
            </w:pPr>
            <w:r>
              <w:rPr>
                <w:rFonts w:hint="default"/>
                <w:color w:val="auto"/>
                <w:sz w:val="24"/>
                <w:szCs w:val="24"/>
              </w:rPr>
              <w:t>行业类别</w:t>
            </w:r>
          </w:p>
        </w:tc>
        <w:tc>
          <w:tcPr>
            <w:tcW w:w="2962" w:type="dxa"/>
            <w:vAlign w:val="center"/>
          </w:tcPr>
          <w:p w14:paraId="1CF6B13D">
            <w:pPr>
              <w:adjustRightInd w:val="0"/>
              <w:snapToGrid w:val="0"/>
              <w:spacing w:line="240" w:lineRule="auto"/>
              <w:ind w:firstLine="0" w:firstLineChars="0"/>
              <w:jc w:val="center"/>
              <w:rPr>
                <w:rFonts w:hint="default"/>
                <w:color w:val="auto"/>
                <w:sz w:val="24"/>
                <w:szCs w:val="24"/>
              </w:rPr>
            </w:pPr>
            <w:r>
              <w:rPr>
                <w:rFonts w:hint="eastAsia"/>
                <w:color w:val="auto"/>
                <w:lang w:eastAsia="zh-CN"/>
              </w:rPr>
              <w:t>五十一、水利</w:t>
            </w:r>
            <w:r>
              <w:rPr>
                <w:rFonts w:hint="eastAsia"/>
                <w:color w:val="auto"/>
                <w:lang w:val="en-US" w:eastAsia="zh-CN"/>
              </w:rPr>
              <w:t>-127.</w:t>
            </w:r>
            <w:r>
              <w:rPr>
                <w:color w:val="auto"/>
              </w:rPr>
              <w:t>防洪除涝工程</w:t>
            </w:r>
          </w:p>
        </w:tc>
        <w:tc>
          <w:tcPr>
            <w:tcW w:w="2070" w:type="dxa"/>
            <w:vAlign w:val="center"/>
          </w:tcPr>
          <w:p w14:paraId="7AA41179">
            <w:pPr>
              <w:adjustRightInd w:val="0"/>
              <w:snapToGrid w:val="0"/>
              <w:spacing w:line="240" w:lineRule="auto"/>
              <w:ind w:firstLine="0" w:firstLineChars="0"/>
              <w:jc w:val="center"/>
              <w:rPr>
                <w:rFonts w:hint="default"/>
                <w:color w:val="auto"/>
                <w:sz w:val="24"/>
                <w:szCs w:val="24"/>
              </w:rPr>
            </w:pPr>
            <w:r>
              <w:rPr>
                <w:rFonts w:hint="default" w:ascii="Times New Roman" w:hAnsi="Times New Roman" w:cs="Times New Roman"/>
                <w:color w:val="auto"/>
                <w:highlight w:val="none"/>
              </w:rPr>
              <w:t>用地（用海）面积（</w:t>
            </w:r>
            <w:r>
              <w:rPr>
                <w:rFonts w:hint="eastAsia" w:cs="Times New Roman"/>
                <w:color w:val="auto"/>
                <w:highlight w:val="none"/>
                <w:lang w:val="en-US" w:eastAsia="zh-CN"/>
              </w:rPr>
              <w:t>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）/长度（km）</w:t>
            </w:r>
          </w:p>
        </w:tc>
        <w:tc>
          <w:tcPr>
            <w:tcW w:w="2800" w:type="dxa"/>
            <w:vAlign w:val="center"/>
          </w:tcPr>
          <w:p w14:paraId="12684B75">
            <w:pPr>
              <w:adjustRightInd w:val="0"/>
              <w:snapToGrid w:val="0"/>
              <w:spacing w:line="240" w:lineRule="auto"/>
              <w:ind w:firstLine="0" w:firstLineChars="0"/>
              <w:jc w:val="both"/>
              <w:rPr>
                <w:color w:val="auto"/>
              </w:rPr>
            </w:pPr>
            <w:r>
              <w:rPr>
                <w:rFonts w:hint="eastAsia"/>
                <w:color w:val="auto"/>
                <w:lang w:val="en-US" w:eastAsia="zh-CN"/>
              </w:rPr>
              <w:t>治理长度：3.83</w:t>
            </w:r>
            <w:r>
              <w:rPr>
                <w:color w:val="auto"/>
              </w:rPr>
              <w:t>km</w:t>
            </w:r>
          </w:p>
          <w:p w14:paraId="0F54DF7A">
            <w:pPr>
              <w:adjustRightInd w:val="0"/>
              <w:snapToGrid w:val="0"/>
              <w:spacing w:line="240" w:lineRule="auto"/>
              <w:ind w:firstLine="0" w:firstLineChars="0"/>
              <w:jc w:val="both"/>
              <w:rPr>
                <w:rFonts w:hint="eastAsia"/>
                <w:color w:val="auto"/>
                <w:lang w:val="en-US" w:eastAsia="zh-CN"/>
              </w:rPr>
            </w:pPr>
            <w:r>
              <w:rPr>
                <w:rFonts w:hint="eastAsia"/>
                <w:color w:val="auto"/>
                <w:lang w:eastAsia="zh-CN"/>
              </w:rPr>
              <w:t>永久占地面积：</w:t>
            </w:r>
            <w:r>
              <w:rPr>
                <w:rFonts w:hint="eastAsia"/>
                <w:color w:val="auto"/>
                <w:lang w:val="en-US" w:eastAsia="zh-CN"/>
              </w:rPr>
              <w:t>0</w:t>
            </w:r>
            <w:r>
              <w:rPr>
                <w:rFonts w:hint="eastAsia" w:cs="Times New Roman"/>
                <w:color w:val="auto"/>
                <w:highlight w:val="none"/>
                <w:lang w:val="en-US" w:eastAsia="zh-CN"/>
              </w:rPr>
              <w:t>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p w14:paraId="42D409CB">
            <w:pPr>
              <w:adjustRightInd w:val="0"/>
              <w:snapToGrid w:val="0"/>
              <w:spacing w:line="240" w:lineRule="auto"/>
              <w:ind w:firstLine="0" w:firstLineChars="0"/>
              <w:jc w:val="both"/>
              <w:rPr>
                <w:rFonts w:hint="default"/>
                <w:color w:val="0000FF"/>
                <w:lang w:val="en-US" w:eastAsia="zh-CN"/>
              </w:rPr>
            </w:pPr>
            <w:r>
              <w:rPr>
                <w:rFonts w:hint="eastAsia"/>
                <w:color w:val="auto"/>
                <w:lang w:val="en-US" w:eastAsia="zh-CN"/>
              </w:rPr>
              <w:t>临时占地面积：2.14</w:t>
            </w:r>
            <w:r>
              <w:rPr>
                <w:rFonts w:hint="eastAsia" w:cs="Times New Roman"/>
                <w:color w:val="auto"/>
                <w:highlight w:val="none"/>
                <w:lang w:val="en-US" w:eastAsia="zh-CN"/>
              </w:rPr>
              <w:t>h</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tc>
      </w:tr>
      <w:tr w14:paraId="06C0C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6FFF7368">
            <w:pPr>
              <w:pStyle w:val="35"/>
              <w:bidi w:val="0"/>
              <w:rPr>
                <w:rFonts w:hint="default"/>
                <w:color w:val="auto"/>
                <w:sz w:val="24"/>
                <w:szCs w:val="24"/>
              </w:rPr>
            </w:pPr>
            <w:r>
              <w:rPr>
                <w:rFonts w:hint="default"/>
                <w:color w:val="auto"/>
                <w:sz w:val="24"/>
                <w:szCs w:val="24"/>
              </w:rPr>
              <w:t>建设性质</w:t>
            </w:r>
          </w:p>
        </w:tc>
        <w:tc>
          <w:tcPr>
            <w:tcW w:w="2962" w:type="dxa"/>
            <w:vAlign w:val="center"/>
          </w:tcPr>
          <w:p w14:paraId="458A170E">
            <w:pPr>
              <w:pStyle w:val="35"/>
              <w:bidi w:val="0"/>
              <w:jc w:val="left"/>
              <w:rPr>
                <w:rFonts w:hint="default"/>
                <w:color w:val="auto"/>
                <w:sz w:val="24"/>
                <w:szCs w:val="24"/>
              </w:rPr>
            </w:pPr>
            <w:r>
              <w:rPr>
                <w:rFonts w:hint="default"/>
                <w:color w:val="auto"/>
                <w:sz w:val="24"/>
                <w:szCs w:val="24"/>
              </w:rPr>
              <w:t>☑新建（迁建）</w:t>
            </w:r>
          </w:p>
          <w:p w14:paraId="1331B432">
            <w:pPr>
              <w:pStyle w:val="35"/>
              <w:bidi w:val="0"/>
              <w:jc w:val="left"/>
              <w:rPr>
                <w:rFonts w:hint="default"/>
                <w:color w:val="auto"/>
                <w:sz w:val="24"/>
                <w:szCs w:val="24"/>
              </w:rPr>
            </w:pPr>
            <w:r>
              <w:rPr>
                <w:rFonts w:hint="default"/>
                <w:color w:val="auto"/>
                <w:sz w:val="24"/>
                <w:szCs w:val="24"/>
              </w:rPr>
              <w:t>□改建</w:t>
            </w:r>
          </w:p>
          <w:p w14:paraId="45C35989">
            <w:pPr>
              <w:pStyle w:val="35"/>
              <w:bidi w:val="0"/>
              <w:jc w:val="left"/>
              <w:rPr>
                <w:rFonts w:hint="default"/>
                <w:color w:val="auto"/>
                <w:sz w:val="24"/>
                <w:szCs w:val="24"/>
              </w:rPr>
            </w:pPr>
            <w:r>
              <w:rPr>
                <w:rFonts w:hint="default"/>
                <w:color w:val="auto"/>
                <w:sz w:val="24"/>
                <w:szCs w:val="24"/>
              </w:rPr>
              <w:t>□扩建</w:t>
            </w:r>
          </w:p>
          <w:p w14:paraId="7E4C6292">
            <w:pPr>
              <w:pStyle w:val="35"/>
              <w:bidi w:val="0"/>
              <w:jc w:val="left"/>
              <w:rPr>
                <w:rFonts w:hint="default"/>
                <w:color w:val="auto"/>
                <w:sz w:val="24"/>
                <w:szCs w:val="24"/>
              </w:rPr>
            </w:pPr>
            <w:r>
              <w:rPr>
                <w:rFonts w:hint="default"/>
                <w:color w:val="auto"/>
                <w:sz w:val="24"/>
                <w:szCs w:val="24"/>
              </w:rPr>
              <w:t>□技术改造</w:t>
            </w:r>
          </w:p>
        </w:tc>
        <w:tc>
          <w:tcPr>
            <w:tcW w:w="2070" w:type="dxa"/>
            <w:vAlign w:val="center"/>
          </w:tcPr>
          <w:p w14:paraId="744D8FFC">
            <w:pPr>
              <w:pStyle w:val="35"/>
              <w:bidi w:val="0"/>
              <w:rPr>
                <w:rFonts w:hint="default"/>
                <w:color w:val="auto"/>
                <w:sz w:val="24"/>
                <w:szCs w:val="24"/>
              </w:rPr>
            </w:pPr>
            <w:r>
              <w:rPr>
                <w:rFonts w:hint="default"/>
                <w:color w:val="auto"/>
                <w:sz w:val="24"/>
                <w:szCs w:val="24"/>
              </w:rPr>
              <w:t>建设项目</w:t>
            </w:r>
          </w:p>
          <w:p w14:paraId="38F78865">
            <w:pPr>
              <w:pStyle w:val="35"/>
              <w:bidi w:val="0"/>
              <w:rPr>
                <w:rFonts w:hint="default"/>
                <w:color w:val="auto"/>
                <w:sz w:val="24"/>
                <w:szCs w:val="24"/>
              </w:rPr>
            </w:pPr>
            <w:r>
              <w:rPr>
                <w:rFonts w:hint="default"/>
                <w:color w:val="auto"/>
                <w:sz w:val="24"/>
                <w:szCs w:val="24"/>
              </w:rPr>
              <w:t>申报情形</w:t>
            </w:r>
          </w:p>
        </w:tc>
        <w:tc>
          <w:tcPr>
            <w:tcW w:w="2800" w:type="dxa"/>
            <w:vAlign w:val="center"/>
          </w:tcPr>
          <w:p w14:paraId="71C07CD9">
            <w:pPr>
              <w:pStyle w:val="35"/>
              <w:bidi w:val="0"/>
              <w:jc w:val="left"/>
              <w:rPr>
                <w:rFonts w:hint="default"/>
                <w:color w:val="auto"/>
                <w:sz w:val="24"/>
                <w:szCs w:val="24"/>
              </w:rPr>
            </w:pPr>
            <w:r>
              <w:rPr>
                <w:rFonts w:hint="default"/>
                <w:color w:val="auto"/>
                <w:sz w:val="24"/>
                <w:szCs w:val="24"/>
              </w:rPr>
              <w:t>☑首次申报项目</w:t>
            </w:r>
          </w:p>
          <w:p w14:paraId="7F0D120C">
            <w:pPr>
              <w:pStyle w:val="35"/>
              <w:bidi w:val="0"/>
              <w:jc w:val="left"/>
              <w:rPr>
                <w:rFonts w:hint="default"/>
                <w:color w:val="auto"/>
                <w:sz w:val="24"/>
                <w:szCs w:val="24"/>
              </w:rPr>
            </w:pPr>
            <w:r>
              <w:rPr>
                <w:rFonts w:hint="default"/>
                <w:color w:val="auto"/>
                <w:sz w:val="24"/>
                <w:szCs w:val="24"/>
              </w:rPr>
              <w:t>□不予批准后再次申报项目</w:t>
            </w:r>
          </w:p>
          <w:p w14:paraId="2A8D74A7">
            <w:pPr>
              <w:pStyle w:val="35"/>
              <w:bidi w:val="0"/>
              <w:jc w:val="left"/>
              <w:rPr>
                <w:rFonts w:hint="default"/>
                <w:color w:val="auto"/>
                <w:sz w:val="24"/>
                <w:szCs w:val="24"/>
              </w:rPr>
            </w:pPr>
            <w:r>
              <w:rPr>
                <w:rFonts w:hint="default"/>
                <w:color w:val="auto"/>
                <w:sz w:val="24"/>
                <w:szCs w:val="24"/>
              </w:rPr>
              <w:t>□超五年重新审核项目</w:t>
            </w:r>
          </w:p>
          <w:p w14:paraId="2FAB3566">
            <w:pPr>
              <w:pStyle w:val="35"/>
              <w:bidi w:val="0"/>
              <w:jc w:val="left"/>
              <w:rPr>
                <w:rFonts w:hint="default"/>
                <w:color w:val="auto"/>
                <w:sz w:val="24"/>
                <w:szCs w:val="24"/>
              </w:rPr>
            </w:pPr>
            <w:r>
              <w:rPr>
                <w:rFonts w:hint="default"/>
                <w:color w:val="auto"/>
                <w:sz w:val="24"/>
                <w:szCs w:val="24"/>
              </w:rPr>
              <w:t>□重大变动重新报批项目</w:t>
            </w:r>
          </w:p>
        </w:tc>
      </w:tr>
      <w:tr w14:paraId="49AA5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0F2098A0">
            <w:pPr>
              <w:pStyle w:val="35"/>
              <w:bidi w:val="0"/>
              <w:rPr>
                <w:rFonts w:hint="default"/>
                <w:color w:val="auto"/>
                <w:sz w:val="24"/>
                <w:szCs w:val="24"/>
              </w:rPr>
            </w:pPr>
            <w:r>
              <w:rPr>
                <w:rFonts w:hint="default"/>
                <w:color w:val="auto"/>
                <w:sz w:val="24"/>
                <w:szCs w:val="24"/>
              </w:rPr>
              <w:t>项目审批（核准/</w:t>
            </w:r>
          </w:p>
          <w:p w14:paraId="2BDF6301">
            <w:pPr>
              <w:pStyle w:val="35"/>
              <w:bidi w:val="0"/>
              <w:rPr>
                <w:rFonts w:hint="default"/>
                <w:color w:val="auto"/>
                <w:sz w:val="24"/>
                <w:szCs w:val="24"/>
              </w:rPr>
            </w:pPr>
            <w:r>
              <w:rPr>
                <w:rFonts w:hint="default"/>
                <w:color w:val="auto"/>
                <w:sz w:val="24"/>
                <w:szCs w:val="24"/>
              </w:rPr>
              <w:t>备案）部门（选填）</w:t>
            </w:r>
          </w:p>
        </w:tc>
        <w:tc>
          <w:tcPr>
            <w:tcW w:w="2962" w:type="dxa"/>
            <w:vAlign w:val="center"/>
          </w:tcPr>
          <w:p w14:paraId="13A4B071">
            <w:pPr>
              <w:adjustRightInd w:val="0"/>
              <w:snapToGrid w:val="0"/>
              <w:spacing w:line="240" w:lineRule="auto"/>
              <w:ind w:firstLine="0" w:firstLineChars="0"/>
              <w:jc w:val="center"/>
              <w:rPr>
                <w:rFonts w:hint="eastAsia" w:eastAsia="宋体"/>
                <w:color w:val="auto"/>
                <w:sz w:val="24"/>
                <w:szCs w:val="24"/>
                <w:lang w:eastAsia="zh-CN"/>
              </w:rPr>
            </w:pPr>
            <w:r>
              <w:rPr>
                <w:rFonts w:hint="eastAsia"/>
                <w:color w:val="auto"/>
                <w:sz w:val="24"/>
                <w:szCs w:val="24"/>
                <w:lang w:eastAsia="zh-CN"/>
              </w:rPr>
              <w:t>德宏傣族景颇族自治州水利局</w:t>
            </w:r>
          </w:p>
        </w:tc>
        <w:tc>
          <w:tcPr>
            <w:tcW w:w="2070" w:type="dxa"/>
            <w:vAlign w:val="center"/>
          </w:tcPr>
          <w:p w14:paraId="35C8E0DD">
            <w:pPr>
              <w:adjustRightInd w:val="0"/>
              <w:snapToGrid w:val="0"/>
              <w:spacing w:line="240" w:lineRule="auto"/>
              <w:ind w:firstLine="0" w:firstLineChars="0"/>
              <w:jc w:val="center"/>
              <w:rPr>
                <w:rFonts w:hint="default"/>
                <w:color w:val="auto"/>
                <w:sz w:val="24"/>
                <w:szCs w:val="24"/>
              </w:rPr>
            </w:pPr>
            <w:r>
              <w:rPr>
                <w:rFonts w:hint="default" w:ascii="Times New Roman" w:hAnsi="Times New Roman" w:cs="Times New Roman"/>
                <w:color w:val="auto"/>
                <w:highlight w:val="none"/>
              </w:rPr>
              <w:t>项目审批（核准/备案）文号（选填）</w:t>
            </w:r>
          </w:p>
        </w:tc>
        <w:tc>
          <w:tcPr>
            <w:tcW w:w="2800" w:type="dxa"/>
            <w:vAlign w:val="center"/>
          </w:tcPr>
          <w:p w14:paraId="529B59FB">
            <w:pPr>
              <w:adjustRightInd w:val="0"/>
              <w:snapToGrid w:val="0"/>
              <w:spacing w:line="240" w:lineRule="auto"/>
              <w:ind w:firstLine="0" w:firstLineChars="0"/>
              <w:jc w:val="center"/>
              <w:rPr>
                <w:rFonts w:hint="default"/>
                <w:color w:val="auto"/>
                <w:sz w:val="24"/>
                <w:szCs w:val="24"/>
              </w:rPr>
            </w:pPr>
          </w:p>
        </w:tc>
      </w:tr>
      <w:tr w14:paraId="04B89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31ACDD04">
            <w:pPr>
              <w:pStyle w:val="35"/>
              <w:bidi w:val="0"/>
              <w:rPr>
                <w:rFonts w:hint="default"/>
                <w:color w:val="auto"/>
                <w:sz w:val="24"/>
                <w:szCs w:val="24"/>
              </w:rPr>
            </w:pPr>
            <w:r>
              <w:rPr>
                <w:rFonts w:hint="default"/>
                <w:color w:val="auto"/>
                <w:sz w:val="24"/>
                <w:szCs w:val="24"/>
              </w:rPr>
              <w:t>总投资（万元）</w:t>
            </w:r>
          </w:p>
        </w:tc>
        <w:tc>
          <w:tcPr>
            <w:tcW w:w="2962" w:type="dxa"/>
            <w:vAlign w:val="center"/>
          </w:tcPr>
          <w:p w14:paraId="7A82BCB1">
            <w:pPr>
              <w:adjustRightInd w:val="0"/>
              <w:snapToGrid w:val="0"/>
              <w:spacing w:line="240" w:lineRule="auto"/>
              <w:ind w:firstLine="0" w:firstLineChars="0"/>
              <w:jc w:val="center"/>
              <w:rPr>
                <w:rFonts w:hint="default"/>
                <w:color w:val="auto"/>
                <w:sz w:val="24"/>
                <w:szCs w:val="24"/>
                <w:lang w:val="en-US" w:eastAsia="zh-CN"/>
              </w:rPr>
            </w:pPr>
            <w:r>
              <w:rPr>
                <w:rFonts w:hint="default"/>
                <w:color w:val="auto"/>
                <w:sz w:val="24"/>
                <w:szCs w:val="24"/>
                <w:lang w:val="en-US" w:eastAsia="zh-CN"/>
              </w:rPr>
              <w:t>854.</w:t>
            </w:r>
            <w:r>
              <w:rPr>
                <w:rFonts w:hint="eastAsia"/>
                <w:color w:val="auto"/>
                <w:sz w:val="24"/>
                <w:szCs w:val="24"/>
                <w:lang w:val="en-US" w:eastAsia="zh-CN"/>
              </w:rPr>
              <w:t>6</w:t>
            </w:r>
          </w:p>
        </w:tc>
        <w:tc>
          <w:tcPr>
            <w:tcW w:w="2070" w:type="dxa"/>
            <w:tcMar>
              <w:top w:w="16" w:type="dxa"/>
              <w:left w:w="16" w:type="dxa"/>
              <w:right w:w="16" w:type="dxa"/>
            </w:tcMar>
            <w:vAlign w:val="center"/>
          </w:tcPr>
          <w:p w14:paraId="19B507ED">
            <w:pPr>
              <w:adjustRightInd w:val="0"/>
              <w:snapToGrid w:val="0"/>
              <w:spacing w:line="240" w:lineRule="auto"/>
              <w:ind w:firstLine="0" w:firstLineChars="0"/>
              <w:jc w:val="center"/>
              <w:rPr>
                <w:rFonts w:hint="default"/>
                <w:color w:val="auto"/>
                <w:sz w:val="24"/>
                <w:szCs w:val="24"/>
              </w:rPr>
            </w:pPr>
            <w:r>
              <w:rPr>
                <w:rFonts w:hint="default" w:ascii="Times New Roman" w:hAnsi="Times New Roman" w:cs="Times New Roman"/>
                <w:color w:val="auto"/>
                <w:highlight w:val="none"/>
              </w:rPr>
              <w:t>环保投资（万元）</w:t>
            </w:r>
          </w:p>
        </w:tc>
        <w:tc>
          <w:tcPr>
            <w:tcW w:w="2800" w:type="dxa"/>
            <w:vAlign w:val="center"/>
          </w:tcPr>
          <w:p w14:paraId="79DD1A54">
            <w:pPr>
              <w:adjustRightInd w:val="0"/>
              <w:snapToGrid w:val="0"/>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26</w:t>
            </w:r>
          </w:p>
        </w:tc>
      </w:tr>
      <w:tr w14:paraId="36328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70F60052">
            <w:pPr>
              <w:pStyle w:val="35"/>
              <w:bidi w:val="0"/>
              <w:jc w:val="both"/>
              <w:rPr>
                <w:rFonts w:hint="default"/>
                <w:color w:val="auto"/>
                <w:sz w:val="24"/>
                <w:szCs w:val="24"/>
              </w:rPr>
            </w:pPr>
            <w:r>
              <w:rPr>
                <w:rFonts w:hint="default"/>
                <w:color w:val="auto"/>
                <w:sz w:val="24"/>
                <w:szCs w:val="24"/>
              </w:rPr>
              <w:t>环保投资占比（%）</w:t>
            </w:r>
          </w:p>
        </w:tc>
        <w:tc>
          <w:tcPr>
            <w:tcW w:w="2962" w:type="dxa"/>
            <w:vAlign w:val="center"/>
          </w:tcPr>
          <w:p w14:paraId="2E51A8C7">
            <w:pPr>
              <w:adjustRightInd w:val="0"/>
              <w:snapToGrid w:val="0"/>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3.04</w:t>
            </w:r>
          </w:p>
        </w:tc>
        <w:tc>
          <w:tcPr>
            <w:tcW w:w="2070" w:type="dxa"/>
            <w:tcMar>
              <w:top w:w="16" w:type="dxa"/>
              <w:left w:w="16" w:type="dxa"/>
              <w:right w:w="16" w:type="dxa"/>
            </w:tcMar>
            <w:vAlign w:val="center"/>
          </w:tcPr>
          <w:p w14:paraId="515DA2D2">
            <w:pPr>
              <w:adjustRightInd w:val="0"/>
              <w:snapToGrid w:val="0"/>
              <w:spacing w:line="240" w:lineRule="auto"/>
              <w:ind w:firstLine="0" w:firstLineChars="0"/>
              <w:jc w:val="center"/>
              <w:rPr>
                <w:rFonts w:hint="default"/>
                <w:color w:val="auto"/>
                <w:sz w:val="24"/>
                <w:szCs w:val="24"/>
              </w:rPr>
            </w:pPr>
            <w:r>
              <w:rPr>
                <w:rFonts w:hint="default" w:ascii="Times New Roman" w:hAnsi="Times New Roman" w:cs="Times New Roman"/>
                <w:color w:val="auto"/>
                <w:highlight w:val="none"/>
              </w:rPr>
              <w:t>施工工期</w:t>
            </w:r>
          </w:p>
        </w:tc>
        <w:tc>
          <w:tcPr>
            <w:tcW w:w="2800" w:type="dxa"/>
            <w:vAlign w:val="center"/>
          </w:tcPr>
          <w:p w14:paraId="35D27D96">
            <w:pPr>
              <w:adjustRightInd w:val="0"/>
              <w:snapToGrid w:val="0"/>
              <w:spacing w:line="240" w:lineRule="auto"/>
              <w:ind w:firstLine="0" w:firstLineChars="0"/>
              <w:jc w:val="center"/>
              <w:rPr>
                <w:rFonts w:hint="default"/>
                <w:color w:val="auto"/>
                <w:sz w:val="24"/>
                <w:szCs w:val="24"/>
              </w:rPr>
            </w:pPr>
            <w:r>
              <w:rPr>
                <w:rFonts w:hint="eastAsia" w:cs="Times New Roman"/>
                <w:color w:val="auto"/>
                <w:highlight w:val="none"/>
                <w:lang w:val="en-US" w:eastAsia="zh-CN"/>
              </w:rPr>
              <w:t>12</w:t>
            </w:r>
            <w:r>
              <w:rPr>
                <w:rFonts w:hint="default" w:ascii="Times New Roman" w:hAnsi="Times New Roman" w:cs="Times New Roman"/>
                <w:color w:val="auto"/>
                <w:highlight w:val="none"/>
              </w:rPr>
              <w:t>个月</w:t>
            </w:r>
          </w:p>
        </w:tc>
      </w:tr>
      <w:tr w14:paraId="30F53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1AFFD527">
            <w:pPr>
              <w:pStyle w:val="35"/>
              <w:bidi w:val="0"/>
              <w:rPr>
                <w:rFonts w:hint="default"/>
                <w:color w:val="auto"/>
                <w:sz w:val="24"/>
                <w:szCs w:val="24"/>
              </w:rPr>
            </w:pPr>
            <w:r>
              <w:rPr>
                <w:rFonts w:hint="default"/>
                <w:color w:val="auto"/>
                <w:sz w:val="24"/>
                <w:szCs w:val="24"/>
              </w:rPr>
              <w:t>是否开工建设</w:t>
            </w:r>
          </w:p>
        </w:tc>
        <w:tc>
          <w:tcPr>
            <w:tcW w:w="7832" w:type="dxa"/>
            <w:gridSpan w:val="3"/>
            <w:vAlign w:val="center"/>
          </w:tcPr>
          <w:p w14:paraId="07023FC0">
            <w:pPr>
              <w:adjustRightInd w:val="0"/>
              <w:snapToGrid w:val="0"/>
              <w:spacing w:line="240" w:lineRule="auto"/>
              <w:ind w:firstLine="0" w:firstLineChars="0"/>
              <w:rPr>
                <w:color w:val="auto"/>
                <w:highlight w:val="none"/>
              </w:rPr>
            </w:pPr>
            <w:r>
              <w:rPr>
                <w:rFonts w:ascii="Wingdings 2" w:hAnsi="Wingdings 2"/>
                <w:color w:val="auto"/>
                <w:highlight w:val="none"/>
              </w:rPr>
              <w:sym w:font="Wingdings 2" w:char="0052"/>
            </w:r>
            <w:r>
              <w:rPr>
                <w:rFonts w:hint="eastAsia"/>
                <w:color w:val="auto"/>
                <w:highlight w:val="none"/>
              </w:rPr>
              <w:t>否</w:t>
            </w:r>
          </w:p>
          <w:p w14:paraId="6084A68E">
            <w:pPr>
              <w:pStyle w:val="65"/>
              <w:rPr>
                <w:rFonts w:hint="default"/>
                <w:color w:val="0000FF"/>
                <w:sz w:val="24"/>
                <w:szCs w:val="24"/>
              </w:rPr>
            </w:pPr>
            <w:r>
              <w:rPr>
                <w:rFonts w:ascii="Wingdings 2" w:hAnsi="Wingdings 2"/>
                <w:color w:val="auto"/>
                <w:highlight w:val="none"/>
              </w:rPr>
              <w:sym w:font="Wingdings 2" w:char="00A3"/>
            </w:r>
            <w:r>
              <w:rPr>
                <w:rFonts w:hint="eastAsia" w:ascii="Times New Roman" w:hAnsi="Times New Roman" w:cs="Times New Roman"/>
                <w:color w:val="auto"/>
                <w:sz w:val="24"/>
                <w:highlight w:val="none"/>
              </w:rPr>
              <w:t>是</w:t>
            </w:r>
            <w:r>
              <w:rPr>
                <w:rFonts w:hint="eastAsia"/>
                <w:color w:val="auto"/>
                <w:highlight w:val="none"/>
              </w:rPr>
              <w:t>：</w:t>
            </w:r>
            <w:r>
              <w:rPr>
                <w:color w:val="auto"/>
                <w:highlight w:val="none"/>
                <w:u w:val="single"/>
              </w:rPr>
              <w:t xml:space="preserve">                          </w:t>
            </w:r>
          </w:p>
        </w:tc>
      </w:tr>
      <w:tr w14:paraId="58D3B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53DD23AC">
            <w:pPr>
              <w:pStyle w:val="35"/>
              <w:bidi w:val="0"/>
              <w:rPr>
                <w:rFonts w:hint="default"/>
                <w:color w:val="auto"/>
                <w:sz w:val="24"/>
                <w:szCs w:val="24"/>
              </w:rPr>
            </w:pPr>
            <w:r>
              <w:rPr>
                <w:rFonts w:hint="default"/>
                <w:color w:val="auto"/>
                <w:sz w:val="24"/>
                <w:szCs w:val="24"/>
              </w:rPr>
              <w:t>专项评价设置情况</w:t>
            </w:r>
          </w:p>
        </w:tc>
        <w:tc>
          <w:tcPr>
            <w:tcW w:w="7832" w:type="dxa"/>
            <w:gridSpan w:val="3"/>
            <w:tcMar>
              <w:top w:w="16" w:type="dxa"/>
              <w:left w:w="16" w:type="dxa"/>
              <w:right w:w="16" w:type="dxa"/>
            </w:tcMar>
            <w:vAlign w:val="center"/>
          </w:tcPr>
          <w:p w14:paraId="622731DC">
            <w:pPr>
              <w:autoSpaceDE w:val="0"/>
              <w:autoSpaceDN w:val="0"/>
              <w:adjustRightInd w:val="0"/>
              <w:snapToGrid w:val="0"/>
              <w:spacing w:line="360" w:lineRule="auto"/>
              <w:ind w:firstLine="480" w:firstLineChars="200"/>
              <w:jc w:val="left"/>
              <w:rPr>
                <w:rFonts w:ascii="Times New Roman" w:hAnsi="Times New Roman" w:cs="Times New Roman"/>
                <w:color w:val="auto"/>
              </w:rPr>
            </w:pPr>
            <w:r>
              <w:rPr>
                <w:rFonts w:hint="default" w:ascii="Times New Roman" w:hAnsi="Times New Roman" w:cs="Times New Roman"/>
                <w:color w:val="auto"/>
                <w:kern w:val="0"/>
                <w:sz w:val="24"/>
              </w:rPr>
              <w:t>对照《建设项目环境影响报告表编制技术指南》（生态影响类）（试行）专项设置情况表分析，本项目不设置专项评价</w:t>
            </w:r>
            <w:r>
              <w:rPr>
                <w:rFonts w:ascii="Times New Roman" w:hAnsi="Times New Roman" w:cs="Times New Roman"/>
                <w:color w:val="auto"/>
              </w:rPr>
              <w:t>。本项目与专项评价设置原则对照情况如下：</w:t>
            </w:r>
          </w:p>
          <w:p w14:paraId="141272E4">
            <w:pPr>
              <w:pStyle w:val="19"/>
              <w:spacing w:beforeLines="0"/>
              <w:ind w:right="0"/>
              <w:rPr>
                <w:rFonts w:ascii="Times New Roman" w:hAnsi="Times New Roman" w:cs="Times New Roman"/>
                <w:color w:val="auto"/>
                <w:sz w:val="21"/>
                <w:szCs w:val="21"/>
              </w:rPr>
            </w:pPr>
            <w:r>
              <w:rPr>
                <w:rFonts w:ascii="Times New Roman" w:hAnsi="Times New Roman" w:cs="Times New Roman"/>
                <w:color w:val="auto"/>
                <w:sz w:val="21"/>
                <w:szCs w:val="21"/>
              </w:rPr>
              <w:t>表1-1 本项目与专项评价设置原则对照表</w:t>
            </w:r>
          </w:p>
          <w:tbl>
            <w:tblPr>
              <w:tblStyle w:val="23"/>
              <w:tblW w:w="48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535"/>
              <w:gridCol w:w="2902"/>
            </w:tblGrid>
            <w:tr w14:paraId="7FD3A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02821F04">
                  <w:pPr>
                    <w:pStyle w:val="35"/>
                    <w:bidi w:val="0"/>
                    <w:spacing w:line="240" w:lineRule="auto"/>
                    <w:rPr>
                      <w:b/>
                      <w:bCs/>
                      <w:color w:val="auto"/>
                    </w:rPr>
                  </w:pPr>
                  <w:r>
                    <w:rPr>
                      <w:b/>
                      <w:bCs/>
                      <w:color w:val="auto"/>
                    </w:rPr>
                    <w:t>类别</w:t>
                  </w:r>
                </w:p>
              </w:tc>
              <w:tc>
                <w:tcPr>
                  <w:tcW w:w="3563" w:type="dxa"/>
                  <w:tcBorders>
                    <w:tl2br w:val="nil"/>
                    <w:tr2bl w:val="nil"/>
                  </w:tcBorders>
                  <w:vAlign w:val="center"/>
                </w:tcPr>
                <w:p w14:paraId="652229DD">
                  <w:pPr>
                    <w:pStyle w:val="35"/>
                    <w:bidi w:val="0"/>
                    <w:spacing w:line="240" w:lineRule="auto"/>
                    <w:rPr>
                      <w:b/>
                      <w:bCs/>
                      <w:color w:val="auto"/>
                    </w:rPr>
                  </w:pPr>
                  <w:r>
                    <w:rPr>
                      <w:b/>
                      <w:bCs/>
                      <w:color w:val="auto"/>
                    </w:rPr>
                    <w:t>设置原则</w:t>
                  </w:r>
                </w:p>
              </w:tc>
              <w:tc>
                <w:tcPr>
                  <w:tcW w:w="2925" w:type="dxa"/>
                  <w:tcBorders>
                    <w:tl2br w:val="nil"/>
                    <w:tr2bl w:val="nil"/>
                  </w:tcBorders>
                  <w:vAlign w:val="center"/>
                </w:tcPr>
                <w:p w14:paraId="05D4BAB0">
                  <w:pPr>
                    <w:pStyle w:val="35"/>
                    <w:bidi w:val="0"/>
                    <w:spacing w:line="240" w:lineRule="auto"/>
                    <w:rPr>
                      <w:b/>
                      <w:bCs/>
                      <w:color w:val="auto"/>
                    </w:rPr>
                  </w:pPr>
                  <w:r>
                    <w:rPr>
                      <w:b/>
                      <w:bCs/>
                      <w:color w:val="auto"/>
                    </w:rPr>
                    <w:t>设置情况</w:t>
                  </w:r>
                </w:p>
              </w:tc>
            </w:tr>
            <w:tr w14:paraId="225A1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322D7141">
                  <w:pPr>
                    <w:pStyle w:val="35"/>
                    <w:bidi w:val="0"/>
                    <w:spacing w:line="240" w:lineRule="auto"/>
                    <w:rPr>
                      <w:color w:val="auto"/>
                    </w:rPr>
                  </w:pPr>
                  <w:r>
                    <w:rPr>
                      <w:color w:val="auto"/>
                    </w:rPr>
                    <w:t>地表水</w:t>
                  </w:r>
                </w:p>
              </w:tc>
              <w:tc>
                <w:tcPr>
                  <w:tcW w:w="3563" w:type="dxa"/>
                  <w:tcBorders>
                    <w:tl2br w:val="nil"/>
                    <w:tr2bl w:val="nil"/>
                  </w:tcBorders>
                  <w:vAlign w:val="center"/>
                </w:tcPr>
                <w:p w14:paraId="0ABB50C0">
                  <w:pPr>
                    <w:pStyle w:val="35"/>
                    <w:bidi w:val="0"/>
                    <w:spacing w:line="240" w:lineRule="auto"/>
                    <w:jc w:val="left"/>
                    <w:rPr>
                      <w:b w:val="0"/>
                      <w:bCs w:val="0"/>
                      <w:color w:val="auto"/>
                    </w:rPr>
                  </w:pPr>
                  <w:r>
                    <w:rPr>
                      <w:b w:val="0"/>
                      <w:bCs w:val="0"/>
                      <w:color w:val="auto"/>
                    </w:rPr>
                    <w:t>水力发电：引水式发电、涉及调峰发电的项目；人工湖、人工湿地：全部；</w:t>
                  </w:r>
                </w:p>
                <w:p w14:paraId="56B44C57">
                  <w:pPr>
                    <w:pStyle w:val="35"/>
                    <w:bidi w:val="0"/>
                    <w:spacing w:line="240" w:lineRule="auto"/>
                    <w:jc w:val="left"/>
                    <w:rPr>
                      <w:b w:val="0"/>
                      <w:bCs w:val="0"/>
                      <w:color w:val="auto"/>
                    </w:rPr>
                  </w:pPr>
                  <w:r>
                    <w:rPr>
                      <w:b w:val="0"/>
                      <w:bCs w:val="0"/>
                      <w:color w:val="auto"/>
                    </w:rPr>
                    <w:t>水库：全部；</w:t>
                  </w:r>
                </w:p>
                <w:p w14:paraId="7A973909">
                  <w:pPr>
                    <w:pStyle w:val="35"/>
                    <w:bidi w:val="0"/>
                    <w:spacing w:line="240" w:lineRule="auto"/>
                    <w:jc w:val="left"/>
                    <w:rPr>
                      <w:b w:val="0"/>
                      <w:bCs w:val="0"/>
                      <w:color w:val="auto"/>
                    </w:rPr>
                  </w:pPr>
                  <w:r>
                    <w:rPr>
                      <w:b w:val="0"/>
                      <w:bCs w:val="0"/>
                      <w:color w:val="auto"/>
                    </w:rPr>
                    <w:t>引水工程：全部（配套的管线工程等除外）；</w:t>
                  </w:r>
                </w:p>
                <w:p w14:paraId="6ED61526">
                  <w:pPr>
                    <w:pStyle w:val="35"/>
                    <w:bidi w:val="0"/>
                    <w:spacing w:line="240" w:lineRule="auto"/>
                    <w:jc w:val="left"/>
                    <w:rPr>
                      <w:b w:val="0"/>
                      <w:bCs w:val="0"/>
                      <w:color w:val="auto"/>
                    </w:rPr>
                  </w:pPr>
                  <w:r>
                    <w:rPr>
                      <w:b w:val="0"/>
                      <w:bCs w:val="0"/>
                      <w:color w:val="auto"/>
                    </w:rPr>
                    <w:t>防洪除涝工程：包含水库的项目；</w:t>
                  </w:r>
                </w:p>
                <w:p w14:paraId="6DFAD1CE">
                  <w:pPr>
                    <w:pStyle w:val="35"/>
                    <w:bidi w:val="0"/>
                    <w:spacing w:line="240" w:lineRule="auto"/>
                    <w:jc w:val="left"/>
                    <w:rPr>
                      <w:b w:val="0"/>
                      <w:bCs w:val="0"/>
                      <w:color w:val="auto"/>
                    </w:rPr>
                  </w:pPr>
                  <w:r>
                    <w:rPr>
                      <w:b w:val="0"/>
                      <w:bCs w:val="0"/>
                      <w:color w:val="auto"/>
                    </w:rPr>
                    <w:t>河湖整治：涉及清淤且底泥存在重金属污染的项目</w:t>
                  </w:r>
                </w:p>
              </w:tc>
              <w:tc>
                <w:tcPr>
                  <w:tcW w:w="2925" w:type="dxa"/>
                  <w:tcBorders>
                    <w:tl2br w:val="nil"/>
                    <w:tr2bl w:val="nil"/>
                  </w:tcBorders>
                  <w:vAlign w:val="center"/>
                </w:tcPr>
                <w:p w14:paraId="7F2D02CF">
                  <w:pPr>
                    <w:pStyle w:val="35"/>
                    <w:bidi w:val="0"/>
                    <w:spacing w:line="240" w:lineRule="auto"/>
                    <w:rPr>
                      <w:b w:val="0"/>
                      <w:bCs w:val="0"/>
                      <w:color w:val="auto"/>
                    </w:rPr>
                  </w:pPr>
                  <w:r>
                    <w:rPr>
                      <w:rFonts w:hint="eastAsia"/>
                      <w:b w:val="0"/>
                      <w:bCs w:val="0"/>
                      <w:color w:val="auto"/>
                      <w:lang w:eastAsia="zh-CN"/>
                    </w:rPr>
                    <w:t>不</w:t>
                  </w:r>
                  <w:r>
                    <w:rPr>
                      <w:b w:val="0"/>
                      <w:bCs w:val="0"/>
                      <w:color w:val="auto"/>
                    </w:rPr>
                    <w:t>设置。本项目为</w:t>
                  </w:r>
                  <w:r>
                    <w:rPr>
                      <w:rFonts w:hint="eastAsia"/>
                      <w:b w:val="0"/>
                      <w:bCs w:val="0"/>
                      <w:color w:val="auto"/>
                      <w:lang w:eastAsia="zh-CN"/>
                    </w:rPr>
                    <w:t>防洪</w:t>
                  </w:r>
                  <w:r>
                    <w:rPr>
                      <w:b w:val="0"/>
                      <w:bCs w:val="0"/>
                      <w:color w:val="auto"/>
                    </w:rPr>
                    <w:t>工程，</w:t>
                  </w:r>
                  <w:r>
                    <w:rPr>
                      <w:rFonts w:hint="eastAsia"/>
                      <w:b w:val="0"/>
                      <w:bCs w:val="0"/>
                      <w:color w:val="auto"/>
                      <w:lang w:val="en-US" w:eastAsia="zh-CN"/>
                    </w:rPr>
                    <w:t>工程内容不涉及水库及水库防洪工程，因此</w:t>
                  </w:r>
                  <w:r>
                    <w:rPr>
                      <w:rFonts w:hint="eastAsia"/>
                      <w:b w:val="0"/>
                      <w:bCs w:val="0"/>
                      <w:color w:val="auto"/>
                      <w:lang w:eastAsia="zh-CN"/>
                    </w:rPr>
                    <w:t>不</w:t>
                  </w:r>
                  <w:r>
                    <w:rPr>
                      <w:b w:val="0"/>
                      <w:bCs w:val="0"/>
                      <w:color w:val="auto"/>
                    </w:rPr>
                    <w:t>设置地表水专项评价。</w:t>
                  </w:r>
                </w:p>
              </w:tc>
            </w:tr>
            <w:tr w14:paraId="7F381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24E762B6">
                  <w:pPr>
                    <w:pStyle w:val="35"/>
                    <w:bidi w:val="0"/>
                    <w:spacing w:line="240" w:lineRule="auto"/>
                    <w:rPr>
                      <w:color w:val="auto"/>
                    </w:rPr>
                  </w:pPr>
                  <w:r>
                    <w:rPr>
                      <w:color w:val="auto"/>
                    </w:rPr>
                    <w:t>地下水</w:t>
                  </w:r>
                </w:p>
              </w:tc>
              <w:tc>
                <w:tcPr>
                  <w:tcW w:w="3563" w:type="dxa"/>
                  <w:tcBorders>
                    <w:tl2br w:val="nil"/>
                    <w:tr2bl w:val="nil"/>
                  </w:tcBorders>
                  <w:vAlign w:val="center"/>
                </w:tcPr>
                <w:p w14:paraId="2DC5FE82">
                  <w:pPr>
                    <w:pStyle w:val="35"/>
                    <w:bidi w:val="0"/>
                    <w:spacing w:line="240" w:lineRule="auto"/>
                    <w:jc w:val="left"/>
                    <w:rPr>
                      <w:color w:val="auto"/>
                    </w:rPr>
                  </w:pPr>
                  <w:r>
                    <w:rPr>
                      <w:color w:val="auto"/>
                    </w:rPr>
                    <w:t>陆地石油和天然气开采：全部；</w:t>
                  </w:r>
                </w:p>
                <w:p w14:paraId="2E2DEA9F">
                  <w:pPr>
                    <w:pStyle w:val="35"/>
                    <w:bidi w:val="0"/>
                    <w:spacing w:line="240" w:lineRule="auto"/>
                    <w:jc w:val="left"/>
                    <w:rPr>
                      <w:color w:val="auto"/>
                    </w:rPr>
                  </w:pPr>
                  <w:r>
                    <w:rPr>
                      <w:color w:val="auto"/>
                    </w:rPr>
                    <w:t>地下水（含矿泉水）开采：全部；</w:t>
                  </w:r>
                </w:p>
                <w:p w14:paraId="18CC8E5D">
                  <w:pPr>
                    <w:pStyle w:val="35"/>
                    <w:bidi w:val="0"/>
                    <w:spacing w:line="240" w:lineRule="auto"/>
                    <w:jc w:val="left"/>
                    <w:rPr>
                      <w:color w:val="auto"/>
                    </w:rPr>
                  </w:pPr>
                  <w:r>
                    <w:rPr>
                      <w:color w:val="auto"/>
                    </w:rPr>
                    <w:t>水利、水电、交通等：含穿越可溶岩地层隧道的项目。</w:t>
                  </w:r>
                </w:p>
              </w:tc>
              <w:tc>
                <w:tcPr>
                  <w:tcW w:w="2925" w:type="dxa"/>
                  <w:tcBorders>
                    <w:tl2br w:val="nil"/>
                    <w:tr2bl w:val="nil"/>
                  </w:tcBorders>
                  <w:vAlign w:val="center"/>
                </w:tcPr>
                <w:p w14:paraId="26C8439B">
                  <w:pPr>
                    <w:pStyle w:val="35"/>
                    <w:bidi w:val="0"/>
                    <w:spacing w:line="240" w:lineRule="auto"/>
                    <w:rPr>
                      <w:b w:val="0"/>
                      <w:bCs w:val="0"/>
                      <w:color w:val="auto"/>
                    </w:rPr>
                  </w:pPr>
                  <w:r>
                    <w:rPr>
                      <w:b w:val="0"/>
                      <w:bCs w:val="0"/>
                      <w:color w:val="auto"/>
                    </w:rPr>
                    <w:t>不设置。本项目主要为</w:t>
                  </w:r>
                  <w:r>
                    <w:rPr>
                      <w:rFonts w:hint="eastAsia"/>
                      <w:b w:val="0"/>
                      <w:bCs w:val="0"/>
                      <w:color w:val="auto"/>
                      <w:lang w:eastAsia="zh-CN"/>
                    </w:rPr>
                    <w:t>防洪</w:t>
                  </w:r>
                  <w:r>
                    <w:rPr>
                      <w:b w:val="0"/>
                      <w:bCs w:val="0"/>
                      <w:color w:val="auto"/>
                    </w:rPr>
                    <w:t>建设工程</w:t>
                  </w:r>
                  <w:r>
                    <w:rPr>
                      <w:rFonts w:hint="eastAsia"/>
                      <w:b w:val="0"/>
                      <w:bCs w:val="0"/>
                      <w:color w:val="auto"/>
                      <w:lang w:eastAsia="zh-CN"/>
                    </w:rPr>
                    <w:t>，不涉及前述工程，</w:t>
                  </w:r>
                  <w:r>
                    <w:rPr>
                      <w:b w:val="0"/>
                      <w:bCs w:val="0"/>
                      <w:color w:val="auto"/>
                    </w:rPr>
                    <w:t>因此不设地下水专项评价。</w:t>
                  </w:r>
                </w:p>
              </w:tc>
            </w:tr>
            <w:tr w14:paraId="6A899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7FB246BF">
                  <w:pPr>
                    <w:pStyle w:val="35"/>
                    <w:bidi w:val="0"/>
                    <w:spacing w:line="240" w:lineRule="auto"/>
                    <w:rPr>
                      <w:color w:val="auto"/>
                    </w:rPr>
                  </w:pPr>
                  <w:r>
                    <w:rPr>
                      <w:color w:val="auto"/>
                    </w:rPr>
                    <w:t>生态</w:t>
                  </w:r>
                </w:p>
              </w:tc>
              <w:tc>
                <w:tcPr>
                  <w:tcW w:w="3563" w:type="dxa"/>
                  <w:tcBorders>
                    <w:tl2br w:val="nil"/>
                    <w:tr2bl w:val="nil"/>
                  </w:tcBorders>
                  <w:vAlign w:val="center"/>
                </w:tcPr>
                <w:p w14:paraId="6FC3CD61">
                  <w:pPr>
                    <w:pStyle w:val="35"/>
                    <w:bidi w:val="0"/>
                    <w:spacing w:line="240" w:lineRule="auto"/>
                    <w:jc w:val="left"/>
                    <w:rPr>
                      <w:color w:val="auto"/>
                    </w:rPr>
                  </w:pPr>
                  <w:r>
                    <w:rPr>
                      <w:color w:val="auto"/>
                    </w:rPr>
                    <w:t>涉及环境敏感区（不包括饮用水水源保护区，以居住、医疗卫生、文化教育、科研、行政办公为主要功能的区域，以及文物保护单位）的项目。</w:t>
                  </w:r>
                </w:p>
              </w:tc>
              <w:tc>
                <w:tcPr>
                  <w:tcW w:w="2925" w:type="dxa"/>
                  <w:tcBorders>
                    <w:tl2br w:val="nil"/>
                    <w:tr2bl w:val="nil"/>
                  </w:tcBorders>
                  <w:vAlign w:val="center"/>
                </w:tcPr>
                <w:p w14:paraId="5284C126">
                  <w:pPr>
                    <w:pStyle w:val="35"/>
                    <w:bidi w:val="0"/>
                    <w:spacing w:line="240" w:lineRule="auto"/>
                    <w:rPr>
                      <w:b w:val="0"/>
                      <w:bCs w:val="0"/>
                      <w:color w:val="auto"/>
                    </w:rPr>
                  </w:pPr>
                  <w:r>
                    <w:rPr>
                      <w:b w:val="0"/>
                      <w:bCs w:val="0"/>
                      <w:color w:val="auto"/>
                    </w:rPr>
                    <w:t>不设置</w:t>
                  </w:r>
                  <w:r>
                    <w:rPr>
                      <w:b w:val="0"/>
                      <w:bCs w:val="0"/>
                      <w:color w:val="auto"/>
                      <w:highlight w:val="none"/>
                    </w:rPr>
                    <w:t>。</w:t>
                  </w:r>
                  <w:r>
                    <w:rPr>
                      <w:rFonts w:hint="eastAsia"/>
                      <w:b w:val="0"/>
                      <w:bCs w:val="0"/>
                      <w:color w:val="auto"/>
                      <w:highlight w:val="none"/>
                      <w:lang w:eastAsia="zh-CN"/>
                    </w:rPr>
                    <w:t>项目不涉及环境敏感区，</w:t>
                  </w:r>
                  <w:r>
                    <w:rPr>
                      <w:b w:val="0"/>
                      <w:bCs w:val="0"/>
                      <w:color w:val="auto"/>
                    </w:rPr>
                    <w:t>不设生态专项评价。</w:t>
                  </w:r>
                </w:p>
              </w:tc>
            </w:tr>
            <w:tr w14:paraId="4EA9B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67A8920E">
                  <w:pPr>
                    <w:pStyle w:val="35"/>
                    <w:bidi w:val="0"/>
                    <w:spacing w:line="240" w:lineRule="auto"/>
                    <w:rPr>
                      <w:color w:val="auto"/>
                    </w:rPr>
                  </w:pPr>
                  <w:r>
                    <w:rPr>
                      <w:color w:val="auto"/>
                    </w:rPr>
                    <w:t>大气</w:t>
                  </w:r>
                </w:p>
              </w:tc>
              <w:tc>
                <w:tcPr>
                  <w:tcW w:w="3563" w:type="dxa"/>
                  <w:tcBorders>
                    <w:tl2br w:val="nil"/>
                    <w:tr2bl w:val="nil"/>
                  </w:tcBorders>
                  <w:vAlign w:val="center"/>
                </w:tcPr>
                <w:p w14:paraId="12852F76">
                  <w:pPr>
                    <w:pStyle w:val="35"/>
                    <w:bidi w:val="0"/>
                    <w:spacing w:line="240" w:lineRule="auto"/>
                    <w:jc w:val="left"/>
                    <w:rPr>
                      <w:color w:val="auto"/>
                    </w:rPr>
                  </w:pPr>
                  <w:r>
                    <w:rPr>
                      <w:color w:val="auto"/>
                    </w:rPr>
                    <w:t>油气、液体化工码头：全部；</w:t>
                  </w:r>
                </w:p>
                <w:p w14:paraId="71F1470C">
                  <w:pPr>
                    <w:pStyle w:val="35"/>
                    <w:bidi w:val="0"/>
                    <w:spacing w:line="240" w:lineRule="auto"/>
                    <w:jc w:val="left"/>
                    <w:rPr>
                      <w:color w:val="auto"/>
                    </w:rPr>
                  </w:pPr>
                  <w:r>
                    <w:rPr>
                      <w:color w:val="auto"/>
                    </w:rPr>
                    <w:t>干散货（含煤炭、矿石）、件杂、多用途、通用码头：涉及粉尘、挥发性有机物排放的项目。</w:t>
                  </w:r>
                </w:p>
              </w:tc>
              <w:tc>
                <w:tcPr>
                  <w:tcW w:w="2925" w:type="dxa"/>
                  <w:tcBorders>
                    <w:tl2br w:val="nil"/>
                    <w:tr2bl w:val="nil"/>
                  </w:tcBorders>
                  <w:vAlign w:val="center"/>
                </w:tcPr>
                <w:p w14:paraId="6AB7A8A3">
                  <w:pPr>
                    <w:pStyle w:val="35"/>
                    <w:bidi w:val="0"/>
                    <w:spacing w:line="240" w:lineRule="auto"/>
                    <w:rPr>
                      <w:color w:val="auto"/>
                    </w:rPr>
                  </w:pPr>
                  <w:r>
                    <w:rPr>
                      <w:color w:val="auto"/>
                    </w:rPr>
                    <w:t>不设置。本项目为</w:t>
                  </w:r>
                  <w:r>
                    <w:rPr>
                      <w:rFonts w:hint="eastAsia"/>
                      <w:color w:val="auto"/>
                      <w:lang w:eastAsia="zh-CN"/>
                    </w:rPr>
                    <w:t>防洪工程</w:t>
                  </w:r>
                  <w:r>
                    <w:rPr>
                      <w:color w:val="auto"/>
                    </w:rPr>
                    <w:t>。不涉及油气、液体化工码头；干散货（含煤炭、矿石）、件杂、多用途、通用码头，因此不设置大气专项评价。</w:t>
                  </w:r>
                </w:p>
              </w:tc>
            </w:tr>
            <w:tr w14:paraId="58ABB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21DA4E1F">
                  <w:pPr>
                    <w:pStyle w:val="35"/>
                    <w:bidi w:val="0"/>
                    <w:spacing w:line="240" w:lineRule="auto"/>
                    <w:rPr>
                      <w:color w:val="auto"/>
                    </w:rPr>
                  </w:pPr>
                  <w:r>
                    <w:rPr>
                      <w:color w:val="auto"/>
                    </w:rPr>
                    <w:t>噪声</w:t>
                  </w:r>
                </w:p>
              </w:tc>
              <w:tc>
                <w:tcPr>
                  <w:tcW w:w="3563" w:type="dxa"/>
                  <w:tcBorders>
                    <w:tl2br w:val="nil"/>
                    <w:tr2bl w:val="nil"/>
                  </w:tcBorders>
                  <w:vAlign w:val="center"/>
                </w:tcPr>
                <w:p w14:paraId="367B34EC">
                  <w:pPr>
                    <w:pStyle w:val="35"/>
                    <w:bidi w:val="0"/>
                    <w:spacing w:line="240" w:lineRule="auto"/>
                    <w:jc w:val="left"/>
                    <w:rPr>
                      <w:color w:val="auto"/>
                    </w:rPr>
                  </w:pPr>
                  <w:r>
                    <w:rPr>
                      <w:color w:val="auto"/>
                    </w:rPr>
                    <w:t>公路、铁路、机场等交通运输业涉及环境敏感区（以居住、医疗卫生、文化教育、可研、行政办公为主要功能的区域）的项目；城市道路（不含维护，不含支路、人行天桥、人行地道）：全部</w:t>
                  </w:r>
                </w:p>
              </w:tc>
              <w:tc>
                <w:tcPr>
                  <w:tcW w:w="2925" w:type="dxa"/>
                  <w:tcBorders>
                    <w:tl2br w:val="nil"/>
                    <w:tr2bl w:val="nil"/>
                  </w:tcBorders>
                  <w:vAlign w:val="center"/>
                </w:tcPr>
                <w:p w14:paraId="15400B9A">
                  <w:pPr>
                    <w:pStyle w:val="35"/>
                    <w:bidi w:val="0"/>
                    <w:spacing w:line="240" w:lineRule="auto"/>
                    <w:rPr>
                      <w:color w:val="auto"/>
                    </w:rPr>
                  </w:pPr>
                  <w:r>
                    <w:rPr>
                      <w:color w:val="auto"/>
                    </w:rPr>
                    <w:t>不设置。本项目主要为</w:t>
                  </w:r>
                  <w:r>
                    <w:rPr>
                      <w:rFonts w:hint="eastAsia"/>
                      <w:color w:val="auto"/>
                      <w:lang w:eastAsia="zh-CN"/>
                    </w:rPr>
                    <w:t>防洪</w:t>
                  </w:r>
                  <w:r>
                    <w:rPr>
                      <w:color w:val="auto"/>
                    </w:rPr>
                    <w:t>工程。</w:t>
                  </w:r>
                  <w:r>
                    <w:rPr>
                      <w:rFonts w:hint="eastAsia"/>
                      <w:color w:val="auto"/>
                      <w:lang w:eastAsia="zh-CN"/>
                    </w:rPr>
                    <w:t>项目不属于</w:t>
                  </w:r>
                  <w:r>
                    <w:rPr>
                      <w:color w:val="auto"/>
                    </w:rPr>
                    <w:t>公路、铁路、机场等交通运输业、城市道路，</w:t>
                  </w:r>
                  <w:r>
                    <w:rPr>
                      <w:rFonts w:hint="eastAsia"/>
                      <w:color w:val="auto"/>
                      <w:lang w:eastAsia="zh-CN"/>
                    </w:rPr>
                    <w:t>且不涉及环境敏感区，</w:t>
                  </w:r>
                  <w:r>
                    <w:rPr>
                      <w:color w:val="auto"/>
                    </w:rPr>
                    <w:t>因此不设置噪声专项评价。</w:t>
                  </w:r>
                </w:p>
              </w:tc>
            </w:tr>
            <w:tr w14:paraId="6F39A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5" w:type="dxa"/>
                  <w:tcBorders>
                    <w:tl2br w:val="nil"/>
                    <w:tr2bl w:val="nil"/>
                  </w:tcBorders>
                  <w:vAlign w:val="center"/>
                </w:tcPr>
                <w:p w14:paraId="16053EC9">
                  <w:pPr>
                    <w:pStyle w:val="35"/>
                    <w:bidi w:val="0"/>
                    <w:spacing w:line="240" w:lineRule="auto"/>
                    <w:rPr>
                      <w:color w:val="auto"/>
                    </w:rPr>
                  </w:pPr>
                  <w:r>
                    <w:rPr>
                      <w:color w:val="auto"/>
                    </w:rPr>
                    <w:t>环境风险</w:t>
                  </w:r>
                </w:p>
              </w:tc>
              <w:tc>
                <w:tcPr>
                  <w:tcW w:w="3563" w:type="dxa"/>
                  <w:tcBorders>
                    <w:tl2br w:val="nil"/>
                    <w:tr2bl w:val="nil"/>
                  </w:tcBorders>
                  <w:vAlign w:val="center"/>
                </w:tcPr>
                <w:p w14:paraId="7CF97264">
                  <w:pPr>
                    <w:pStyle w:val="35"/>
                    <w:bidi w:val="0"/>
                    <w:spacing w:line="240" w:lineRule="auto"/>
                    <w:jc w:val="left"/>
                    <w:rPr>
                      <w:color w:val="auto"/>
                    </w:rPr>
                  </w:pPr>
                  <w:r>
                    <w:rPr>
                      <w:color w:val="auto"/>
                    </w:rPr>
                    <w:t>石油和天然气开采：全部；</w:t>
                  </w:r>
                </w:p>
                <w:p w14:paraId="2B6D4542">
                  <w:pPr>
                    <w:pStyle w:val="35"/>
                    <w:bidi w:val="0"/>
                    <w:spacing w:line="240" w:lineRule="auto"/>
                    <w:jc w:val="left"/>
                    <w:rPr>
                      <w:color w:val="auto"/>
                    </w:rPr>
                  </w:pPr>
                  <w:r>
                    <w:rPr>
                      <w:color w:val="auto"/>
                    </w:rPr>
                    <w:t>油气、液体化工码头：全部；</w:t>
                  </w:r>
                </w:p>
                <w:p w14:paraId="552330B1">
                  <w:pPr>
                    <w:pStyle w:val="35"/>
                    <w:bidi w:val="0"/>
                    <w:spacing w:line="240" w:lineRule="auto"/>
                    <w:jc w:val="left"/>
                    <w:rPr>
                      <w:color w:val="auto"/>
                    </w:rPr>
                  </w:pPr>
                  <w:r>
                    <w:rPr>
                      <w:color w:val="auto"/>
                    </w:rPr>
                    <w:t>原油、成品油、天然气管线（不含城镇天然气管线、企业厂区内管线）；</w:t>
                  </w:r>
                </w:p>
                <w:p w14:paraId="489E8BBF">
                  <w:pPr>
                    <w:pStyle w:val="35"/>
                    <w:bidi w:val="0"/>
                    <w:spacing w:line="240" w:lineRule="auto"/>
                    <w:jc w:val="left"/>
                    <w:rPr>
                      <w:color w:val="auto"/>
                    </w:rPr>
                  </w:pPr>
                  <w:r>
                    <w:rPr>
                      <w:color w:val="auto"/>
                    </w:rPr>
                    <w:t>危险化学品输送管线（不含企业厂区内管线）：全部。</w:t>
                  </w:r>
                </w:p>
              </w:tc>
              <w:tc>
                <w:tcPr>
                  <w:tcW w:w="2925" w:type="dxa"/>
                  <w:tcBorders>
                    <w:tl2br w:val="nil"/>
                    <w:tr2bl w:val="nil"/>
                  </w:tcBorders>
                  <w:vAlign w:val="center"/>
                </w:tcPr>
                <w:p w14:paraId="1E3F0F59">
                  <w:pPr>
                    <w:pStyle w:val="35"/>
                    <w:bidi w:val="0"/>
                    <w:spacing w:line="240" w:lineRule="auto"/>
                    <w:rPr>
                      <w:color w:val="auto"/>
                    </w:rPr>
                  </w:pPr>
                  <w:r>
                    <w:rPr>
                      <w:color w:val="auto"/>
                    </w:rPr>
                    <w:t>不设置。本项目属</w:t>
                  </w:r>
                  <w:r>
                    <w:rPr>
                      <w:rFonts w:hint="eastAsia"/>
                      <w:color w:val="auto"/>
                      <w:lang w:eastAsia="zh-CN"/>
                    </w:rPr>
                    <w:t>防洪工程</w:t>
                  </w:r>
                  <w:r>
                    <w:rPr>
                      <w:color w:val="auto"/>
                    </w:rPr>
                    <w:t>建设，不涉及石油和天然气开采</w:t>
                  </w:r>
                  <w:r>
                    <w:rPr>
                      <w:rFonts w:hint="eastAsia"/>
                      <w:color w:val="auto"/>
                      <w:lang w:eastAsia="zh-CN"/>
                    </w:rPr>
                    <w:t>；</w:t>
                  </w:r>
                  <w:r>
                    <w:rPr>
                      <w:color w:val="auto"/>
                    </w:rPr>
                    <w:t>油气、液体化工码头</w:t>
                  </w:r>
                  <w:r>
                    <w:rPr>
                      <w:rFonts w:hint="eastAsia"/>
                      <w:color w:val="auto"/>
                      <w:lang w:eastAsia="zh-CN"/>
                    </w:rPr>
                    <w:t>；</w:t>
                  </w:r>
                  <w:r>
                    <w:rPr>
                      <w:color w:val="auto"/>
                    </w:rPr>
                    <w:t>原油、成品油、天然气管线、危险化学品输送管线</w:t>
                  </w:r>
                  <w:r>
                    <w:rPr>
                      <w:rFonts w:hint="eastAsia"/>
                      <w:color w:val="auto"/>
                      <w:lang w:eastAsia="zh-CN"/>
                    </w:rPr>
                    <w:t>等工程</w:t>
                  </w:r>
                  <w:r>
                    <w:rPr>
                      <w:color w:val="auto"/>
                    </w:rPr>
                    <w:t>建设。</w:t>
                  </w:r>
                </w:p>
              </w:tc>
            </w:tr>
          </w:tbl>
          <w:p w14:paraId="0D987B64">
            <w:pPr>
              <w:pStyle w:val="35"/>
              <w:bidi w:val="0"/>
              <w:spacing w:line="240" w:lineRule="auto"/>
              <w:jc w:val="both"/>
              <w:rPr>
                <w:color w:val="auto"/>
                <w:sz w:val="21"/>
                <w:szCs w:val="21"/>
              </w:rPr>
            </w:pPr>
            <w:r>
              <w:rPr>
                <w:color w:val="auto"/>
              </w:rPr>
              <w:t>注</w:t>
            </w:r>
            <w:r>
              <w:rPr>
                <w:color w:val="auto"/>
                <w:sz w:val="21"/>
                <w:szCs w:val="21"/>
              </w:rPr>
              <w:t>：1.废气中有毒有害污染物指纳入《有毒有害大气污染物名录》的污染物（不包括无排放标准的污染物）。</w:t>
            </w:r>
          </w:p>
          <w:p w14:paraId="01CC0403">
            <w:pPr>
              <w:pStyle w:val="35"/>
              <w:keepNext w:val="0"/>
              <w:keepLines w:val="0"/>
              <w:pageBreakBefore w:val="0"/>
              <w:widowControl w:val="0"/>
              <w:kinsoku/>
              <w:wordWrap/>
              <w:overflowPunct/>
              <w:topLinePunct w:val="0"/>
              <w:bidi w:val="0"/>
              <w:spacing w:line="240" w:lineRule="auto"/>
              <w:ind w:left="360" w:leftChars="150"/>
              <w:jc w:val="both"/>
              <w:textAlignment w:val="auto"/>
              <w:rPr>
                <w:color w:val="auto"/>
                <w:sz w:val="21"/>
                <w:szCs w:val="21"/>
              </w:rPr>
            </w:pPr>
            <w:r>
              <w:rPr>
                <w:color w:val="auto"/>
                <w:sz w:val="21"/>
                <w:szCs w:val="21"/>
              </w:rPr>
              <w:t>2.环境空气保护目标指自然保护区、风景名胜区、居住区、文化区和农村地区中人群较集中的区域。</w:t>
            </w:r>
          </w:p>
          <w:p w14:paraId="5DCDCE68">
            <w:pPr>
              <w:keepNext w:val="0"/>
              <w:keepLines w:val="0"/>
              <w:pageBreakBefore w:val="0"/>
              <w:widowControl w:val="0"/>
              <w:kinsoku/>
              <w:wordWrap/>
              <w:overflowPunct/>
              <w:topLinePunct w:val="0"/>
              <w:autoSpaceDE w:val="0"/>
              <w:autoSpaceDN w:val="0"/>
              <w:bidi w:val="0"/>
              <w:adjustRightInd w:val="0"/>
              <w:snapToGrid w:val="0"/>
              <w:spacing w:line="240" w:lineRule="auto"/>
              <w:ind w:left="360" w:leftChars="150" w:firstLine="0" w:firstLineChars="0"/>
              <w:jc w:val="both"/>
              <w:textAlignment w:val="auto"/>
              <w:rPr>
                <w:rFonts w:hint="eastAsia" w:eastAsia="宋体"/>
                <w:color w:val="0000FF"/>
                <w:szCs w:val="24"/>
                <w:lang w:eastAsia="zh-CN"/>
              </w:rPr>
            </w:pPr>
            <w:r>
              <w:rPr>
                <w:color w:val="auto"/>
                <w:sz w:val="21"/>
                <w:szCs w:val="21"/>
              </w:rPr>
              <w:t>3.临界量及其计算方法可参考《建设项目环境风险评价技术导则》（HJ 169）附录B、附录C。</w:t>
            </w:r>
          </w:p>
        </w:tc>
      </w:tr>
      <w:tr w14:paraId="0D05E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67EF4DB5">
            <w:pPr>
              <w:pStyle w:val="35"/>
              <w:bidi w:val="0"/>
              <w:rPr>
                <w:rFonts w:hint="default"/>
                <w:color w:val="auto"/>
                <w:sz w:val="24"/>
                <w:szCs w:val="24"/>
              </w:rPr>
            </w:pPr>
            <w:r>
              <w:rPr>
                <w:rFonts w:hint="default"/>
                <w:color w:val="auto"/>
                <w:sz w:val="24"/>
                <w:szCs w:val="24"/>
              </w:rPr>
              <w:t>规划情况</w:t>
            </w:r>
          </w:p>
        </w:tc>
        <w:tc>
          <w:tcPr>
            <w:tcW w:w="7832" w:type="dxa"/>
            <w:gridSpan w:val="3"/>
            <w:tcMar>
              <w:top w:w="16" w:type="dxa"/>
              <w:left w:w="16" w:type="dxa"/>
              <w:right w:w="16" w:type="dxa"/>
            </w:tcMar>
            <w:vAlign w:val="center"/>
          </w:tcPr>
          <w:p w14:paraId="122FD9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ascii="宋体" w:hAnsi="宋体" w:eastAsia="宋体" w:cs="宋体"/>
                <w:color w:val="auto"/>
                <w:spacing w:val="-1"/>
                <w:position w:val="17"/>
                <w:sz w:val="24"/>
                <w:szCs w:val="24"/>
                <w:lang w:val="en-US" w:eastAsia="zh-CN"/>
              </w:rPr>
            </w:pPr>
            <w:r>
              <w:rPr>
                <w:rFonts w:hint="eastAsia" w:ascii="Times New Roman" w:hAnsi="Times New Roman" w:cs="Times New Roman"/>
                <w:color w:val="auto"/>
                <w:kern w:val="0"/>
                <w:sz w:val="24"/>
                <w:szCs w:val="24"/>
                <w:lang w:val="en-US" w:eastAsia="zh-CN" w:bidi="ar-SA"/>
              </w:rPr>
              <w:t>无</w:t>
            </w:r>
          </w:p>
        </w:tc>
      </w:tr>
      <w:tr w14:paraId="68A26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3C3BF277">
            <w:pPr>
              <w:pStyle w:val="35"/>
              <w:bidi w:val="0"/>
              <w:rPr>
                <w:rFonts w:hint="default"/>
                <w:color w:val="auto"/>
                <w:sz w:val="24"/>
                <w:szCs w:val="24"/>
              </w:rPr>
            </w:pPr>
            <w:r>
              <w:rPr>
                <w:rFonts w:hint="default"/>
                <w:color w:val="auto"/>
                <w:sz w:val="24"/>
                <w:szCs w:val="24"/>
              </w:rPr>
              <w:t>规划环境影响评价情况</w:t>
            </w:r>
          </w:p>
        </w:tc>
        <w:tc>
          <w:tcPr>
            <w:tcW w:w="7832" w:type="dxa"/>
            <w:gridSpan w:val="3"/>
            <w:tcMar>
              <w:top w:w="16" w:type="dxa"/>
              <w:left w:w="16" w:type="dxa"/>
              <w:right w:w="16" w:type="dxa"/>
            </w:tcMar>
            <w:vAlign w:val="center"/>
          </w:tcPr>
          <w:p w14:paraId="13ED140D">
            <w:pPr>
              <w:pStyle w:val="45"/>
              <w:bidi w:val="0"/>
              <w:ind w:left="0" w:leftChars="0" w:firstLine="0" w:firstLineChars="0"/>
              <w:jc w:val="center"/>
              <w:rPr>
                <w:rFonts w:hint="eastAsia" w:eastAsia="宋体"/>
                <w:color w:val="0000FF"/>
                <w:lang w:eastAsia="zh-CN"/>
              </w:rPr>
            </w:pPr>
            <w:r>
              <w:rPr>
                <w:rFonts w:hint="eastAsia" w:eastAsia="宋体"/>
                <w:color w:val="auto"/>
                <w:lang w:eastAsia="zh-CN"/>
              </w:rPr>
              <w:t>无</w:t>
            </w:r>
          </w:p>
        </w:tc>
      </w:tr>
      <w:tr w14:paraId="67771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6FE7154F">
            <w:pPr>
              <w:pStyle w:val="35"/>
              <w:bidi w:val="0"/>
              <w:rPr>
                <w:rFonts w:hint="default" w:ascii="Times New Roman" w:hAnsi="Times New Roman" w:cs="Times New Roman"/>
                <w:color w:val="auto"/>
                <w:kern w:val="0"/>
              </w:rPr>
            </w:pPr>
            <w:r>
              <w:rPr>
                <w:rFonts w:hint="default"/>
                <w:color w:val="auto"/>
                <w:sz w:val="24"/>
                <w:szCs w:val="24"/>
              </w:rPr>
              <w:t>规划及规划环境影响评价符合性分析</w:t>
            </w:r>
          </w:p>
        </w:tc>
        <w:tc>
          <w:tcPr>
            <w:tcW w:w="7832" w:type="dxa"/>
            <w:gridSpan w:val="3"/>
            <w:tcMar>
              <w:top w:w="16" w:type="dxa"/>
              <w:left w:w="16" w:type="dxa"/>
              <w:right w:w="16" w:type="dxa"/>
            </w:tcMar>
            <w:vAlign w:val="center"/>
          </w:tcPr>
          <w:p w14:paraId="6C52BD7E">
            <w:pPr>
              <w:pStyle w:val="14"/>
              <w:adjustRightInd w:val="0"/>
              <w:snapToGrid w:val="0"/>
              <w:spacing w:line="360" w:lineRule="auto"/>
              <w:ind w:left="0" w:leftChars="0" w:firstLine="482" w:firstLineChars="200"/>
              <w:jc w:val="left"/>
              <w:rPr>
                <w:rFonts w:ascii="Times New Roman" w:hAnsi="Times New Roman" w:cs="Times New Roman"/>
                <w:b/>
                <w:bCs/>
                <w:color w:val="000000"/>
                <w:sz w:val="24"/>
                <w:highlight w:val="none"/>
              </w:rPr>
            </w:pPr>
            <w:r>
              <w:rPr>
                <w:rFonts w:hint="eastAsia" w:ascii="Times New Roman" w:hAnsi="Times New Roman" w:cs="Times New Roman"/>
                <w:b/>
                <w:color w:val="000000"/>
                <w:sz w:val="24"/>
                <w:highlight w:val="none"/>
                <w:lang w:val="en-US" w:eastAsia="zh-CN"/>
              </w:rPr>
              <w:t>1、项目</w:t>
            </w:r>
            <w:r>
              <w:rPr>
                <w:rFonts w:ascii="Times New Roman" w:hAnsi="Times New Roman" w:cs="Times New Roman"/>
                <w:b/>
                <w:color w:val="000000"/>
                <w:sz w:val="24"/>
                <w:highlight w:val="none"/>
              </w:rPr>
              <w:t>与</w:t>
            </w:r>
            <w:r>
              <w:rPr>
                <w:rFonts w:hint="eastAsia" w:ascii="Times New Roman" w:hAnsi="Times New Roman" w:cs="Times New Roman"/>
                <w:b/>
                <w:color w:val="000000"/>
                <w:sz w:val="24"/>
                <w:highlight w:val="none"/>
              </w:rPr>
              <w:t>《</w:t>
            </w:r>
            <w:r>
              <w:rPr>
                <w:rFonts w:ascii="Times New Roman" w:hAnsi="Times New Roman" w:cs="Times New Roman"/>
                <w:b/>
                <w:color w:val="000000"/>
                <w:sz w:val="24"/>
                <w:highlight w:val="none"/>
              </w:rPr>
              <w:t>云南省主体功能区规划</w:t>
            </w:r>
            <w:r>
              <w:rPr>
                <w:rFonts w:hint="eastAsia" w:ascii="Times New Roman" w:hAnsi="Times New Roman" w:cs="Times New Roman"/>
                <w:b/>
                <w:color w:val="000000"/>
                <w:sz w:val="24"/>
                <w:highlight w:val="none"/>
              </w:rPr>
              <w:t>》</w:t>
            </w:r>
            <w:r>
              <w:rPr>
                <w:rFonts w:ascii="Times New Roman" w:hAnsi="Times New Roman" w:cs="Times New Roman"/>
                <w:b/>
                <w:color w:val="000000"/>
                <w:sz w:val="24"/>
                <w:highlight w:val="none"/>
              </w:rPr>
              <w:t>的符合性分析</w:t>
            </w:r>
          </w:p>
          <w:p w14:paraId="7E3E8164">
            <w:pPr>
              <w:adjustRightInd w:val="0"/>
              <w:snapToGrid w:val="0"/>
              <w:spacing w:line="360" w:lineRule="auto"/>
              <w:ind w:firstLine="480" w:firstLineChars="200"/>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2014年1月6日，云南省人民政府以“云政发</w:t>
            </w:r>
            <w:r>
              <w:rPr>
                <w:rFonts w:hint="eastAsia" w:ascii="Times New Roman" w:hAnsi="Times New Roman" w:cs="Times New Roman"/>
                <w:color w:val="000000"/>
                <w:sz w:val="24"/>
                <w:szCs w:val="22"/>
                <w:highlight w:val="none"/>
                <w:lang w:eastAsia="zh-CN"/>
              </w:rPr>
              <w:t>〔</w:t>
            </w:r>
            <w:r>
              <w:rPr>
                <w:rFonts w:ascii="Times New Roman" w:hAnsi="Times New Roman" w:cs="Times New Roman"/>
                <w:color w:val="000000"/>
                <w:sz w:val="24"/>
                <w:szCs w:val="22"/>
                <w:highlight w:val="none"/>
              </w:rPr>
              <w:t>2014</w:t>
            </w:r>
            <w:r>
              <w:rPr>
                <w:rFonts w:hint="eastAsia" w:ascii="Times New Roman" w:hAnsi="Times New Roman" w:cs="Times New Roman"/>
                <w:color w:val="000000"/>
                <w:sz w:val="24"/>
                <w:szCs w:val="22"/>
                <w:highlight w:val="none"/>
                <w:lang w:eastAsia="zh-CN"/>
              </w:rPr>
              <w:t>〕</w:t>
            </w:r>
            <w:r>
              <w:rPr>
                <w:rFonts w:ascii="Times New Roman" w:hAnsi="Times New Roman" w:cs="Times New Roman"/>
                <w:color w:val="000000"/>
                <w:sz w:val="24"/>
                <w:szCs w:val="22"/>
                <w:highlight w:val="none"/>
              </w:rPr>
              <w:t>1号”发布了《云南省主体功能区划》，该规划将全省国土空间按照开发方式分为重点开发区域、限制开发区域和禁止开发区域3类主体功能区。其中禁止开发区包括了国家级、省级</w:t>
            </w:r>
            <w:r>
              <w:rPr>
                <w:rFonts w:hint="eastAsia" w:ascii="Times New Roman" w:hAnsi="Times New Roman" w:cs="Times New Roman"/>
                <w:color w:val="000000"/>
                <w:sz w:val="24"/>
                <w:szCs w:val="22"/>
                <w:highlight w:val="none"/>
                <w:lang w:eastAsia="zh-CN"/>
              </w:rPr>
              <w:t>、</w:t>
            </w:r>
            <w:r>
              <w:rPr>
                <w:rFonts w:ascii="Times New Roman" w:hAnsi="Times New Roman" w:cs="Times New Roman"/>
                <w:color w:val="000000"/>
                <w:sz w:val="24"/>
                <w:szCs w:val="22"/>
                <w:highlight w:val="none"/>
              </w:rPr>
              <w:t>州市级和县级的自然保护区、世界自然和文化遗产地，国家级、省级风景名胜区国家级、省级森林公园，国家级地质公园，城市集中饮用水源保护区，国家湿地公园，国家级水产种质资源保护区，以及牛栏江流域上游保护区水源保护核心区等。重点开发区包括国家层面如昆明市、玉溪市、曲靖市和楚雄州的27个县市区和12个乡镇，以及省级层面集中连片重点开发区域的16个县市区。限制开发区域包括农产品主产区和重点生态功能区。</w:t>
            </w:r>
          </w:p>
          <w:p w14:paraId="6CF2CCE0">
            <w:pPr>
              <w:adjustRightInd w:val="0"/>
              <w:snapToGrid w:val="0"/>
              <w:spacing w:line="360" w:lineRule="auto"/>
              <w:ind w:firstLine="480" w:firstLineChars="200"/>
              <w:rPr>
                <w:rFonts w:ascii="Times New Roman" w:hAnsi="Times New Roman" w:cs="Times New Roman"/>
                <w:color w:val="000000"/>
                <w:sz w:val="24"/>
                <w:szCs w:val="22"/>
                <w:highlight w:val="none"/>
              </w:rPr>
            </w:pPr>
            <w:r>
              <w:rPr>
                <w:rFonts w:ascii="Times New Roman" w:hAnsi="Times New Roman" w:cs="Times New Roman"/>
                <w:color w:val="000000"/>
                <w:sz w:val="24"/>
                <w:szCs w:val="22"/>
                <w:highlight w:val="none"/>
              </w:rPr>
              <w:t>《云南省主体功能区划》指出，能源开发与布局的开发原则</w:t>
            </w:r>
            <w:r>
              <w:rPr>
                <w:rFonts w:hint="eastAsia" w:ascii="Times New Roman" w:hAnsi="Times New Roman" w:cs="Times New Roman"/>
                <w:color w:val="000000"/>
                <w:sz w:val="24"/>
                <w:szCs w:val="22"/>
                <w:highlight w:val="none"/>
              </w:rPr>
              <w:t>：</w:t>
            </w:r>
            <w:r>
              <w:rPr>
                <w:rFonts w:ascii="Times New Roman" w:hAnsi="Times New Roman" w:cs="Times New Roman"/>
                <w:color w:val="000000"/>
                <w:sz w:val="24"/>
                <w:szCs w:val="22"/>
                <w:highlight w:val="none"/>
              </w:rPr>
              <w:t>应继续实施西电东送战略，建成西电东送清洁能源基地、国家四大能源战略通道之一，在保障云南省需求的基础上，外送富余部分清洁能源。围绕优化产业结构、促进低碳转型目标，大力发展清洁可再生能源，着力构筑稳定、经济、清洁、安全的能源体系。通过将流域生态保护作为能源开发的重要目标，加强生态恢复，环境治理。</w:t>
            </w:r>
          </w:p>
          <w:p w14:paraId="61286BA5">
            <w:pPr>
              <w:adjustRightInd w:val="0"/>
              <w:snapToGrid w:val="0"/>
              <w:spacing w:line="360" w:lineRule="auto"/>
              <w:ind w:firstLine="480" w:firstLineChars="200"/>
              <w:jc w:val="left"/>
            </w:pPr>
            <w:r>
              <w:rPr>
                <w:rFonts w:ascii="Times New Roman" w:hAnsi="Times New Roman" w:cs="Times New Roman"/>
                <w:color w:val="000000"/>
                <w:sz w:val="24"/>
                <w:szCs w:val="22"/>
                <w:highlight w:val="none"/>
              </w:rPr>
              <w:t>根据云南省主体功能区划</w:t>
            </w:r>
            <w:r>
              <w:rPr>
                <w:rFonts w:hint="eastAsia" w:ascii="Times New Roman" w:hAnsi="Times New Roman" w:cs="Times New Roman"/>
                <w:color w:val="000000"/>
                <w:sz w:val="24"/>
                <w:szCs w:val="22"/>
                <w:highlight w:val="none"/>
              </w:rPr>
              <w:t>叠</w:t>
            </w:r>
            <w:r>
              <w:rPr>
                <w:rFonts w:ascii="Times New Roman" w:hAnsi="Times New Roman" w:cs="Times New Roman"/>
                <w:color w:val="000000"/>
                <w:sz w:val="24"/>
                <w:szCs w:val="22"/>
                <w:highlight w:val="none"/>
              </w:rPr>
              <w:t>图得知，本项目所在区域属于其中的限制开发区域</w:t>
            </w:r>
            <w:r>
              <w:rPr>
                <w:rFonts w:hint="eastAsia" w:ascii="Times New Roman" w:hAnsi="Times New Roman" w:cs="Times New Roman"/>
                <w:color w:val="000000"/>
                <w:sz w:val="24"/>
                <w:szCs w:val="22"/>
                <w:highlight w:val="none"/>
                <w:lang w:eastAsia="zh-CN"/>
              </w:rPr>
              <w:t>（</w:t>
            </w:r>
            <w:r>
              <w:rPr>
                <w:rFonts w:ascii="Times New Roman" w:hAnsi="Times New Roman" w:cs="Times New Roman"/>
                <w:color w:val="000000"/>
                <w:sz w:val="24"/>
                <w:szCs w:val="22"/>
                <w:highlight w:val="none"/>
              </w:rPr>
              <w:t>农产品开发主产区</w:t>
            </w:r>
            <w:r>
              <w:rPr>
                <w:rFonts w:hint="eastAsia" w:ascii="Times New Roman" w:hAnsi="Times New Roman" w:cs="Times New Roman"/>
                <w:color w:val="000000"/>
                <w:sz w:val="24"/>
                <w:szCs w:val="22"/>
                <w:highlight w:val="none"/>
                <w:lang w:eastAsia="zh-CN"/>
              </w:rPr>
              <w:t>）。</w:t>
            </w:r>
          </w:p>
          <w:p w14:paraId="11069894">
            <w:pPr>
              <w:adjustRightInd w:val="0"/>
              <w:snapToGrid w:val="0"/>
              <w:spacing w:line="360" w:lineRule="auto"/>
              <w:ind w:firstLine="480" w:firstLineChars="200"/>
              <w:rPr>
                <w:rFonts w:ascii="Times New Roman" w:hAnsi="Times New Roman" w:cs="Times New Roman"/>
                <w:color w:val="000000"/>
                <w:kern w:val="0"/>
                <w:sz w:val="24"/>
                <w:highlight w:val="yellow"/>
              </w:rPr>
            </w:pPr>
            <w:r>
              <w:rPr>
                <w:rFonts w:ascii="Times New Roman" w:hAnsi="Times New Roman" w:cs="Times New Roman"/>
                <w:color w:val="000000"/>
                <w:sz w:val="24"/>
                <w:szCs w:val="22"/>
                <w:highlight w:val="none"/>
              </w:rPr>
              <w:t>项目</w:t>
            </w:r>
            <w:r>
              <w:rPr>
                <w:rFonts w:hint="eastAsia"/>
                <w:color w:val="000000"/>
                <w:highlight w:val="none"/>
                <w:lang w:val="en-US" w:eastAsia="zh-CN"/>
              </w:rPr>
              <w:t>治理段起于大湾电站取水坝下游</w:t>
            </w:r>
            <w:r>
              <w:rPr>
                <w:rFonts w:hint="eastAsia"/>
                <w:color w:val="000000"/>
                <w:highlight w:val="none"/>
              </w:rPr>
              <w:t>，起点河道里程为K0+000</w:t>
            </w:r>
            <w:r>
              <w:rPr>
                <w:rFonts w:hint="eastAsia"/>
                <w:color w:val="000000"/>
                <w:highlight w:val="none"/>
                <w:lang w:val="en-US" w:eastAsia="zh-CN"/>
              </w:rPr>
              <w:t>.00</w:t>
            </w:r>
            <w:r>
              <w:rPr>
                <w:rFonts w:hint="eastAsia"/>
                <w:color w:val="000000"/>
                <w:highlight w:val="none"/>
              </w:rPr>
              <w:t>，</w:t>
            </w:r>
            <w:r>
              <w:rPr>
                <w:rFonts w:hint="eastAsia"/>
                <w:color w:val="000000"/>
                <w:highlight w:val="none"/>
                <w:lang w:eastAsia="zh-CN"/>
              </w:rPr>
              <w:t>止于</w:t>
            </w:r>
            <w:r>
              <w:rPr>
                <w:rFonts w:hint="eastAsia"/>
                <w:color w:val="000000"/>
                <w:highlight w:val="none"/>
                <w:lang w:val="en-US" w:eastAsia="zh-CN"/>
              </w:rPr>
              <w:t>大湾大沟取水坝</w:t>
            </w:r>
            <w:r>
              <w:rPr>
                <w:rFonts w:hint="eastAsia"/>
                <w:color w:val="000000"/>
                <w:highlight w:val="none"/>
              </w:rPr>
              <w:t>，终点河道里程为</w:t>
            </w:r>
            <w:r>
              <w:rPr>
                <w:rFonts w:hint="eastAsia"/>
                <w:color w:val="000000"/>
                <w:highlight w:val="none"/>
                <w:lang w:val="en-US" w:eastAsia="zh-CN"/>
              </w:rPr>
              <w:t>K3+830.00</w:t>
            </w:r>
            <w:r>
              <w:rPr>
                <w:rFonts w:hint="eastAsia" w:ascii="Times New Roman" w:hAnsi="Times New Roman" w:eastAsia="宋体" w:cs="Times New Roman"/>
                <w:color w:val="000000"/>
                <w:sz w:val="24"/>
                <w:highlight w:val="none"/>
              </w:rPr>
              <w:t>，</w:t>
            </w:r>
            <w:r>
              <w:rPr>
                <w:rFonts w:ascii="Times New Roman" w:hAnsi="Times New Roman" w:cs="Times New Roman"/>
                <w:color w:val="000000"/>
                <w:kern w:val="0"/>
                <w:sz w:val="24"/>
                <w:highlight w:val="none"/>
              </w:rPr>
              <w:t>根据《云南省主体功能区规划》，本项目所在区域属于其中的限制开发区域</w:t>
            </w:r>
            <w:r>
              <w:rPr>
                <w:rFonts w:hint="eastAsia" w:ascii="Times New Roman" w:hAnsi="Times New Roman" w:cs="Times New Roman"/>
                <w:color w:val="000000"/>
                <w:kern w:val="0"/>
                <w:sz w:val="24"/>
                <w:highlight w:val="none"/>
                <w:lang w:eastAsia="zh-CN"/>
              </w:rPr>
              <w:t>（</w:t>
            </w:r>
            <w:r>
              <w:rPr>
                <w:rFonts w:ascii="Times New Roman" w:hAnsi="Times New Roman" w:cs="Times New Roman"/>
                <w:color w:val="000000"/>
                <w:kern w:val="0"/>
                <w:sz w:val="24"/>
                <w:highlight w:val="none"/>
              </w:rPr>
              <w:t>农产品开发主产区</w:t>
            </w:r>
            <w:r>
              <w:rPr>
                <w:rFonts w:hint="eastAsia" w:ascii="Times New Roman" w:hAnsi="Times New Roman" w:cs="Times New Roman"/>
                <w:color w:val="000000"/>
                <w:kern w:val="0"/>
                <w:sz w:val="24"/>
                <w:highlight w:val="none"/>
                <w:lang w:eastAsia="zh-CN"/>
              </w:rPr>
              <w:t>）</w:t>
            </w:r>
            <w:r>
              <w:rPr>
                <w:rFonts w:ascii="Times New Roman" w:hAnsi="Times New Roman" w:cs="Times New Roman"/>
                <w:color w:val="000000"/>
                <w:kern w:val="0"/>
                <w:sz w:val="24"/>
                <w:highlight w:val="none"/>
              </w:rPr>
              <w:t>。功能定位</w:t>
            </w:r>
            <w:r>
              <w:rPr>
                <w:rFonts w:hint="eastAsia" w:ascii="Times New Roman" w:hAnsi="Times New Roman" w:cs="Times New Roman"/>
                <w:color w:val="000000"/>
                <w:kern w:val="0"/>
                <w:sz w:val="24"/>
                <w:highlight w:val="none"/>
              </w:rPr>
              <w:t>：</w:t>
            </w:r>
            <w:r>
              <w:rPr>
                <w:rFonts w:ascii="Times New Roman" w:hAnsi="Times New Roman" w:cs="Times New Roman"/>
                <w:color w:val="000000"/>
                <w:kern w:val="0"/>
                <w:sz w:val="24"/>
                <w:highlight w:val="none"/>
              </w:rPr>
              <w:t>以</w:t>
            </w:r>
            <w:r>
              <w:rPr>
                <w:rFonts w:hint="eastAsia" w:ascii="Times New Roman" w:hAnsi="Times New Roman" w:cs="Times New Roman"/>
                <w:color w:val="000000"/>
                <w:kern w:val="0"/>
                <w:sz w:val="24"/>
                <w:highlight w:val="none"/>
              </w:rPr>
              <w:t>大力</w:t>
            </w:r>
            <w:r>
              <w:rPr>
                <w:rFonts w:ascii="Times New Roman" w:hAnsi="Times New Roman" w:cs="Times New Roman"/>
                <w:color w:val="000000"/>
                <w:kern w:val="0"/>
                <w:sz w:val="24"/>
                <w:highlight w:val="none"/>
              </w:rPr>
              <w:t>发展高原特色农业为重点，切实保护耕地，稳定粮食生产，发展现代农业，增强农业综合生产能力</w:t>
            </w:r>
            <w:r>
              <w:rPr>
                <w:rFonts w:hint="eastAsia" w:ascii="Times New Roman" w:hAnsi="Times New Roman" w:cs="Times New Roman"/>
                <w:color w:val="000000"/>
                <w:kern w:val="0"/>
                <w:sz w:val="24"/>
                <w:highlight w:val="none"/>
              </w:rPr>
              <w:t>，</w:t>
            </w:r>
            <w:r>
              <w:rPr>
                <w:rFonts w:ascii="Times New Roman" w:hAnsi="Times New Roman" w:cs="Times New Roman"/>
                <w:color w:val="000000"/>
                <w:kern w:val="0"/>
                <w:sz w:val="24"/>
                <w:highlight w:val="none"/>
              </w:rPr>
              <w:t>增</w:t>
            </w:r>
            <w:r>
              <w:rPr>
                <w:rFonts w:hint="eastAsia" w:ascii="Times New Roman" w:hAnsi="Times New Roman" w:cs="Times New Roman"/>
                <w:color w:val="000000"/>
                <w:kern w:val="0"/>
                <w:sz w:val="24"/>
                <w:highlight w:val="none"/>
                <w:lang w:eastAsia="zh-CN"/>
              </w:rPr>
              <w:t>加</w:t>
            </w:r>
            <w:r>
              <w:rPr>
                <w:rFonts w:ascii="Times New Roman" w:hAnsi="Times New Roman" w:cs="Times New Roman"/>
                <w:color w:val="000000"/>
                <w:kern w:val="0"/>
                <w:sz w:val="24"/>
                <w:highlight w:val="none"/>
              </w:rPr>
              <w:t>农民收入，加快建设社会主义新农村，有效增强农产品供给保障能力，确保国家粮食安全和食品安全。</w:t>
            </w:r>
          </w:p>
          <w:p w14:paraId="4013A6D5">
            <w:pPr>
              <w:adjustRightInd w:val="0"/>
              <w:snapToGrid w:val="0"/>
              <w:spacing w:line="360" w:lineRule="auto"/>
              <w:ind w:firstLine="480" w:firstLineChars="200"/>
              <w:rPr>
                <w:rFonts w:ascii="Times New Roman" w:hAnsi="Times New Roman" w:cs="Times New Roman"/>
                <w:b/>
                <w:bCs/>
                <w:color w:val="000000"/>
                <w:sz w:val="24"/>
                <w:highlight w:val="none"/>
              </w:rPr>
            </w:pPr>
            <w:r>
              <w:rPr>
                <w:rFonts w:ascii="Times New Roman" w:hAnsi="Times New Roman" w:cs="Times New Roman"/>
                <w:color w:val="000000"/>
                <w:sz w:val="24"/>
                <w:szCs w:val="22"/>
                <w:highlight w:val="none"/>
              </w:rPr>
              <w:t>本项目不涉及自然保护区、世界文化自然遗产、风景名胜区、森林公园、地质公园、城市饮用水水源保护区、国家湿地公园、水产种质资源保护区、生态保护红线等敏感区域，不属于禁止开发区，而且</w:t>
            </w:r>
            <w:r>
              <w:rPr>
                <w:rFonts w:hint="eastAsia" w:ascii="Times New Roman" w:hAnsi="Times New Roman" w:cs="Times New Roman"/>
                <w:color w:val="000000"/>
                <w:sz w:val="24"/>
                <w:szCs w:val="22"/>
                <w:highlight w:val="none"/>
              </w:rPr>
              <w:t>本</w:t>
            </w:r>
            <w:r>
              <w:rPr>
                <w:rFonts w:ascii="Times New Roman" w:hAnsi="Times New Roman" w:cs="Times New Roman"/>
                <w:color w:val="000000"/>
                <w:sz w:val="24"/>
                <w:szCs w:val="22"/>
                <w:highlight w:val="none"/>
              </w:rPr>
              <w:t>项目</w:t>
            </w:r>
            <w:r>
              <w:rPr>
                <w:rFonts w:hint="eastAsia" w:ascii="Times New Roman" w:hAnsi="Times New Roman" w:cs="Times New Roman"/>
                <w:color w:val="000000"/>
                <w:sz w:val="24"/>
                <w:szCs w:val="22"/>
                <w:highlight w:val="none"/>
              </w:rPr>
              <w:t>属于</w:t>
            </w:r>
            <w:r>
              <w:rPr>
                <w:rFonts w:hint="eastAsia" w:ascii="Times New Roman" w:hAnsi="Times New Roman" w:cs="Times New Roman"/>
                <w:color w:val="000000"/>
                <w:spacing w:val="-9"/>
                <w:sz w:val="24"/>
                <w:highlight w:val="none"/>
                <w:lang w:bidi="zh-CN"/>
              </w:rPr>
              <w:t>河道治理工程</w:t>
            </w:r>
            <w:r>
              <w:rPr>
                <w:rFonts w:hint="eastAsia" w:ascii="Times New Roman" w:hAnsi="Times New Roman" w:eastAsia="宋体" w:cs="Times New Roman"/>
                <w:color w:val="000000"/>
                <w:spacing w:val="-9"/>
                <w:sz w:val="24"/>
                <w:highlight w:val="none"/>
                <w:lang w:bidi="zh-CN"/>
              </w:rPr>
              <w:t>，</w:t>
            </w:r>
            <w:r>
              <w:rPr>
                <w:rFonts w:ascii="Times New Roman" w:hAnsi="Times New Roman" w:cs="Times New Roman"/>
                <w:color w:val="000000"/>
                <w:sz w:val="24"/>
                <w:szCs w:val="22"/>
                <w:highlight w:val="none"/>
              </w:rPr>
              <w:t>不涉及新增</w:t>
            </w:r>
            <w:r>
              <w:rPr>
                <w:rFonts w:hint="eastAsia" w:ascii="Times New Roman" w:hAnsi="Times New Roman" w:cs="Times New Roman"/>
                <w:color w:val="000000"/>
                <w:sz w:val="24"/>
                <w:szCs w:val="22"/>
                <w:highlight w:val="none"/>
                <w:lang w:eastAsia="zh-CN"/>
              </w:rPr>
              <w:t>永久占地</w:t>
            </w:r>
            <w:r>
              <w:rPr>
                <w:rFonts w:ascii="Times New Roman" w:hAnsi="Times New Roman" w:cs="Times New Roman"/>
                <w:color w:val="000000"/>
                <w:sz w:val="24"/>
                <w:szCs w:val="22"/>
                <w:highlight w:val="none"/>
              </w:rPr>
              <w:t>。</w:t>
            </w:r>
            <w:r>
              <w:rPr>
                <w:rFonts w:hint="eastAsia" w:ascii="Times New Roman" w:hAnsi="Times New Roman" w:cs="Times New Roman"/>
                <w:color w:val="000000"/>
                <w:sz w:val="24"/>
                <w:szCs w:val="22"/>
                <w:highlight w:val="none"/>
                <w:lang w:eastAsia="zh-CN"/>
              </w:rPr>
              <w:t>本项目河道治理</w:t>
            </w:r>
            <w:r>
              <w:rPr>
                <w:rFonts w:hint="eastAsia"/>
                <w:color w:val="auto"/>
                <w:lang w:val="en-US" w:eastAsia="zh-CN"/>
              </w:rPr>
              <w:t>主要以保护农田为主，治理段河道长3.83km，治理河段设计防洪标准为10年一遇，保护人口0.6万人，保护耕地0.4万亩。</w:t>
            </w:r>
            <w:r>
              <w:rPr>
                <w:rFonts w:ascii="Times New Roman" w:hAnsi="Times New Roman" w:cs="Times New Roman"/>
                <w:color w:val="000000"/>
                <w:sz w:val="24"/>
                <w:szCs w:val="22"/>
                <w:highlight w:val="none"/>
              </w:rPr>
              <w:t>因此，本项目符合云南省主体功能区划。</w:t>
            </w:r>
          </w:p>
          <w:p w14:paraId="014C46E2">
            <w:pPr>
              <w:pStyle w:val="14"/>
              <w:adjustRightInd w:val="0"/>
              <w:snapToGrid w:val="0"/>
              <w:spacing w:line="360" w:lineRule="auto"/>
              <w:ind w:left="0" w:leftChars="0" w:firstLine="482" w:firstLineChars="200"/>
              <w:jc w:val="left"/>
              <w:rPr>
                <w:rFonts w:ascii="Times New Roman" w:hAnsi="Times New Roman" w:cs="Times New Roman"/>
                <w:b/>
                <w:bCs/>
                <w:snapToGrid w:val="0"/>
                <w:color w:val="000000"/>
                <w:sz w:val="24"/>
                <w:highlight w:val="none"/>
              </w:rPr>
            </w:pPr>
            <w:r>
              <w:rPr>
                <w:rFonts w:hint="eastAsia" w:ascii="Times New Roman" w:hAnsi="Times New Roman" w:cs="Times New Roman"/>
                <w:b/>
                <w:bCs/>
                <w:color w:val="000000"/>
                <w:sz w:val="24"/>
                <w:highlight w:val="none"/>
                <w:lang w:val="en-US" w:eastAsia="zh-CN"/>
              </w:rPr>
              <w:t>2</w:t>
            </w:r>
            <w:r>
              <w:rPr>
                <w:rFonts w:ascii="Times New Roman" w:hAnsi="Times New Roman" w:cs="Times New Roman"/>
                <w:b/>
                <w:bCs/>
                <w:color w:val="000000"/>
                <w:sz w:val="24"/>
                <w:highlight w:val="none"/>
              </w:rPr>
              <w:t>、与</w:t>
            </w:r>
            <w:r>
              <w:rPr>
                <w:rFonts w:hint="eastAsia" w:ascii="Times New Roman" w:hAnsi="Times New Roman" w:cs="Times New Roman"/>
                <w:b/>
                <w:bCs/>
                <w:color w:val="000000"/>
                <w:sz w:val="24"/>
                <w:highlight w:val="none"/>
              </w:rPr>
              <w:t>《</w:t>
            </w:r>
            <w:r>
              <w:rPr>
                <w:rFonts w:ascii="Times New Roman" w:hAnsi="Times New Roman" w:cs="Times New Roman"/>
                <w:b/>
                <w:bCs/>
                <w:color w:val="000000"/>
                <w:sz w:val="24"/>
                <w:highlight w:val="none"/>
              </w:rPr>
              <w:t>云南省生态功能区划</w:t>
            </w:r>
            <w:r>
              <w:rPr>
                <w:rFonts w:hint="eastAsia" w:ascii="Times New Roman" w:hAnsi="Times New Roman" w:cs="Times New Roman"/>
                <w:b/>
                <w:bCs/>
                <w:color w:val="000000"/>
                <w:sz w:val="24"/>
                <w:highlight w:val="none"/>
              </w:rPr>
              <w:t>》</w:t>
            </w:r>
            <w:r>
              <w:rPr>
                <w:rFonts w:ascii="Times New Roman" w:hAnsi="Times New Roman" w:cs="Times New Roman"/>
                <w:b/>
                <w:bCs/>
                <w:color w:val="000000"/>
                <w:sz w:val="24"/>
                <w:highlight w:val="none"/>
              </w:rPr>
              <w:t>的符合性分析</w:t>
            </w:r>
          </w:p>
          <w:p w14:paraId="47CB1A76">
            <w:pPr>
              <w:pStyle w:val="14"/>
              <w:adjustRightInd w:val="0"/>
              <w:snapToGrid w:val="0"/>
              <w:spacing w:line="360" w:lineRule="auto"/>
              <w:ind w:firstLine="480"/>
              <w:rPr>
                <w:rFonts w:ascii="Times New Roman" w:hAnsi="Times New Roman" w:cs="Times New Roman"/>
                <w:snapToGrid w:val="0"/>
                <w:color w:val="000000"/>
                <w:sz w:val="24"/>
                <w:highlight w:val="none"/>
              </w:rPr>
            </w:pPr>
            <w:r>
              <w:rPr>
                <w:rFonts w:ascii="Times New Roman" w:hAnsi="Times New Roman" w:cs="Times New Roman"/>
                <w:snapToGrid w:val="0"/>
                <w:color w:val="000000"/>
                <w:sz w:val="24"/>
                <w:highlight w:val="none"/>
              </w:rPr>
              <w:t>根据《云南省生态功能区划》，云南省生态功能区共分一级区（生态区）5个，二级区（生态亚区）19个，三级区（生态功能区）65个。</w:t>
            </w:r>
          </w:p>
          <w:p w14:paraId="41096C17">
            <w:pPr>
              <w:adjustRightInd w:val="0"/>
              <w:snapToGrid w:val="0"/>
              <w:spacing w:line="360" w:lineRule="auto"/>
              <w:ind w:firstLine="480" w:firstLineChars="200"/>
              <w:rPr>
                <w:rFonts w:hint="eastAsia" w:ascii="Times New Roman" w:hAnsi="Times New Roman" w:eastAsia="宋体" w:cs="Times New Roman"/>
                <w:color w:val="000000"/>
                <w:sz w:val="24"/>
                <w:szCs w:val="22"/>
                <w:highlight w:val="none"/>
                <w:lang w:val="en-US" w:eastAsia="zh-CN"/>
              </w:rPr>
            </w:pPr>
            <w:r>
              <w:rPr>
                <w:rFonts w:ascii="Times New Roman" w:hAnsi="Times New Roman" w:eastAsia="宋体" w:cs="Times New Roman"/>
                <w:color w:val="000000"/>
                <w:sz w:val="24"/>
                <w:szCs w:val="22"/>
                <w:highlight w:val="none"/>
              </w:rPr>
              <w:t>根据《云南省生态功能区划》</w:t>
            </w:r>
            <w:r>
              <w:rPr>
                <w:rFonts w:hint="eastAsia" w:ascii="Times New Roman" w:hAnsi="Times New Roman" w:eastAsia="宋体" w:cs="Times New Roman"/>
                <w:color w:val="000000"/>
                <w:sz w:val="24"/>
                <w:szCs w:val="22"/>
                <w:highlight w:val="none"/>
              </w:rPr>
              <w:t>叠</w:t>
            </w:r>
            <w:r>
              <w:rPr>
                <w:rFonts w:ascii="Times New Roman" w:hAnsi="Times New Roman" w:eastAsia="宋体" w:cs="Times New Roman"/>
                <w:color w:val="000000"/>
                <w:sz w:val="24"/>
                <w:szCs w:val="22"/>
                <w:highlight w:val="none"/>
              </w:rPr>
              <w:t>图得知，项目</w:t>
            </w:r>
            <w:r>
              <w:rPr>
                <w:rFonts w:hint="eastAsia" w:ascii="Times New Roman" w:hAnsi="Times New Roman" w:eastAsia="宋体" w:cs="Times New Roman"/>
                <w:color w:val="000000"/>
                <w:sz w:val="24"/>
                <w:szCs w:val="22"/>
                <w:highlight w:val="none"/>
                <w:lang w:eastAsia="zh-CN"/>
              </w:rPr>
              <w:t>所在地</w:t>
            </w:r>
            <w:r>
              <w:rPr>
                <w:rFonts w:ascii="Times New Roman" w:hAnsi="Times New Roman" w:eastAsia="宋体" w:cs="Times New Roman"/>
                <w:color w:val="000000"/>
                <w:sz w:val="24"/>
                <w:szCs w:val="22"/>
                <w:highlight w:val="none"/>
              </w:rPr>
              <w:t>属于I季风热带北缘热带雨林生态区，I3滇西南中山宽谷半常绿季雨林生态亚区，I3-1大盈江、南晚河下游中山丘陵农业生态功能区</w:t>
            </w:r>
            <w:r>
              <w:rPr>
                <w:rFonts w:hint="eastAsia" w:ascii="Times New Roman" w:hAnsi="Times New Roman" w:eastAsia="宋体" w:cs="Times New Roman"/>
                <w:color w:val="000000"/>
                <w:sz w:val="24"/>
                <w:szCs w:val="22"/>
                <w:highlight w:val="none"/>
              </w:rPr>
              <w:t>；</w:t>
            </w:r>
            <w:r>
              <w:rPr>
                <w:rFonts w:ascii="Times New Roman" w:hAnsi="Times New Roman" w:eastAsia="宋体" w:cs="Times New Roman"/>
                <w:color w:val="000000"/>
                <w:sz w:val="24"/>
                <w:szCs w:val="22"/>
                <w:highlight w:val="none"/>
              </w:rPr>
              <w:t>主要生态系统服务功能</w:t>
            </w:r>
            <w:r>
              <w:rPr>
                <w:rFonts w:hint="eastAsia" w:ascii="Times New Roman" w:hAnsi="Times New Roman" w:eastAsia="宋体" w:cs="Times New Roman"/>
                <w:color w:val="000000"/>
                <w:sz w:val="24"/>
                <w:szCs w:val="22"/>
                <w:highlight w:val="none"/>
              </w:rPr>
              <w:t>：</w:t>
            </w:r>
            <w:r>
              <w:rPr>
                <w:rFonts w:ascii="Times New Roman" w:hAnsi="Times New Roman" w:eastAsia="宋体" w:cs="Times New Roman"/>
                <w:color w:val="000000"/>
                <w:sz w:val="24"/>
                <w:szCs w:val="22"/>
                <w:highlight w:val="none"/>
              </w:rPr>
              <w:t>发展生态农业和以蔗糖为主热带作物、以澳洲坚果和柠檬为主的热带经济林。环境保护措施与发展方向</w:t>
            </w:r>
            <w:r>
              <w:rPr>
                <w:rFonts w:hint="eastAsia" w:ascii="Times New Roman" w:hAnsi="Times New Roman" w:eastAsia="宋体" w:cs="Times New Roman"/>
                <w:color w:val="000000"/>
                <w:sz w:val="24"/>
                <w:szCs w:val="22"/>
                <w:highlight w:val="none"/>
              </w:rPr>
              <w:t>：</w:t>
            </w:r>
            <w:r>
              <w:rPr>
                <w:rFonts w:ascii="Times New Roman" w:hAnsi="Times New Roman" w:eastAsia="宋体" w:cs="Times New Roman"/>
                <w:color w:val="000000"/>
                <w:sz w:val="24"/>
                <w:szCs w:val="22"/>
                <w:highlight w:val="none"/>
              </w:rPr>
              <w:t>保护农业生态环境，防止水土流失和旅游和边境贸易带来的环境污染，推行清洁生产，加强国际大通道的建设。</w:t>
            </w:r>
            <w:r>
              <w:rPr>
                <w:rFonts w:hint="eastAsia" w:ascii="Times New Roman" w:hAnsi="Times New Roman" w:eastAsia="宋体" w:cs="Times New Roman"/>
                <w:color w:val="000000"/>
                <w:sz w:val="24"/>
                <w:szCs w:val="22"/>
                <w:highlight w:val="none"/>
                <w:lang w:val="en-US" w:eastAsia="zh-CN"/>
              </w:rPr>
              <w:t xml:space="preserve">   </w:t>
            </w:r>
          </w:p>
          <w:p w14:paraId="5B9948EF">
            <w:pPr>
              <w:adjustRightInd w:val="0"/>
              <w:snapToGrid w:val="0"/>
              <w:spacing w:line="360" w:lineRule="auto"/>
              <w:ind w:firstLine="480" w:firstLineChars="200"/>
              <w:rPr>
                <w:rFonts w:hint="eastAsia" w:ascii="Times New Roman" w:hAnsi="Times New Roman" w:eastAsia="宋体" w:cs="Times New Roman"/>
                <w:spacing w:val="0"/>
                <w:sz w:val="24"/>
                <w:szCs w:val="24"/>
                <w:lang w:val="en-US" w:eastAsia="zh-CN"/>
              </w:rPr>
            </w:pPr>
            <w:r>
              <w:rPr>
                <w:color w:val="auto"/>
              </w:rPr>
              <w:t>本项目为防洪除涝工程，项目的建设有利于提供河道防洪能力，保障人民财产安全的同时，能够有效保护耕地及农田</w:t>
            </w:r>
            <w:r>
              <w:rPr>
                <w:rFonts w:hint="eastAsia"/>
                <w:color w:val="auto"/>
                <w:lang w:eastAsia="zh-CN"/>
              </w:rPr>
              <w:t>。</w:t>
            </w:r>
            <w:r>
              <w:rPr>
                <w:rFonts w:ascii="Times New Roman" w:hAnsi="Times New Roman" w:eastAsia="宋体" w:cs="Times New Roman"/>
                <w:color w:val="000000"/>
                <w:sz w:val="24"/>
                <w:szCs w:val="22"/>
                <w:highlight w:val="none"/>
              </w:rPr>
              <w:t>项目距离自然保护区</w:t>
            </w:r>
            <w:r>
              <w:rPr>
                <w:rFonts w:ascii="Times New Roman" w:hAnsi="Times New Roman" w:eastAsia="宋体" w:cs="Times New Roman"/>
                <w:color w:val="000000"/>
                <w:sz w:val="24"/>
                <w:szCs w:val="24"/>
                <w:highlight w:val="none"/>
              </w:rPr>
              <w:t>较远，</w:t>
            </w:r>
            <w:r>
              <w:rPr>
                <w:rFonts w:hint="eastAsia"/>
                <w:color w:val="auto"/>
                <w:sz w:val="24"/>
                <w:szCs w:val="24"/>
                <w:lang w:eastAsia="zh-CN"/>
              </w:rPr>
              <w:t>项目不涉及永久占地，</w:t>
            </w:r>
            <w:r>
              <w:rPr>
                <w:rFonts w:hint="eastAsia"/>
                <w:color w:val="auto"/>
                <w:sz w:val="24"/>
                <w:szCs w:val="24"/>
                <w:lang w:val="en-US" w:eastAsia="zh-CN"/>
              </w:rPr>
              <w:t>项目占地仅为临时占地包括旱地0.94hm</w:t>
            </w:r>
            <w:r>
              <w:rPr>
                <w:rFonts w:hint="eastAsia"/>
                <w:color w:val="auto"/>
                <w:sz w:val="24"/>
                <w:szCs w:val="24"/>
                <w:vertAlign w:val="superscript"/>
                <w:lang w:val="en-US" w:eastAsia="zh-CN"/>
              </w:rPr>
              <w:t>2</w:t>
            </w:r>
            <w:r>
              <w:rPr>
                <w:rFonts w:hint="eastAsia"/>
                <w:color w:val="auto"/>
                <w:sz w:val="24"/>
                <w:szCs w:val="24"/>
                <w:lang w:val="en-US" w:eastAsia="zh-CN"/>
              </w:rPr>
              <w:t>、园地0.42hm</w:t>
            </w:r>
            <w:r>
              <w:rPr>
                <w:rFonts w:hint="eastAsia"/>
                <w:color w:val="auto"/>
                <w:sz w:val="24"/>
                <w:szCs w:val="24"/>
                <w:vertAlign w:val="superscript"/>
                <w:lang w:val="en-US" w:eastAsia="zh-CN"/>
              </w:rPr>
              <w:t>2</w:t>
            </w:r>
            <w:r>
              <w:rPr>
                <w:rFonts w:hint="eastAsia"/>
                <w:color w:val="auto"/>
                <w:sz w:val="24"/>
                <w:szCs w:val="24"/>
                <w:lang w:val="en-US" w:eastAsia="zh-CN"/>
              </w:rPr>
              <w:t>、水田0.78hm</w:t>
            </w:r>
            <w:r>
              <w:rPr>
                <w:rFonts w:hint="eastAsia"/>
                <w:color w:val="auto"/>
                <w:sz w:val="24"/>
                <w:szCs w:val="24"/>
                <w:vertAlign w:val="superscript"/>
                <w:lang w:val="en-US" w:eastAsia="zh-CN"/>
              </w:rPr>
              <w:t>2</w:t>
            </w:r>
            <w:r>
              <w:rPr>
                <w:rFonts w:hint="eastAsia"/>
                <w:color w:val="auto"/>
                <w:sz w:val="24"/>
                <w:szCs w:val="24"/>
                <w:lang w:val="en-US" w:eastAsia="zh-CN"/>
              </w:rPr>
              <w:t>。工程结束后，及时对临时用地恢复原有的使用功能</w:t>
            </w:r>
            <w:r>
              <w:rPr>
                <w:rFonts w:hint="eastAsia" w:ascii="Times New Roman" w:hAnsi="Times New Roman" w:eastAsia="宋体" w:cs="Times New Roman"/>
                <w:color w:val="000000"/>
                <w:sz w:val="24"/>
                <w:szCs w:val="24"/>
                <w:highlight w:val="none"/>
              </w:rPr>
              <w:t>，《符合云南省功能区划》的相关要求。</w:t>
            </w:r>
          </w:p>
        </w:tc>
      </w:tr>
      <w:tr w14:paraId="13EC9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575" w:type="dxa"/>
            <w:tcMar>
              <w:top w:w="16" w:type="dxa"/>
              <w:left w:w="16" w:type="dxa"/>
              <w:right w:w="16" w:type="dxa"/>
            </w:tcMar>
            <w:vAlign w:val="center"/>
          </w:tcPr>
          <w:p w14:paraId="2EE84527">
            <w:pPr>
              <w:pStyle w:val="35"/>
              <w:bidi w:val="0"/>
              <w:rPr>
                <w:rFonts w:hint="default" w:ascii="Times New Roman" w:hAnsi="Times New Roman" w:cs="Times New Roman"/>
                <w:color w:val="auto"/>
                <w:kern w:val="0"/>
              </w:rPr>
            </w:pPr>
            <w:bookmarkStart w:id="7" w:name="_Hlk56690880"/>
            <w:r>
              <w:rPr>
                <w:rFonts w:hint="default"/>
                <w:color w:val="auto"/>
                <w:sz w:val="24"/>
                <w:szCs w:val="24"/>
              </w:rPr>
              <w:t>其他符合性分析</w:t>
            </w:r>
            <w:bookmarkEnd w:id="7"/>
          </w:p>
        </w:tc>
        <w:tc>
          <w:tcPr>
            <w:tcW w:w="7832" w:type="dxa"/>
            <w:gridSpan w:val="3"/>
            <w:tcMar>
              <w:top w:w="16" w:type="dxa"/>
              <w:left w:w="16" w:type="dxa"/>
              <w:right w:w="16" w:type="dxa"/>
            </w:tcMar>
            <w:vAlign w:val="center"/>
          </w:tcPr>
          <w:p w14:paraId="737DA933">
            <w:pPr>
              <w:pStyle w:val="37"/>
              <w:bidi w:val="0"/>
              <w:rPr>
                <w:b/>
                <w:bCs/>
                <w:color w:val="auto"/>
              </w:rPr>
            </w:pPr>
            <w:r>
              <w:rPr>
                <w:rFonts w:hint="eastAsia"/>
                <w:b/>
                <w:bCs/>
                <w:color w:val="auto"/>
                <w:lang w:val="en-US" w:eastAsia="zh-CN"/>
              </w:rPr>
              <w:t>1、</w:t>
            </w:r>
            <w:r>
              <w:rPr>
                <w:b/>
                <w:bCs/>
                <w:color w:val="auto"/>
              </w:rPr>
              <w:t>项目与国家产业政策的符合性分析</w:t>
            </w:r>
          </w:p>
          <w:p w14:paraId="45A70219">
            <w:pPr>
              <w:pStyle w:val="37"/>
              <w:bidi w:val="0"/>
              <w:rPr>
                <w:color w:val="auto"/>
              </w:rPr>
            </w:pPr>
            <w:r>
              <w:rPr>
                <w:color w:val="auto"/>
              </w:rPr>
              <w:t>本项目属于《产业结构调整指导目录（</w:t>
            </w:r>
            <w:r>
              <w:rPr>
                <w:rFonts w:hint="eastAsia"/>
                <w:color w:val="auto"/>
                <w:lang w:val="en-US" w:eastAsia="zh-CN"/>
              </w:rPr>
              <w:t>2024</w:t>
            </w:r>
            <w:r>
              <w:rPr>
                <w:color w:val="auto"/>
              </w:rPr>
              <w:t>年本）</w:t>
            </w:r>
            <w:r>
              <w:rPr>
                <w:rFonts w:hint="eastAsia"/>
                <w:color w:val="auto"/>
                <w:lang w:eastAsia="zh-CN"/>
              </w:rPr>
              <w:t>》</w:t>
            </w:r>
            <w:r>
              <w:rPr>
                <w:color w:val="auto"/>
              </w:rPr>
              <w:t>鼓励类：第二大类：水利中第</w:t>
            </w:r>
            <w:r>
              <w:rPr>
                <w:rFonts w:hint="eastAsia"/>
                <w:color w:val="auto"/>
                <w:lang w:eastAsia="zh-CN"/>
              </w:rPr>
              <w:t>三</w:t>
            </w:r>
            <w:r>
              <w:rPr>
                <w:color w:val="auto"/>
              </w:rPr>
              <w:t>条</w:t>
            </w:r>
            <w:r>
              <w:rPr>
                <w:rFonts w:hint="eastAsia"/>
                <w:color w:val="auto"/>
                <w:lang w:eastAsia="zh-CN"/>
              </w:rPr>
              <w:t>防洪提升工程中的</w:t>
            </w:r>
            <w:r>
              <w:rPr>
                <w:color w:val="auto"/>
              </w:rPr>
              <w:t>江河湖海堤防建设及河道治理工程。</w:t>
            </w:r>
          </w:p>
          <w:p w14:paraId="0423DCD8">
            <w:pPr>
              <w:pStyle w:val="37"/>
              <w:bidi w:val="0"/>
              <w:rPr>
                <w:rFonts w:hint="eastAsia"/>
                <w:color w:val="auto"/>
                <w:lang w:eastAsia="zh-CN"/>
              </w:rPr>
            </w:pPr>
            <w:r>
              <w:rPr>
                <w:color w:val="auto"/>
              </w:rPr>
              <w:t>项目已取得</w:t>
            </w:r>
            <w:r>
              <w:rPr>
                <w:rFonts w:hint="eastAsia"/>
                <w:color w:val="auto"/>
                <w:lang w:eastAsia="zh-CN"/>
              </w:rPr>
              <w:t>《</w:t>
            </w:r>
            <w:r>
              <w:rPr>
                <w:rFonts w:hint="eastAsia"/>
                <w:color w:val="auto"/>
              </w:rPr>
              <w:t>德宏州水利局关于准予</w:t>
            </w:r>
            <w:r>
              <w:rPr>
                <w:rFonts w:hint="eastAsia"/>
                <w:color w:val="auto"/>
                <w:lang w:val="en-US" w:eastAsia="zh-CN"/>
              </w:rPr>
              <w:t>芒市大河新桥电站至洞坎大桥段河道治理工程</w:t>
            </w:r>
            <w:r>
              <w:rPr>
                <w:rFonts w:hint="eastAsia"/>
                <w:color w:val="auto"/>
              </w:rPr>
              <w:t>初步设计报告的行政许可决定书</w:t>
            </w:r>
            <w:r>
              <w:rPr>
                <w:rFonts w:hint="eastAsia"/>
                <w:color w:val="auto"/>
                <w:lang w:eastAsia="zh-CN"/>
              </w:rPr>
              <w:t>》（</w:t>
            </w:r>
            <w:r>
              <w:rPr>
                <w:rFonts w:hint="eastAsia"/>
                <w:b/>
                <w:bCs/>
                <w:color w:val="auto"/>
                <w:lang w:eastAsia="zh-CN"/>
              </w:rPr>
              <w:t>详见附件</w:t>
            </w:r>
            <w:r>
              <w:rPr>
                <w:rFonts w:hint="eastAsia"/>
                <w:b/>
                <w:bCs/>
                <w:color w:val="auto"/>
                <w:lang w:val="en-US" w:eastAsia="zh-CN"/>
              </w:rPr>
              <w:t>2</w:t>
            </w:r>
            <w:r>
              <w:rPr>
                <w:rFonts w:hint="eastAsia"/>
                <w:color w:val="auto"/>
                <w:lang w:eastAsia="zh-CN"/>
              </w:rPr>
              <w:t>），本项目建设符合国家</w:t>
            </w:r>
            <w:r>
              <w:rPr>
                <w:rFonts w:hint="eastAsia"/>
                <w:color w:val="auto"/>
                <w:lang w:val="en-US" w:eastAsia="zh-CN"/>
              </w:rPr>
              <w:t>和地方</w:t>
            </w:r>
            <w:r>
              <w:rPr>
                <w:rFonts w:hint="eastAsia"/>
                <w:color w:val="auto"/>
                <w:lang w:eastAsia="zh-CN"/>
              </w:rPr>
              <w:t>产业政策要求。</w:t>
            </w:r>
          </w:p>
          <w:p w14:paraId="7AF3D845">
            <w:pPr>
              <w:pStyle w:val="37"/>
              <w:bidi w:val="0"/>
              <w:rPr>
                <w:b/>
                <w:bCs/>
                <w:color w:val="auto"/>
              </w:rPr>
            </w:pPr>
            <w:r>
              <w:rPr>
                <w:rFonts w:hint="eastAsia"/>
                <w:b/>
                <w:bCs/>
                <w:color w:val="auto"/>
                <w:lang w:val="en-US" w:eastAsia="zh-CN"/>
              </w:rPr>
              <w:t>2</w:t>
            </w:r>
            <w:r>
              <w:rPr>
                <w:b/>
                <w:bCs/>
                <w:color w:val="auto"/>
              </w:rPr>
              <w:t>、</w:t>
            </w:r>
            <w:r>
              <w:rPr>
                <w:rFonts w:hint="eastAsia"/>
                <w:b/>
                <w:bCs/>
                <w:color w:val="auto"/>
                <w:lang w:eastAsia="zh-CN"/>
              </w:rPr>
              <w:t>“三线一单”的</w:t>
            </w:r>
            <w:r>
              <w:rPr>
                <w:rFonts w:hint="default"/>
                <w:b/>
                <w:bCs/>
                <w:color w:val="auto"/>
              </w:rPr>
              <w:t>符合性分析</w:t>
            </w:r>
          </w:p>
          <w:p w14:paraId="51009DEE">
            <w:pPr>
              <w:pStyle w:val="37"/>
              <w:bidi w:val="0"/>
              <w:rPr>
                <w:rFonts w:hint="default"/>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）项目与德宏州“三线一单”的</w:t>
            </w:r>
            <w:r>
              <w:rPr>
                <w:rFonts w:hint="default"/>
                <w:b/>
                <w:bCs/>
                <w:color w:val="auto"/>
              </w:rPr>
              <w:t>符合性分析</w:t>
            </w:r>
          </w:p>
          <w:p w14:paraId="1D6450B9">
            <w:pPr>
              <w:pStyle w:val="4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w:t>
            </w:r>
            <w:r>
              <w:rPr>
                <w:rFonts w:hint="eastAsia" w:cs="Times New Roman"/>
                <w:b/>
                <w:bCs/>
                <w:color w:val="auto"/>
                <w:sz w:val="21"/>
                <w:szCs w:val="21"/>
                <w:highlight w:val="none"/>
                <w:lang w:eastAsia="zh-CN"/>
              </w:rPr>
              <w:t>项目与德宏州</w:t>
            </w:r>
            <w:r>
              <w:rPr>
                <w:rFonts w:hint="default" w:ascii="Times New Roman" w:hAnsi="Times New Roman" w:cs="Times New Roman"/>
                <w:b/>
                <w:bCs/>
                <w:color w:val="auto"/>
                <w:sz w:val="21"/>
                <w:szCs w:val="21"/>
                <w:highlight w:val="none"/>
              </w:rPr>
              <w:t>“三线一单”符合性分析</w:t>
            </w:r>
          </w:p>
          <w:tbl>
            <w:tblPr>
              <w:tblStyle w:val="24"/>
              <w:tblW w:w="49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340"/>
              <w:gridCol w:w="3715"/>
              <w:gridCol w:w="871"/>
            </w:tblGrid>
            <w:tr w14:paraId="3BAAC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490" w:type="pct"/>
                  <w:tcBorders>
                    <w:tl2br w:val="nil"/>
                    <w:tr2bl w:val="nil"/>
                  </w:tcBorders>
                  <w:vAlign w:val="center"/>
                </w:tcPr>
                <w:p w14:paraId="2ADAB705">
                  <w:pPr>
                    <w:pStyle w:val="35"/>
                    <w:bidi w:val="0"/>
                    <w:rPr>
                      <w:rFonts w:hint="default"/>
                      <w:b/>
                      <w:bCs/>
                      <w:color w:val="auto"/>
                    </w:rPr>
                  </w:pPr>
                  <w:r>
                    <w:rPr>
                      <w:rFonts w:hint="default"/>
                      <w:b/>
                      <w:bCs/>
                      <w:color w:val="auto"/>
                    </w:rPr>
                    <w:t>项目</w:t>
                  </w:r>
                </w:p>
              </w:tc>
              <w:tc>
                <w:tcPr>
                  <w:tcW w:w="1523" w:type="pct"/>
                  <w:tcBorders>
                    <w:tl2br w:val="nil"/>
                    <w:tr2bl w:val="nil"/>
                  </w:tcBorders>
                  <w:vAlign w:val="center"/>
                </w:tcPr>
                <w:p w14:paraId="556FD026">
                  <w:pPr>
                    <w:pStyle w:val="35"/>
                    <w:bidi w:val="0"/>
                    <w:rPr>
                      <w:rFonts w:hint="eastAsia" w:eastAsia="宋体"/>
                      <w:b/>
                      <w:bCs/>
                      <w:color w:val="auto"/>
                      <w:lang w:val="en-US" w:eastAsia="zh-CN"/>
                    </w:rPr>
                  </w:pPr>
                  <w:r>
                    <w:rPr>
                      <w:rFonts w:hint="default"/>
                      <w:b/>
                      <w:bCs/>
                      <w:color w:val="auto"/>
                    </w:rPr>
                    <w:t>文件要求</w:t>
                  </w:r>
                  <w:r>
                    <w:rPr>
                      <w:rFonts w:hint="eastAsia"/>
                      <w:b/>
                      <w:bCs/>
                      <w:color w:val="auto"/>
                      <w:lang w:val="en-US" w:eastAsia="zh-CN"/>
                    </w:rPr>
                    <w:t xml:space="preserve"> </w:t>
                  </w:r>
                </w:p>
              </w:tc>
              <w:tc>
                <w:tcPr>
                  <w:tcW w:w="2418" w:type="pct"/>
                  <w:tcBorders>
                    <w:tl2br w:val="nil"/>
                    <w:tr2bl w:val="nil"/>
                  </w:tcBorders>
                  <w:vAlign w:val="center"/>
                </w:tcPr>
                <w:p w14:paraId="48A5B986">
                  <w:pPr>
                    <w:pStyle w:val="35"/>
                    <w:bidi w:val="0"/>
                    <w:rPr>
                      <w:rFonts w:hint="default"/>
                      <w:b/>
                      <w:bCs/>
                      <w:color w:val="auto"/>
                    </w:rPr>
                  </w:pPr>
                  <w:r>
                    <w:rPr>
                      <w:rFonts w:hint="default"/>
                      <w:b/>
                      <w:bCs/>
                      <w:color w:val="auto"/>
                    </w:rPr>
                    <w:t>本项目</w:t>
                  </w:r>
                </w:p>
              </w:tc>
              <w:tc>
                <w:tcPr>
                  <w:tcW w:w="567" w:type="pct"/>
                  <w:tcBorders>
                    <w:tl2br w:val="nil"/>
                    <w:tr2bl w:val="nil"/>
                  </w:tcBorders>
                  <w:vAlign w:val="center"/>
                </w:tcPr>
                <w:p w14:paraId="0EFA40BC">
                  <w:pPr>
                    <w:pStyle w:val="35"/>
                    <w:bidi w:val="0"/>
                    <w:rPr>
                      <w:rFonts w:hint="default"/>
                      <w:b/>
                      <w:bCs/>
                      <w:color w:val="auto"/>
                    </w:rPr>
                  </w:pPr>
                  <w:r>
                    <w:rPr>
                      <w:rFonts w:hint="default"/>
                      <w:b/>
                      <w:bCs/>
                      <w:color w:val="auto"/>
                    </w:rPr>
                    <w:t>符合性</w:t>
                  </w:r>
                </w:p>
              </w:tc>
            </w:tr>
            <w:tr w14:paraId="0AA26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1" w:hRule="atLeast"/>
                <w:jc w:val="center"/>
              </w:trPr>
              <w:tc>
                <w:tcPr>
                  <w:tcW w:w="490" w:type="pct"/>
                  <w:tcBorders>
                    <w:tl2br w:val="nil"/>
                    <w:tr2bl w:val="nil"/>
                  </w:tcBorders>
                  <w:vAlign w:val="center"/>
                </w:tcPr>
                <w:p w14:paraId="6CFED499">
                  <w:pPr>
                    <w:pStyle w:val="35"/>
                    <w:bidi w:val="0"/>
                    <w:rPr>
                      <w:rFonts w:hint="eastAsia" w:eastAsia="宋体"/>
                      <w:color w:val="auto"/>
                      <w:lang w:eastAsia="zh-CN"/>
                    </w:rPr>
                  </w:pPr>
                  <w:r>
                    <w:rPr>
                      <w:rFonts w:hint="default"/>
                      <w:color w:val="auto"/>
                    </w:rPr>
                    <w:t>生态保护红线</w:t>
                  </w:r>
                  <w:r>
                    <w:rPr>
                      <w:rFonts w:hint="eastAsia"/>
                      <w:color w:val="auto"/>
                      <w:lang w:eastAsia="zh-CN"/>
                    </w:rPr>
                    <w:t>和一般生态空间</w:t>
                  </w:r>
                </w:p>
              </w:tc>
              <w:tc>
                <w:tcPr>
                  <w:tcW w:w="1523" w:type="pct"/>
                  <w:tcBorders>
                    <w:tl2br w:val="nil"/>
                    <w:tr2bl w:val="nil"/>
                  </w:tcBorders>
                  <w:vAlign w:val="center"/>
                </w:tcPr>
                <w:p w14:paraId="671E59BA">
                  <w:pPr>
                    <w:pStyle w:val="35"/>
                    <w:bidi w:val="0"/>
                    <w:ind w:firstLine="420" w:firstLineChars="200"/>
                    <w:jc w:val="both"/>
                    <w:rPr>
                      <w:rFonts w:hint="eastAsia" w:eastAsia="宋体"/>
                      <w:color w:val="auto"/>
                      <w:lang w:eastAsia="zh-CN"/>
                    </w:rPr>
                  </w:pPr>
                  <w:r>
                    <w:rPr>
                      <w:rFonts w:hint="default"/>
                      <w:color w:val="auto"/>
                    </w:rPr>
                    <w:t>生态保护红线执行《云南省人民政府关于发布云南省生态保护红线的通知》（云政发〔2018〕32号）要求，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r>
                    <w:rPr>
                      <w:rFonts w:hint="eastAsia"/>
                      <w:color w:val="auto"/>
                      <w:lang w:eastAsia="zh-CN"/>
                    </w:rPr>
                    <w:t>。</w:t>
                  </w:r>
                </w:p>
              </w:tc>
              <w:tc>
                <w:tcPr>
                  <w:tcW w:w="2418" w:type="pct"/>
                  <w:tcBorders>
                    <w:tl2br w:val="nil"/>
                    <w:tr2bl w:val="nil"/>
                  </w:tcBorders>
                  <w:vAlign w:val="center"/>
                </w:tcPr>
                <w:p w14:paraId="3FF4ADD7">
                  <w:pPr>
                    <w:pStyle w:val="35"/>
                    <w:bidi w:val="0"/>
                    <w:ind w:firstLine="420" w:firstLineChars="200"/>
                    <w:jc w:val="both"/>
                    <w:rPr>
                      <w:rFonts w:hint="default"/>
                      <w:color w:val="auto"/>
                    </w:rPr>
                  </w:pPr>
                  <w:r>
                    <w:rPr>
                      <w:rFonts w:hint="default"/>
                      <w:lang w:val="en-US" w:eastAsia="zh-CN"/>
                    </w:rPr>
                    <w:t>本项目位于德宏州芒市芒市镇芒市大河坝区上游段。本次治理河道长度为</w:t>
                  </w:r>
                  <w:r>
                    <w:rPr>
                      <w:rFonts w:hint="eastAsia"/>
                      <w:lang w:val="en-US" w:eastAsia="zh-CN"/>
                    </w:rPr>
                    <w:t>3.8</w:t>
                  </w:r>
                  <w:r>
                    <w:rPr>
                      <w:rFonts w:hint="default"/>
                      <w:lang w:val="en-US" w:eastAsia="zh-CN"/>
                    </w:rPr>
                    <w:t>km，根据芒市自然资源局出具</w:t>
                  </w:r>
                  <w:r>
                    <w:rPr>
                      <w:rFonts w:hint="eastAsia"/>
                      <w:lang w:val="en-US" w:eastAsia="zh-CN"/>
                    </w:rPr>
                    <w:t>查询意见</w:t>
                  </w:r>
                  <w:r>
                    <w:rPr>
                      <w:rFonts w:hint="default" w:ascii="Times New Roman" w:hAnsi="Times New Roman" w:eastAsia="宋体" w:cs="Times New Roman"/>
                      <w:color w:val="000000"/>
                      <w:lang w:val="en-US" w:eastAsia="zh-CN"/>
                    </w:rPr>
                    <w:t>，</w:t>
                  </w:r>
                  <w:r>
                    <w:rPr>
                      <w:rFonts w:hint="default" w:ascii="Times New Roman" w:hAnsi="Times New Roman" w:eastAsia="宋体" w:cs="Times New Roman"/>
                      <w:color w:val="000000"/>
                      <w:lang w:eastAsia="zh-CN"/>
                    </w:rPr>
                    <w:t>本项目</w:t>
                  </w:r>
                  <w:r>
                    <w:rPr>
                      <w:rFonts w:hint="eastAsia" w:ascii="Times New Roman" w:hAnsi="Times New Roman" w:eastAsia="宋体" w:cs="Times New Roman"/>
                      <w:color w:val="000000"/>
                      <w:lang w:val="en-US" w:eastAsia="zh-CN"/>
                    </w:rPr>
                    <w:t>用地范围</w:t>
                  </w:r>
                  <w:r>
                    <w:rPr>
                      <w:rFonts w:hint="default" w:ascii="Times New Roman" w:hAnsi="Times New Roman" w:eastAsia="宋体" w:cs="Times New Roman"/>
                      <w:color w:val="000000"/>
                      <w:lang w:eastAsia="zh-CN"/>
                    </w:rPr>
                    <w:t>未涉及</w:t>
                  </w:r>
                  <w:r>
                    <w:rPr>
                      <w:rFonts w:hint="eastAsia" w:ascii="Times New Roman" w:hAnsi="Times New Roman" w:eastAsia="宋体" w:cs="Times New Roman"/>
                      <w:color w:val="000000"/>
                      <w:lang w:val="en-US" w:eastAsia="zh-CN"/>
                    </w:rPr>
                    <w:t>永久基本农田、</w:t>
                  </w:r>
                  <w:r>
                    <w:rPr>
                      <w:rFonts w:hint="default" w:ascii="Times New Roman" w:hAnsi="Times New Roman" w:eastAsia="宋体" w:cs="Times New Roman"/>
                      <w:color w:val="000000"/>
                      <w:lang w:eastAsia="zh-CN"/>
                    </w:rPr>
                    <w:t>生态</w:t>
                  </w:r>
                  <w:r>
                    <w:rPr>
                      <w:rFonts w:hint="eastAsia" w:ascii="Times New Roman" w:hAnsi="Times New Roman" w:eastAsia="宋体" w:cs="Times New Roman"/>
                      <w:color w:val="000000"/>
                      <w:lang w:val="en-US" w:eastAsia="zh-CN"/>
                    </w:rPr>
                    <w:t>保护</w:t>
                  </w:r>
                  <w:r>
                    <w:rPr>
                      <w:rFonts w:hint="default" w:ascii="Times New Roman" w:hAnsi="Times New Roman" w:eastAsia="宋体" w:cs="Times New Roman"/>
                      <w:color w:val="000000"/>
                      <w:lang w:eastAsia="zh-CN"/>
                    </w:rPr>
                    <w:t>红线</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lang w:val="en-US" w:eastAsia="zh-CN"/>
                    </w:rPr>
                    <w:t>不在城镇开发边界内</w:t>
                  </w:r>
                  <w:r>
                    <w:rPr>
                      <w:rFonts w:hint="eastAsia" w:ascii="Times New Roman" w:hAnsi="Times New Roman" w:eastAsia="宋体" w:cs="Times New Roman"/>
                      <w:color w:val="000000"/>
                      <w:lang w:eastAsia="zh-CN"/>
                    </w:rPr>
                    <w:t>。不属于</w:t>
                  </w:r>
                  <w:r>
                    <w:rPr>
                      <w:rFonts w:hint="default"/>
                      <w:color w:val="auto"/>
                    </w:rPr>
                    <w:t>未划入生态保护红线的自然保护区、国家公园、森林公园、风景名胜区、湿地公园、重要湿地、集中式饮用水水源地等生态功能重要区域、生态环境敏感区域划入一般生态空间</w:t>
                  </w:r>
                  <w:r>
                    <w:rPr>
                      <w:rFonts w:hint="eastAsia"/>
                      <w:color w:val="auto"/>
                      <w:lang w:eastAsia="zh-CN"/>
                    </w:rPr>
                    <w:t>。</w:t>
                  </w:r>
                  <w:r>
                    <w:rPr>
                      <w:rFonts w:hint="default" w:ascii="Times New Roman" w:hAnsi="Times New Roman" w:eastAsia="宋体" w:cs="Times New Roman"/>
                      <w:color w:val="000000"/>
                      <w:lang w:eastAsia="zh-CN"/>
                    </w:rPr>
                    <w:t>且本项目为环境友好型河道治理</w:t>
                  </w:r>
                  <w:r>
                    <w:rPr>
                      <w:rFonts w:hint="default" w:ascii="Times New Roman" w:hAnsi="Times New Roman" w:eastAsia="宋体" w:cs="Times New Roman"/>
                      <w:color w:val="000000"/>
                    </w:rPr>
                    <w:t>工程</w:t>
                  </w:r>
                  <w:r>
                    <w:rPr>
                      <w:rFonts w:hint="default" w:ascii="Times New Roman" w:hAnsi="Times New Roman" w:eastAsia="宋体" w:cs="Times New Roman"/>
                      <w:color w:val="000000"/>
                      <w:lang w:eastAsia="zh-CN"/>
                    </w:rPr>
                    <w:t>项目</w:t>
                  </w:r>
                  <w:r>
                    <w:rPr>
                      <w:rFonts w:hint="default" w:ascii="Times New Roman" w:hAnsi="Times New Roman" w:eastAsia="宋体" w:cs="Times New Roman"/>
                      <w:color w:val="000000"/>
                    </w:rPr>
                    <w:t>，</w:t>
                  </w:r>
                  <w:r>
                    <w:rPr>
                      <w:rFonts w:hint="default" w:ascii="Times New Roman" w:hAnsi="Times New Roman" w:eastAsia="宋体" w:cs="Times New Roman"/>
                      <w:color w:val="000000"/>
                      <w:lang w:eastAsia="zh-CN"/>
                    </w:rPr>
                    <w:t>工程实施后，有利于改善区域水生态环境、加速</w:t>
                  </w:r>
                  <w:r>
                    <w:rPr>
                      <w:rFonts w:hint="default"/>
                      <w:lang w:eastAsia="zh-CN"/>
                    </w:rPr>
                    <w:t>水体循环，也将对周边生态环境产生有利影响，工程施工结束后将立即对临时占地进行生态恢复，工程建设符合生态保护红线的管控要求</w:t>
                  </w:r>
                  <w:r>
                    <w:rPr>
                      <w:rFonts w:hint="default"/>
                      <w:color w:val="auto"/>
                    </w:rPr>
                    <w:t>。</w:t>
                  </w:r>
                </w:p>
              </w:tc>
              <w:tc>
                <w:tcPr>
                  <w:tcW w:w="567" w:type="pct"/>
                  <w:tcBorders>
                    <w:tl2br w:val="nil"/>
                    <w:tr2bl w:val="nil"/>
                  </w:tcBorders>
                  <w:vAlign w:val="center"/>
                </w:tcPr>
                <w:p w14:paraId="612EBFB4">
                  <w:pPr>
                    <w:pStyle w:val="35"/>
                    <w:bidi w:val="0"/>
                    <w:rPr>
                      <w:rFonts w:hint="eastAsia" w:eastAsia="宋体"/>
                      <w:color w:val="auto"/>
                      <w:lang w:eastAsia="zh-CN"/>
                    </w:rPr>
                  </w:pPr>
                  <w:r>
                    <w:rPr>
                      <w:rFonts w:hint="eastAsia"/>
                      <w:color w:val="auto"/>
                      <w:lang w:eastAsia="zh-CN"/>
                    </w:rPr>
                    <w:t>符合</w:t>
                  </w:r>
                </w:p>
              </w:tc>
            </w:tr>
            <w:tr w14:paraId="50B53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1" w:hRule="atLeast"/>
                <w:jc w:val="center"/>
              </w:trPr>
              <w:tc>
                <w:tcPr>
                  <w:tcW w:w="490" w:type="pct"/>
                  <w:vMerge w:val="restart"/>
                  <w:tcBorders>
                    <w:tl2br w:val="nil"/>
                    <w:tr2bl w:val="nil"/>
                  </w:tcBorders>
                  <w:vAlign w:val="center"/>
                </w:tcPr>
                <w:p w14:paraId="2935EDE2">
                  <w:pPr>
                    <w:pStyle w:val="35"/>
                    <w:bidi w:val="0"/>
                    <w:rPr>
                      <w:rFonts w:hint="default"/>
                      <w:color w:val="auto"/>
                    </w:rPr>
                  </w:pPr>
                  <w:r>
                    <w:rPr>
                      <w:rFonts w:hint="default"/>
                      <w:color w:val="auto"/>
                    </w:rPr>
                    <w:t>环境质量底线</w:t>
                  </w:r>
                </w:p>
              </w:tc>
              <w:tc>
                <w:tcPr>
                  <w:tcW w:w="1523" w:type="pct"/>
                  <w:tcBorders>
                    <w:tl2br w:val="nil"/>
                    <w:tr2bl w:val="nil"/>
                  </w:tcBorders>
                  <w:vAlign w:val="center"/>
                </w:tcPr>
                <w:p w14:paraId="575FC609">
                  <w:pPr>
                    <w:pStyle w:val="35"/>
                    <w:bidi w:val="0"/>
                    <w:ind w:firstLine="420" w:firstLineChars="200"/>
                    <w:jc w:val="both"/>
                    <w:rPr>
                      <w:rFonts w:hint="default"/>
                      <w:color w:val="auto"/>
                    </w:rPr>
                  </w:pPr>
                  <w:r>
                    <w:rPr>
                      <w:rFonts w:hint="eastAsia"/>
                      <w:color w:val="auto"/>
                      <w:lang w:val="en-US" w:eastAsia="zh-CN"/>
                    </w:rPr>
                    <w:t>1、</w:t>
                  </w:r>
                  <w:r>
                    <w:rPr>
                      <w:rFonts w:hint="default"/>
                      <w:color w:val="auto"/>
                    </w:rPr>
                    <w:t>水环境质量底线。到2025年，全州水环境质量总体优良， 9个河流地表水断面中优良水体断面（达到或优于Ⅲ类）比例稳定达到100%，“十四五”新增监测断面水质达标率100%，水生生态系统功能进一步提升，县市及以上集中式饮用水水源水质巩固改善。到2035年，全州水环境质量持续优良，水生生态系统全面提升，实现“人水和谐”。</w:t>
                  </w:r>
                </w:p>
              </w:tc>
              <w:tc>
                <w:tcPr>
                  <w:tcW w:w="2418" w:type="pct"/>
                  <w:tcBorders>
                    <w:tl2br w:val="nil"/>
                    <w:tr2bl w:val="nil"/>
                  </w:tcBorders>
                  <w:vAlign w:val="center"/>
                </w:tcPr>
                <w:p w14:paraId="32672CA0">
                  <w:pPr>
                    <w:pStyle w:val="35"/>
                    <w:bidi w:val="0"/>
                    <w:spacing w:line="240" w:lineRule="auto"/>
                    <w:rPr>
                      <w:rFonts w:hint="default" w:eastAsia="宋体" w:cs="Times New Roman"/>
                      <w:color w:val="auto"/>
                      <w:spacing w:val="0"/>
                      <w:position w:val="0"/>
                      <w:sz w:val="21"/>
                      <w:szCs w:val="21"/>
                      <w:lang w:val="en-US" w:eastAsia="zh-CN"/>
                    </w:rPr>
                  </w:pPr>
                </w:p>
                <w:p w14:paraId="6FCCEAAE">
                  <w:pPr>
                    <w:pStyle w:val="35"/>
                    <w:bidi w:val="0"/>
                    <w:spacing w:line="240" w:lineRule="auto"/>
                    <w:ind w:firstLine="420" w:firstLineChars="200"/>
                    <w:jc w:val="both"/>
                    <w:rPr>
                      <w:rFonts w:hint="default" w:eastAsia="宋体" w:cs="Times New Roman"/>
                      <w:color w:val="auto"/>
                      <w:spacing w:val="0"/>
                      <w:position w:val="0"/>
                      <w:sz w:val="21"/>
                      <w:szCs w:val="21"/>
                      <w:lang w:val="en-US" w:eastAsia="zh-CN"/>
                    </w:rPr>
                  </w:pPr>
                  <w:r>
                    <w:rPr>
                      <w:rFonts w:hint="default" w:eastAsia="宋体" w:cs="Times New Roman"/>
                      <w:color w:val="auto"/>
                      <w:spacing w:val="0"/>
                      <w:position w:val="0"/>
                      <w:sz w:val="21"/>
                      <w:szCs w:val="21"/>
                      <w:lang w:val="en-US" w:eastAsia="zh-CN"/>
                    </w:rPr>
                    <w:t>项目涉及的地表水</w:t>
                  </w:r>
                  <w:r>
                    <w:rPr>
                      <w:rFonts w:hint="eastAsia" w:cs="Times New Roman"/>
                      <w:color w:val="auto"/>
                      <w:spacing w:val="0"/>
                      <w:position w:val="0"/>
                      <w:sz w:val="21"/>
                      <w:szCs w:val="21"/>
                      <w:lang w:val="en-US" w:eastAsia="zh-CN"/>
                    </w:rPr>
                    <w:t>为芒市大河，</w:t>
                  </w:r>
                  <w:r>
                    <w:rPr>
                      <w:rFonts w:hint="default" w:eastAsia="宋体" w:cs="Times New Roman"/>
                      <w:color w:val="auto"/>
                      <w:spacing w:val="0"/>
                      <w:position w:val="0"/>
                      <w:sz w:val="21"/>
                      <w:szCs w:val="21"/>
                      <w:lang w:val="en-US" w:eastAsia="zh-CN"/>
                    </w:rPr>
                    <w:t>可满足《地表水环境质量标准》（GB3838-2002）的III类标准</w:t>
                  </w:r>
                  <w:r>
                    <w:rPr>
                      <w:rFonts w:hint="eastAsia" w:cs="Times New Roman"/>
                      <w:color w:val="auto"/>
                      <w:spacing w:val="0"/>
                      <w:position w:val="0"/>
                      <w:sz w:val="21"/>
                      <w:szCs w:val="21"/>
                      <w:lang w:val="en-US" w:eastAsia="zh-CN"/>
                    </w:rPr>
                    <w:t>，</w:t>
                  </w:r>
                  <w:r>
                    <w:rPr>
                      <w:rFonts w:hint="default" w:eastAsia="宋体" w:cs="Times New Roman"/>
                      <w:color w:val="auto"/>
                      <w:spacing w:val="0"/>
                      <w:position w:val="0"/>
                      <w:sz w:val="21"/>
                      <w:szCs w:val="21"/>
                      <w:lang w:val="en-US" w:eastAsia="zh-CN"/>
                    </w:rPr>
                    <w:t>水环境质量良好</w:t>
                  </w:r>
                  <w:r>
                    <w:rPr>
                      <w:rFonts w:hint="eastAsia" w:cs="Times New Roman"/>
                      <w:color w:val="auto"/>
                      <w:spacing w:val="0"/>
                      <w:position w:val="0"/>
                      <w:sz w:val="21"/>
                      <w:szCs w:val="21"/>
                      <w:lang w:val="en-US" w:eastAsia="zh-CN"/>
                    </w:rPr>
                    <w:t>。</w:t>
                  </w:r>
                  <w:r>
                    <w:rPr>
                      <w:rFonts w:hint="default" w:eastAsia="宋体" w:cs="Times New Roman"/>
                      <w:color w:val="auto"/>
                      <w:spacing w:val="0"/>
                      <w:position w:val="0"/>
                      <w:sz w:val="21"/>
                      <w:szCs w:val="21"/>
                      <w:lang w:val="en-US" w:eastAsia="zh-CN"/>
                    </w:rPr>
                    <w:t>本工程是以防洪为主要任务的建设项目，施工废水处理后回用，对周边水体水环境影响很小，运行期工程本身不排放污染物，工程建设符合水环境质量底线要求。</w:t>
                  </w:r>
                </w:p>
                <w:p w14:paraId="77151BBE">
                  <w:pPr>
                    <w:spacing w:line="240" w:lineRule="auto"/>
                    <w:rPr>
                      <w:rFonts w:hint="default"/>
                      <w:lang w:val="en-US" w:eastAsia="zh-CN"/>
                    </w:rPr>
                  </w:pPr>
                </w:p>
              </w:tc>
              <w:tc>
                <w:tcPr>
                  <w:tcW w:w="567" w:type="pct"/>
                  <w:vMerge w:val="restart"/>
                  <w:tcBorders>
                    <w:tl2br w:val="nil"/>
                    <w:tr2bl w:val="nil"/>
                  </w:tcBorders>
                  <w:vAlign w:val="center"/>
                </w:tcPr>
                <w:p w14:paraId="0D3130B8">
                  <w:pPr>
                    <w:pStyle w:val="35"/>
                    <w:bidi w:val="0"/>
                    <w:rPr>
                      <w:rFonts w:hint="default"/>
                      <w:color w:val="auto"/>
                    </w:rPr>
                  </w:pPr>
                  <w:r>
                    <w:rPr>
                      <w:rFonts w:hint="default"/>
                      <w:color w:val="auto"/>
                    </w:rPr>
                    <w:t>符合</w:t>
                  </w:r>
                </w:p>
              </w:tc>
            </w:tr>
            <w:tr w14:paraId="3EC5C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490" w:type="pct"/>
                  <w:vMerge w:val="continue"/>
                  <w:tcBorders>
                    <w:tl2br w:val="nil"/>
                    <w:tr2bl w:val="nil"/>
                  </w:tcBorders>
                  <w:vAlign w:val="center"/>
                </w:tcPr>
                <w:p w14:paraId="08383CC1">
                  <w:pPr>
                    <w:pStyle w:val="35"/>
                    <w:bidi w:val="0"/>
                    <w:rPr>
                      <w:color w:val="auto"/>
                    </w:rPr>
                  </w:pPr>
                </w:p>
              </w:tc>
              <w:tc>
                <w:tcPr>
                  <w:tcW w:w="1523" w:type="pct"/>
                  <w:tcBorders>
                    <w:tl2br w:val="nil"/>
                    <w:tr2bl w:val="nil"/>
                  </w:tcBorders>
                  <w:vAlign w:val="center"/>
                </w:tcPr>
                <w:p w14:paraId="7CB5E010">
                  <w:pPr>
                    <w:pStyle w:val="35"/>
                    <w:bidi w:val="0"/>
                    <w:ind w:firstLine="420" w:firstLineChars="200"/>
                    <w:jc w:val="both"/>
                    <w:rPr>
                      <w:rFonts w:hint="default"/>
                      <w:color w:val="auto"/>
                    </w:rPr>
                  </w:pPr>
                  <w:r>
                    <w:rPr>
                      <w:rFonts w:hint="default"/>
                      <w:color w:val="auto"/>
                    </w:rPr>
                    <w:t>2</w:t>
                  </w:r>
                  <w:r>
                    <w:rPr>
                      <w:rFonts w:hint="eastAsia"/>
                      <w:color w:val="auto"/>
                      <w:lang w:eastAsia="zh-CN"/>
                    </w:rPr>
                    <w:t>、</w:t>
                  </w:r>
                  <w:r>
                    <w:rPr>
                      <w:rFonts w:hint="default"/>
                      <w:color w:val="auto"/>
                    </w:rPr>
                    <w:t>大气环境质量底线。到2025年，全州空气质量优良率达到省级要求，中心城市环境空气质量稳定达到国家二级标准。2035年，全州空气质量优良率保持稳定，中心城市、各县市城市环境空气质量稳定达到国家二级标准。</w:t>
                  </w:r>
                </w:p>
              </w:tc>
              <w:tc>
                <w:tcPr>
                  <w:tcW w:w="2418" w:type="pct"/>
                  <w:tcBorders>
                    <w:tl2br w:val="nil"/>
                    <w:tr2bl w:val="nil"/>
                  </w:tcBorders>
                  <w:vAlign w:val="center"/>
                </w:tcPr>
                <w:p w14:paraId="6CD45BD9">
                  <w:pPr>
                    <w:spacing w:line="240" w:lineRule="auto"/>
                    <w:rPr>
                      <w:rFonts w:hint="default"/>
                      <w:color w:val="0000FF"/>
                    </w:rPr>
                  </w:pPr>
                  <w:r>
                    <w:rPr>
                      <w:rFonts w:hint="default"/>
                      <w:color w:val="auto"/>
                      <w:sz w:val="21"/>
                      <w:szCs w:val="21"/>
                      <w:lang w:val="en-US" w:eastAsia="zh-CN"/>
                    </w:rPr>
                    <w:t>本工程施工期对大气环境的影响主要为土石方开挖产生的扬尘、车辆运输产生的道路扬尘、施工扬尘及机械车辆排放的燃油废气等，对大气环境影响范围较小、时间短</w:t>
                  </w:r>
                  <w:r>
                    <w:rPr>
                      <w:rFonts w:hint="eastAsia"/>
                      <w:color w:val="auto"/>
                      <w:sz w:val="21"/>
                      <w:szCs w:val="21"/>
                      <w:lang w:val="en-US" w:eastAsia="zh-CN"/>
                    </w:rPr>
                    <w:t>。</w:t>
                  </w:r>
                  <w:r>
                    <w:rPr>
                      <w:rFonts w:hint="default"/>
                      <w:color w:val="auto"/>
                      <w:sz w:val="21"/>
                      <w:szCs w:val="21"/>
                      <w:lang w:val="en-US" w:eastAsia="zh-CN"/>
                    </w:rPr>
                    <w:t>由于施工区地形开阔，扩散条件较好，施工期对施工场进行洒水降尘，堆放物料进行遮盖，及时进行地面清扫，减轻施工扬尘对周围环境的影响；施工机械、车辆均采用优质油品，加强施工机械、车辆的维修和保养等措施，减少废气排放对周围环境的影响，不会触及大气环境质量底线。</w:t>
                  </w:r>
                </w:p>
              </w:tc>
              <w:tc>
                <w:tcPr>
                  <w:tcW w:w="567" w:type="pct"/>
                  <w:vMerge w:val="continue"/>
                  <w:tcBorders>
                    <w:tl2br w:val="nil"/>
                    <w:tr2bl w:val="nil"/>
                  </w:tcBorders>
                  <w:vAlign w:val="center"/>
                </w:tcPr>
                <w:p w14:paraId="623C3535">
                  <w:pPr>
                    <w:pStyle w:val="35"/>
                    <w:bidi w:val="0"/>
                    <w:rPr>
                      <w:rFonts w:hint="default"/>
                      <w:color w:val="auto"/>
                    </w:rPr>
                  </w:pPr>
                </w:p>
              </w:tc>
            </w:tr>
            <w:tr w14:paraId="22483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0" w:hRule="atLeast"/>
                <w:jc w:val="center"/>
              </w:trPr>
              <w:tc>
                <w:tcPr>
                  <w:tcW w:w="490" w:type="pct"/>
                  <w:vMerge w:val="continue"/>
                  <w:tcBorders>
                    <w:tl2br w:val="nil"/>
                    <w:tr2bl w:val="nil"/>
                  </w:tcBorders>
                  <w:vAlign w:val="center"/>
                </w:tcPr>
                <w:p w14:paraId="5ABB07F4">
                  <w:pPr>
                    <w:pStyle w:val="35"/>
                    <w:bidi w:val="0"/>
                    <w:rPr>
                      <w:rFonts w:hint="default"/>
                      <w:color w:val="auto"/>
                    </w:rPr>
                  </w:pPr>
                </w:p>
              </w:tc>
              <w:tc>
                <w:tcPr>
                  <w:tcW w:w="1523" w:type="pct"/>
                  <w:tcBorders>
                    <w:tl2br w:val="nil"/>
                    <w:tr2bl w:val="nil"/>
                  </w:tcBorders>
                  <w:vAlign w:val="center"/>
                </w:tcPr>
                <w:p w14:paraId="29EFDB05">
                  <w:pPr>
                    <w:pStyle w:val="35"/>
                    <w:bidi w:val="0"/>
                    <w:ind w:firstLine="420" w:firstLineChars="200"/>
                    <w:jc w:val="both"/>
                    <w:rPr>
                      <w:rFonts w:hint="default"/>
                      <w:color w:val="auto"/>
                    </w:rPr>
                  </w:pPr>
                  <w:r>
                    <w:rPr>
                      <w:rFonts w:hint="default"/>
                      <w:color w:val="auto"/>
                    </w:rPr>
                    <w:t>3</w:t>
                  </w:r>
                  <w:r>
                    <w:rPr>
                      <w:rFonts w:hint="eastAsia"/>
                      <w:color w:val="auto"/>
                      <w:lang w:eastAsia="zh-CN"/>
                    </w:rPr>
                    <w:t>、</w:t>
                  </w:r>
                  <w:r>
                    <w:rPr>
                      <w:rFonts w:hint="default"/>
                      <w:color w:val="auto"/>
                    </w:rPr>
                    <w:t>土壤环境风险防控底线。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2418" w:type="pct"/>
                  <w:tcBorders>
                    <w:tl2br w:val="nil"/>
                    <w:tr2bl w:val="nil"/>
                  </w:tcBorders>
                  <w:vAlign w:val="center"/>
                </w:tcPr>
                <w:p w14:paraId="5E6EBC2C">
                  <w:pPr>
                    <w:pStyle w:val="35"/>
                    <w:bidi w:val="0"/>
                    <w:ind w:firstLine="420" w:firstLineChars="200"/>
                    <w:jc w:val="both"/>
                    <w:rPr>
                      <w:rFonts w:hint="default"/>
                      <w:color w:val="0000FF"/>
                    </w:rPr>
                  </w:pPr>
                  <w:r>
                    <w:rPr>
                      <w:rFonts w:hint="eastAsia"/>
                      <w:color w:val="auto"/>
                      <w:sz w:val="21"/>
                      <w:szCs w:val="21"/>
                      <w:lang w:val="en-US" w:eastAsia="zh-CN"/>
                    </w:rPr>
                    <w:t>项目施工期做好各类废水固废的处置工作，废水不外排、固废处置率100%，正常情况下不存在土壤污染的途径。本项目为河道治理工程，属环境友好型建设项目，工程运营期不存在土壤污染途径。</w:t>
                  </w:r>
                  <w:r>
                    <w:rPr>
                      <w:rFonts w:hint="default"/>
                      <w:color w:val="auto"/>
                      <w:sz w:val="21"/>
                      <w:szCs w:val="21"/>
                      <w:lang w:val="en-US" w:eastAsia="zh-CN"/>
                    </w:rPr>
                    <w:t>项目在落实环评提出的各项污染防治措施的情况下，施工过程对周围环境造成影响小，不会降低周围的环境质量，能够满足环境功能区要求，符合环境质量底线要求，项目运营期无污染物产生，符合环境质量底线要求。</w:t>
                  </w:r>
                </w:p>
              </w:tc>
              <w:tc>
                <w:tcPr>
                  <w:tcW w:w="567" w:type="pct"/>
                  <w:vMerge w:val="continue"/>
                  <w:tcBorders>
                    <w:tl2br w:val="nil"/>
                    <w:tr2bl w:val="nil"/>
                  </w:tcBorders>
                  <w:vAlign w:val="center"/>
                </w:tcPr>
                <w:p w14:paraId="0FBAD1E5">
                  <w:pPr>
                    <w:pStyle w:val="35"/>
                    <w:bidi w:val="0"/>
                    <w:rPr>
                      <w:rFonts w:hint="default"/>
                      <w:color w:val="auto"/>
                    </w:rPr>
                  </w:pPr>
                </w:p>
              </w:tc>
            </w:tr>
            <w:tr w14:paraId="43228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pct"/>
                  <w:tcBorders>
                    <w:tl2br w:val="nil"/>
                    <w:tr2bl w:val="nil"/>
                  </w:tcBorders>
                  <w:vAlign w:val="center"/>
                </w:tcPr>
                <w:p w14:paraId="43C33CB4">
                  <w:pPr>
                    <w:pStyle w:val="35"/>
                    <w:bidi w:val="0"/>
                    <w:rPr>
                      <w:rFonts w:hint="default"/>
                      <w:color w:val="auto"/>
                    </w:rPr>
                  </w:pPr>
                  <w:r>
                    <w:rPr>
                      <w:rFonts w:hint="default"/>
                      <w:color w:val="auto"/>
                    </w:rPr>
                    <w:t>资源利用上线</w:t>
                  </w:r>
                </w:p>
              </w:tc>
              <w:tc>
                <w:tcPr>
                  <w:tcW w:w="1523" w:type="pct"/>
                  <w:tcBorders>
                    <w:tl2br w:val="nil"/>
                    <w:tr2bl w:val="nil"/>
                  </w:tcBorders>
                  <w:vAlign w:val="center"/>
                </w:tcPr>
                <w:p w14:paraId="3D589EAE">
                  <w:pPr>
                    <w:pStyle w:val="35"/>
                    <w:bidi w:val="0"/>
                    <w:ind w:firstLine="420" w:firstLineChars="200"/>
                    <w:jc w:val="both"/>
                    <w:rPr>
                      <w:rFonts w:hint="default"/>
                      <w:color w:val="auto"/>
                    </w:rPr>
                  </w:pPr>
                  <w:r>
                    <w:rPr>
                      <w:rFonts w:hint="default"/>
                      <w:color w:val="auto"/>
                    </w:rPr>
                    <w:t>强化节约集约利用，持续提升资源能源利用效率，水资源、土地资源、能源消耗等达到云南省下达的总量和强度控制目标。</w:t>
                  </w:r>
                </w:p>
              </w:tc>
              <w:tc>
                <w:tcPr>
                  <w:tcW w:w="2418" w:type="pct"/>
                  <w:tcBorders>
                    <w:tl2br w:val="nil"/>
                    <w:tr2bl w:val="nil"/>
                  </w:tcBorders>
                  <w:vAlign w:val="center"/>
                </w:tcPr>
                <w:p w14:paraId="10A3E144">
                  <w:pPr>
                    <w:pStyle w:val="35"/>
                    <w:bidi w:val="0"/>
                    <w:ind w:firstLine="420" w:firstLineChars="200"/>
                    <w:jc w:val="both"/>
                    <w:rPr>
                      <w:rFonts w:hint="eastAsia" w:eastAsia="宋体"/>
                      <w:color w:val="auto"/>
                      <w:lang w:eastAsia="zh-CN"/>
                    </w:rPr>
                  </w:pPr>
                  <w:r>
                    <w:rPr>
                      <w:rFonts w:hint="default" w:eastAsia="宋体" w:cs="Times New Roman"/>
                      <w:color w:val="auto"/>
                      <w:spacing w:val="0"/>
                      <w:position w:val="0"/>
                      <w:lang w:val="en-US" w:eastAsia="zh-CN"/>
                    </w:rPr>
                    <w:t>本项目为河道治理工程，</w:t>
                  </w:r>
                  <w:r>
                    <w:rPr>
                      <w:rFonts w:hint="eastAsia"/>
                      <w:color w:val="auto"/>
                      <w:lang w:eastAsia="zh-CN"/>
                    </w:rPr>
                    <w:t>属于非污染型建设项目</w:t>
                  </w:r>
                  <w:r>
                    <w:rPr>
                      <w:rFonts w:hint="eastAsia" w:cs="Times New Roman"/>
                      <w:color w:val="auto"/>
                      <w:spacing w:val="0"/>
                      <w:position w:val="0"/>
                      <w:lang w:val="en-US" w:eastAsia="zh-CN"/>
                    </w:rPr>
                    <w:t>，运营期不涉及资源能源的消耗</w:t>
                  </w:r>
                  <w:r>
                    <w:rPr>
                      <w:rFonts w:hint="default" w:eastAsia="宋体" w:cs="Times New Roman"/>
                      <w:color w:val="auto"/>
                      <w:spacing w:val="0"/>
                      <w:position w:val="0"/>
                      <w:lang w:val="en-US" w:eastAsia="zh-CN"/>
                    </w:rPr>
                    <w:t>，</w:t>
                  </w:r>
                  <w:r>
                    <w:rPr>
                      <w:rFonts w:hint="eastAsia" w:cs="Times New Roman"/>
                      <w:color w:val="auto"/>
                      <w:spacing w:val="0"/>
                      <w:position w:val="0"/>
                      <w:lang w:val="en-US" w:eastAsia="zh-CN"/>
                    </w:rPr>
                    <w:t>本次工程涉及芒市大河两岸新建护岸，不涉及新增永久占地，临时占地部分施工结束后进行生态恢复，项目施工期使用水、电、柴油等能源，但工程量较小，</w:t>
                  </w:r>
                  <w:r>
                    <w:rPr>
                      <w:rFonts w:hint="default" w:ascii="Times New Roman" w:hAnsi="Times New Roman" w:cs="Times New Roman"/>
                      <w:color w:val="auto"/>
                    </w:rPr>
                    <w:t>消耗资源能源较少</w:t>
                  </w:r>
                  <w:r>
                    <w:rPr>
                      <w:rFonts w:hint="eastAsia" w:cs="Times New Roman"/>
                      <w:color w:val="auto"/>
                      <w:spacing w:val="0"/>
                      <w:position w:val="0"/>
                      <w:lang w:val="en-US" w:eastAsia="zh-CN"/>
                    </w:rPr>
                    <w:t>。</w:t>
                  </w:r>
                  <w:r>
                    <w:rPr>
                      <w:rFonts w:hint="default" w:eastAsia="宋体" w:cs="Times New Roman"/>
                      <w:color w:val="auto"/>
                      <w:spacing w:val="0"/>
                      <w:position w:val="0"/>
                      <w:lang w:val="en-US" w:eastAsia="zh-CN"/>
                    </w:rPr>
                    <w:t>因此项目建设符合区域资源利用上线要求。</w:t>
                  </w:r>
                </w:p>
              </w:tc>
              <w:tc>
                <w:tcPr>
                  <w:tcW w:w="567" w:type="pct"/>
                  <w:tcBorders>
                    <w:tl2br w:val="nil"/>
                    <w:tr2bl w:val="nil"/>
                  </w:tcBorders>
                  <w:vAlign w:val="center"/>
                </w:tcPr>
                <w:p w14:paraId="17F85D69">
                  <w:pPr>
                    <w:pStyle w:val="35"/>
                    <w:bidi w:val="0"/>
                    <w:rPr>
                      <w:rFonts w:hint="default"/>
                      <w:color w:val="auto"/>
                    </w:rPr>
                  </w:pPr>
                  <w:r>
                    <w:rPr>
                      <w:rFonts w:hint="default"/>
                      <w:color w:val="auto"/>
                    </w:rPr>
                    <w:t>符合</w:t>
                  </w:r>
                </w:p>
              </w:tc>
            </w:tr>
          </w:tbl>
          <w:p w14:paraId="116321FD">
            <w:pPr>
              <w:autoSpaceDE w:val="0"/>
              <w:autoSpaceDN w:val="0"/>
              <w:adjustRightInd w:val="0"/>
              <w:snapToGrid w:val="0"/>
              <w:spacing w:line="360" w:lineRule="auto"/>
              <w:ind w:firstLine="482" w:firstLineChars="200"/>
              <w:jc w:val="left"/>
              <w:rPr>
                <w:rFonts w:ascii="Times New Roman" w:hAnsi="Times New Roman"/>
                <w:b/>
                <w:bCs/>
                <w:color w:val="auto"/>
                <w:sz w:val="24"/>
                <w:szCs w:val="24"/>
              </w:rPr>
            </w:pPr>
            <w:r>
              <w:rPr>
                <w:rFonts w:hint="eastAsia"/>
                <w:b/>
                <w:bCs/>
                <w:color w:val="auto"/>
                <w:lang w:val="en-US" w:eastAsia="zh-CN"/>
              </w:rPr>
              <w:t>（2）</w:t>
            </w:r>
            <w:r>
              <w:rPr>
                <w:rFonts w:ascii="Times New Roman" w:hAnsi="Times New Roman"/>
                <w:b/>
                <w:bCs/>
                <w:color w:val="auto"/>
                <w:sz w:val="24"/>
                <w:szCs w:val="24"/>
              </w:rPr>
              <w:t>项目与《</w:t>
            </w:r>
            <w:r>
              <w:rPr>
                <w:rFonts w:hint="eastAsia"/>
                <w:b/>
                <w:bCs/>
                <w:color w:val="auto"/>
                <w:sz w:val="24"/>
                <w:szCs w:val="24"/>
                <w:lang w:eastAsia="zh-CN"/>
              </w:rPr>
              <w:t>德宏</w:t>
            </w:r>
            <w:r>
              <w:rPr>
                <w:rFonts w:ascii="Times New Roman" w:hAnsi="Times New Roman"/>
                <w:b/>
                <w:bCs/>
                <w:color w:val="auto"/>
                <w:sz w:val="24"/>
                <w:szCs w:val="24"/>
              </w:rPr>
              <w:t>州</w:t>
            </w:r>
            <w:r>
              <w:rPr>
                <w:rFonts w:hint="eastAsia"/>
                <w:b/>
                <w:bCs/>
                <w:color w:val="auto"/>
                <w:sz w:val="24"/>
                <w:szCs w:val="24"/>
                <w:lang w:eastAsia="zh-CN"/>
              </w:rPr>
              <w:t>“三线一单”</w:t>
            </w:r>
            <w:r>
              <w:rPr>
                <w:rFonts w:ascii="Times New Roman" w:hAnsi="Times New Roman"/>
                <w:b/>
                <w:bCs/>
                <w:color w:val="auto"/>
                <w:sz w:val="24"/>
                <w:szCs w:val="24"/>
              </w:rPr>
              <w:t>生态环境分区管控实施方案》符合性分析详见下表。</w:t>
            </w:r>
          </w:p>
          <w:p w14:paraId="24C3C8E7">
            <w:pPr>
              <w:autoSpaceDE w:val="0"/>
              <w:autoSpaceDN w:val="0"/>
              <w:adjustRightInd w:val="0"/>
              <w:snapToGrid w:val="0"/>
              <w:spacing w:line="360" w:lineRule="auto"/>
              <w:ind w:firstLine="480" w:firstLineChars="200"/>
              <w:jc w:val="both"/>
              <w:rPr>
                <w:rFonts w:ascii="Times New Roman" w:hAnsi="Times New Roman"/>
                <w:b/>
                <w:bCs/>
                <w:color w:val="auto"/>
              </w:rPr>
            </w:pPr>
            <w:r>
              <w:rPr>
                <w:rFonts w:hint="eastAsia"/>
                <w:lang w:eastAsia="zh-CN"/>
              </w:rPr>
              <w:t>德宏州共划分42个生态环境管控单元，分为优先保护、重点管控和一般管控3类。优先保护单元共15个，包含生态保护红线、一般生态空间和集中式饮用水水源地，主要包</w:t>
            </w:r>
            <w:r>
              <w:rPr>
                <w:rFonts w:hint="eastAsia" w:cs="Times New Roman"/>
                <w:bCs/>
                <w:color w:val="auto"/>
                <w:sz w:val="24"/>
                <w:szCs w:val="24"/>
                <w:highlight w:val="none"/>
                <w:lang w:eastAsia="zh-CN"/>
              </w:rPr>
              <w:t>括云南铜壁关省级自然保护区、瑞丽江—大盈江国家级风景名胜区、盈江国家湿地公园、南底河国家湿地公园、畹町省级森林公园、章凤国家森林公园、集中式饮用水水源保护区等重点生态功能区域。重点管控单元共22个，包含开发强度高、污染物排放强度大、生态环境问题相对集中的区域，以及大气环境布局敏感区、弱扩散区和矿产资源开发区域。主要分布在大盈江、瑞丽江流域、各类开发区和工业聚集区、城镇规划区及环境质量改善压力较大的区域。一般管控单元共5个，为优先保护、重点管控单元之外的区域。</w:t>
            </w:r>
            <w:r>
              <w:rPr>
                <w:rFonts w:hint="default" w:ascii="Times New Roman" w:hAnsi="Times New Roman" w:cs="Times New Roman"/>
                <w:bCs/>
                <w:color w:val="auto"/>
                <w:sz w:val="24"/>
                <w:szCs w:val="24"/>
                <w:highlight w:val="none"/>
              </w:rPr>
              <w:t>项目与</w:t>
            </w:r>
            <w:r>
              <w:rPr>
                <w:rFonts w:hint="eastAsia" w:cs="Times New Roman"/>
                <w:bCs/>
                <w:color w:val="auto"/>
                <w:sz w:val="24"/>
                <w:szCs w:val="24"/>
                <w:highlight w:val="none"/>
                <w:lang w:eastAsia="zh-CN"/>
              </w:rPr>
              <w:t>《德宏</w:t>
            </w:r>
            <w:r>
              <w:rPr>
                <w:rFonts w:hint="default" w:ascii="Times New Roman" w:hAnsi="Times New Roman" w:cs="Times New Roman"/>
                <w:bCs/>
                <w:color w:val="auto"/>
                <w:sz w:val="24"/>
                <w:szCs w:val="24"/>
                <w:highlight w:val="none"/>
              </w:rPr>
              <w:t>州人民政府关于印发</w:t>
            </w:r>
            <w:r>
              <w:rPr>
                <w:rFonts w:hint="eastAsia" w:cs="Times New Roman"/>
                <w:bCs/>
                <w:color w:val="auto"/>
                <w:sz w:val="24"/>
                <w:szCs w:val="24"/>
                <w:highlight w:val="none"/>
                <w:lang w:eastAsia="zh-CN"/>
              </w:rPr>
              <w:t>德宏</w:t>
            </w:r>
            <w:r>
              <w:rPr>
                <w:rFonts w:hint="default" w:ascii="Times New Roman" w:hAnsi="Times New Roman" w:cs="Times New Roman"/>
                <w:bCs/>
                <w:color w:val="auto"/>
                <w:sz w:val="24"/>
                <w:szCs w:val="24"/>
                <w:highlight w:val="none"/>
              </w:rPr>
              <w:t>州</w:t>
            </w:r>
            <w:r>
              <w:rPr>
                <w:rFonts w:hint="eastAsia" w:cs="Times New Roman"/>
                <w:bCs/>
                <w:color w:val="auto"/>
                <w:sz w:val="24"/>
                <w:szCs w:val="24"/>
                <w:highlight w:val="none"/>
                <w:lang w:eastAsia="zh-CN"/>
              </w:rPr>
              <w:t>“三线一单”</w:t>
            </w:r>
            <w:r>
              <w:rPr>
                <w:rFonts w:hint="default" w:ascii="Times New Roman" w:hAnsi="Times New Roman" w:cs="Times New Roman"/>
                <w:bCs/>
                <w:color w:val="auto"/>
                <w:sz w:val="24"/>
                <w:szCs w:val="24"/>
                <w:highlight w:val="none"/>
              </w:rPr>
              <w:t>生态环境分区管控实施方案的通知</w:t>
            </w:r>
            <w:r>
              <w:rPr>
                <w:rFonts w:hint="eastAsia"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符合性分析见下表</w:t>
            </w:r>
          </w:p>
          <w:p w14:paraId="3EFF3E8C">
            <w:pPr>
              <w:autoSpaceDE w:val="0"/>
              <w:autoSpaceDN w:val="0"/>
              <w:adjustRightInd w:val="0"/>
              <w:snapToGrid w:val="0"/>
              <w:spacing w:line="240" w:lineRule="auto"/>
              <w:ind w:firstLine="422" w:firstLineChars="200"/>
              <w:jc w:val="center"/>
              <w:rPr>
                <w:rFonts w:ascii="Times New Roman" w:hAnsi="Times New Roman"/>
                <w:b/>
                <w:bCs/>
                <w:color w:val="auto"/>
                <w:sz w:val="21"/>
                <w:szCs w:val="21"/>
              </w:rPr>
            </w:pPr>
            <w:r>
              <w:rPr>
                <w:rFonts w:ascii="Times New Roman" w:hAnsi="Times New Roman"/>
                <w:b/>
                <w:bCs/>
                <w:color w:val="auto"/>
                <w:sz w:val="21"/>
                <w:szCs w:val="21"/>
              </w:rPr>
              <w:t>表</w:t>
            </w:r>
            <w:r>
              <w:rPr>
                <w:rFonts w:hint="default" w:ascii="Times New Roman" w:hAnsi="Times New Roman" w:cs="Times New Roman"/>
                <w:b/>
                <w:bCs/>
                <w:color w:val="auto"/>
                <w:sz w:val="21"/>
                <w:szCs w:val="21"/>
              </w:rPr>
              <w:t>1-</w:t>
            </w:r>
            <w:r>
              <w:rPr>
                <w:rFonts w:hint="eastAsia"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 xml:space="preserve"> </w:t>
            </w:r>
            <w:r>
              <w:rPr>
                <w:rFonts w:ascii="Times New Roman" w:hAnsi="Times New Roman"/>
                <w:b/>
                <w:bCs/>
                <w:color w:val="auto"/>
                <w:sz w:val="21"/>
                <w:szCs w:val="21"/>
              </w:rPr>
              <w:t>与《</w:t>
            </w:r>
            <w:r>
              <w:rPr>
                <w:rFonts w:hint="eastAsia"/>
                <w:b/>
                <w:bCs/>
                <w:color w:val="auto"/>
                <w:sz w:val="21"/>
                <w:szCs w:val="21"/>
                <w:lang w:eastAsia="zh-CN"/>
              </w:rPr>
              <w:t>德宏</w:t>
            </w:r>
            <w:r>
              <w:rPr>
                <w:rFonts w:ascii="Times New Roman" w:hAnsi="Times New Roman"/>
                <w:b/>
                <w:bCs/>
                <w:color w:val="auto"/>
                <w:sz w:val="21"/>
                <w:szCs w:val="21"/>
              </w:rPr>
              <w:t>州“三线一单”生态环境分区管控实施方案》的符合性分析</w:t>
            </w:r>
          </w:p>
          <w:tbl>
            <w:tblPr>
              <w:tblStyle w:val="24"/>
              <w:tblW w:w="49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
              <w:gridCol w:w="494"/>
              <w:gridCol w:w="3263"/>
              <w:gridCol w:w="2768"/>
              <w:gridCol w:w="754"/>
            </w:tblGrid>
            <w:tr w14:paraId="65DA8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tblHeader/>
                <w:jc w:val="center"/>
              </w:trPr>
              <w:tc>
                <w:tcPr>
                  <w:tcW w:w="567" w:type="pct"/>
                  <w:gridSpan w:val="2"/>
                  <w:tcBorders>
                    <w:tl2br w:val="nil"/>
                    <w:tr2bl w:val="nil"/>
                  </w:tcBorders>
                  <w:vAlign w:val="center"/>
                </w:tcPr>
                <w:p w14:paraId="75B5638A">
                  <w:pPr>
                    <w:pStyle w:val="35"/>
                    <w:bidi w:val="0"/>
                    <w:rPr>
                      <w:rFonts w:hint="default"/>
                      <w:color w:val="auto"/>
                    </w:rPr>
                  </w:pPr>
                  <w:r>
                    <w:rPr>
                      <w:rFonts w:hint="default"/>
                      <w:color w:val="auto"/>
                    </w:rPr>
                    <w:t>类别</w:t>
                  </w:r>
                </w:p>
              </w:tc>
              <w:tc>
                <w:tcPr>
                  <w:tcW w:w="2132" w:type="pct"/>
                  <w:tcBorders>
                    <w:tl2br w:val="nil"/>
                    <w:tr2bl w:val="nil"/>
                  </w:tcBorders>
                  <w:vAlign w:val="center"/>
                </w:tcPr>
                <w:p w14:paraId="4D53C5ED">
                  <w:pPr>
                    <w:pStyle w:val="35"/>
                    <w:bidi w:val="0"/>
                    <w:rPr>
                      <w:rFonts w:hint="default"/>
                      <w:color w:val="auto"/>
                    </w:rPr>
                  </w:pPr>
                  <w:r>
                    <w:rPr>
                      <w:rFonts w:hint="eastAsia"/>
                      <w:color w:val="auto"/>
                      <w:lang w:eastAsia="zh-CN"/>
                    </w:rPr>
                    <w:t>“三线一单”</w:t>
                  </w:r>
                  <w:r>
                    <w:rPr>
                      <w:rFonts w:hint="default"/>
                      <w:color w:val="auto"/>
                    </w:rPr>
                    <w:t>要求</w:t>
                  </w:r>
                </w:p>
              </w:tc>
              <w:tc>
                <w:tcPr>
                  <w:tcW w:w="1809" w:type="pct"/>
                  <w:tcBorders>
                    <w:tl2br w:val="nil"/>
                    <w:tr2bl w:val="nil"/>
                  </w:tcBorders>
                  <w:vAlign w:val="center"/>
                </w:tcPr>
                <w:p w14:paraId="5C26F91E">
                  <w:pPr>
                    <w:pStyle w:val="35"/>
                    <w:bidi w:val="0"/>
                    <w:rPr>
                      <w:rFonts w:hint="default"/>
                      <w:color w:val="auto"/>
                    </w:rPr>
                  </w:pPr>
                  <w:r>
                    <w:rPr>
                      <w:rFonts w:hint="default"/>
                      <w:color w:val="auto"/>
                    </w:rPr>
                    <w:t>项目情况</w:t>
                  </w:r>
                </w:p>
              </w:tc>
              <w:tc>
                <w:tcPr>
                  <w:tcW w:w="490" w:type="pct"/>
                  <w:tcBorders>
                    <w:tl2br w:val="nil"/>
                    <w:tr2bl w:val="nil"/>
                  </w:tcBorders>
                  <w:vAlign w:val="center"/>
                </w:tcPr>
                <w:p w14:paraId="0F8502C5">
                  <w:pPr>
                    <w:pStyle w:val="35"/>
                    <w:bidi w:val="0"/>
                    <w:rPr>
                      <w:rFonts w:hint="default"/>
                      <w:color w:val="auto"/>
                    </w:rPr>
                  </w:pPr>
                  <w:r>
                    <w:rPr>
                      <w:rFonts w:hint="default"/>
                      <w:color w:val="auto"/>
                    </w:rPr>
                    <w:t>符合性</w:t>
                  </w:r>
                </w:p>
              </w:tc>
            </w:tr>
            <w:tr w14:paraId="402F8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5000" w:type="pct"/>
                  <w:gridSpan w:val="5"/>
                  <w:tcBorders>
                    <w:tl2br w:val="nil"/>
                    <w:tr2bl w:val="nil"/>
                  </w:tcBorders>
                  <w:vAlign w:val="center"/>
                </w:tcPr>
                <w:p w14:paraId="72DF29D7">
                  <w:pPr>
                    <w:pStyle w:val="35"/>
                    <w:bidi w:val="0"/>
                    <w:rPr>
                      <w:rFonts w:hint="default"/>
                      <w:color w:val="auto"/>
                    </w:rPr>
                  </w:pPr>
                  <w:r>
                    <w:rPr>
                      <w:rFonts w:hint="eastAsia"/>
                      <w:color w:val="auto"/>
                      <w:lang w:eastAsia="zh-CN"/>
                    </w:rPr>
                    <w:t>德宏</w:t>
                  </w:r>
                  <w:r>
                    <w:rPr>
                      <w:rFonts w:hint="default"/>
                      <w:color w:val="auto"/>
                    </w:rPr>
                    <w:t>州生态环境总体管控要求相符性</w:t>
                  </w:r>
                </w:p>
              </w:tc>
            </w:tr>
            <w:tr w14:paraId="59AE1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restart"/>
                  <w:tcBorders>
                    <w:tl2br w:val="nil"/>
                    <w:tr2bl w:val="nil"/>
                  </w:tcBorders>
                  <w:vAlign w:val="center"/>
                </w:tcPr>
                <w:p w14:paraId="5B461DEE">
                  <w:pPr>
                    <w:pStyle w:val="35"/>
                    <w:bidi w:val="0"/>
                    <w:rPr>
                      <w:rFonts w:hint="default"/>
                      <w:color w:val="auto"/>
                    </w:rPr>
                  </w:pPr>
                  <w:r>
                    <w:rPr>
                      <w:rFonts w:hint="default"/>
                      <w:color w:val="auto"/>
                    </w:rPr>
                    <w:t>总体管控要求</w:t>
                  </w:r>
                </w:p>
              </w:tc>
              <w:tc>
                <w:tcPr>
                  <w:tcW w:w="322" w:type="pct"/>
                  <w:vMerge w:val="restart"/>
                  <w:tcBorders>
                    <w:tl2br w:val="nil"/>
                    <w:tr2bl w:val="nil"/>
                  </w:tcBorders>
                  <w:vAlign w:val="center"/>
                </w:tcPr>
                <w:p w14:paraId="289B4912">
                  <w:pPr>
                    <w:pStyle w:val="35"/>
                    <w:bidi w:val="0"/>
                    <w:rPr>
                      <w:rFonts w:hint="default"/>
                      <w:color w:val="auto"/>
                    </w:rPr>
                  </w:pPr>
                  <w:r>
                    <w:rPr>
                      <w:rFonts w:hint="default"/>
                      <w:color w:val="auto"/>
                    </w:rPr>
                    <w:t>空间布局约束</w:t>
                  </w:r>
                </w:p>
              </w:tc>
              <w:tc>
                <w:tcPr>
                  <w:tcW w:w="2132" w:type="pct"/>
                  <w:tcBorders>
                    <w:tl2br w:val="nil"/>
                    <w:tr2bl w:val="nil"/>
                  </w:tcBorders>
                  <w:vAlign w:val="center"/>
                </w:tcPr>
                <w:p w14:paraId="64564F9D">
                  <w:pPr>
                    <w:pStyle w:val="35"/>
                    <w:bidi w:val="0"/>
                    <w:rPr>
                      <w:rFonts w:hint="default"/>
                      <w:color w:val="auto"/>
                    </w:rPr>
                  </w:pPr>
                  <w:r>
                    <w:rPr>
                      <w:rFonts w:hint="default"/>
                      <w:color w:val="auto"/>
                    </w:rPr>
                    <w:t>1、资源承载能力、生态环境容量作为承接产业转移的基础和前提，合理确定承接产业转移重点，禁止引进环境污染大、资源消耗高、技术落后的生产工艺及设备。严禁以任何名义、任何方式核准或备案产能严重过剩行业的增加产能项目。</w:t>
                  </w:r>
                </w:p>
              </w:tc>
              <w:tc>
                <w:tcPr>
                  <w:tcW w:w="1809" w:type="pct"/>
                  <w:tcBorders>
                    <w:tl2br w:val="nil"/>
                    <w:tr2bl w:val="nil"/>
                  </w:tcBorders>
                  <w:vAlign w:val="center"/>
                </w:tcPr>
                <w:p w14:paraId="1BFE4465">
                  <w:pPr>
                    <w:pStyle w:val="35"/>
                    <w:bidi w:val="0"/>
                    <w:rPr>
                      <w:rFonts w:hint="eastAsia" w:eastAsia="宋体"/>
                      <w:color w:val="auto"/>
                      <w:lang w:eastAsia="zh-CN"/>
                    </w:rPr>
                  </w:pPr>
                  <w:r>
                    <w:rPr>
                      <w:rFonts w:hint="default" w:eastAsia="宋体" w:cs="Times New Roman"/>
                      <w:color w:val="auto"/>
                      <w:spacing w:val="0"/>
                      <w:position w:val="0"/>
                      <w:lang w:val="en-US" w:eastAsia="zh-CN"/>
                    </w:rPr>
                    <w:t>本项目为河道治理工程，</w:t>
                  </w:r>
                  <w:r>
                    <w:rPr>
                      <w:rFonts w:hint="eastAsia"/>
                      <w:color w:val="auto"/>
                      <w:lang w:eastAsia="zh-CN"/>
                    </w:rPr>
                    <w:t>属于非污染型建设项目</w:t>
                  </w:r>
                  <w:r>
                    <w:rPr>
                      <w:rFonts w:hint="default"/>
                      <w:color w:val="auto"/>
                    </w:rPr>
                    <w:t>，</w:t>
                  </w:r>
                  <w:r>
                    <w:rPr>
                      <w:rFonts w:hint="eastAsia"/>
                      <w:color w:val="auto"/>
                      <w:lang w:eastAsia="zh-CN"/>
                    </w:rPr>
                    <w:t>不属于污染排放大、资源消耗高的工况企业，项目不涉及</w:t>
                  </w:r>
                  <w:r>
                    <w:rPr>
                      <w:rFonts w:hint="default"/>
                      <w:color w:val="auto"/>
                    </w:rPr>
                    <w:t>技术落后的生产工艺及设备。本项目属于《产业结构调整指导目录（</w:t>
                  </w:r>
                  <w:r>
                    <w:rPr>
                      <w:rFonts w:hint="default"/>
                      <w:color w:val="auto"/>
                      <w:lang w:val="en-US" w:eastAsia="zh-CN"/>
                    </w:rPr>
                    <w:t>2024</w:t>
                  </w:r>
                  <w:r>
                    <w:rPr>
                      <w:rFonts w:hint="default"/>
                      <w:color w:val="auto"/>
                    </w:rPr>
                    <w:t>年本）</w:t>
                  </w:r>
                  <w:r>
                    <w:rPr>
                      <w:rFonts w:hint="default"/>
                      <w:color w:val="auto"/>
                      <w:lang w:eastAsia="zh-CN"/>
                    </w:rPr>
                    <w:t>》</w:t>
                  </w:r>
                  <w:r>
                    <w:rPr>
                      <w:rFonts w:hint="default"/>
                      <w:color w:val="auto"/>
                    </w:rPr>
                    <w:t>鼓励类：第二大类：水利中第</w:t>
                  </w:r>
                  <w:r>
                    <w:rPr>
                      <w:rFonts w:hint="default"/>
                      <w:color w:val="auto"/>
                      <w:lang w:eastAsia="zh-CN"/>
                    </w:rPr>
                    <w:t>三</w:t>
                  </w:r>
                  <w:r>
                    <w:rPr>
                      <w:rFonts w:hint="default"/>
                      <w:color w:val="auto"/>
                    </w:rPr>
                    <w:t>条</w:t>
                  </w:r>
                  <w:r>
                    <w:rPr>
                      <w:rFonts w:hint="default"/>
                      <w:color w:val="auto"/>
                      <w:lang w:eastAsia="zh-CN"/>
                    </w:rPr>
                    <w:t>防洪提升工程中的</w:t>
                  </w:r>
                  <w:r>
                    <w:rPr>
                      <w:rFonts w:hint="default"/>
                      <w:color w:val="auto"/>
                    </w:rPr>
                    <w:t>江河湖海堤防建设及河道治理工程</w:t>
                  </w:r>
                  <w:r>
                    <w:rPr>
                      <w:rFonts w:hint="eastAsia"/>
                      <w:color w:val="auto"/>
                      <w:lang w:eastAsia="zh-CN"/>
                    </w:rPr>
                    <w:t>。</w:t>
                  </w:r>
                </w:p>
              </w:tc>
              <w:tc>
                <w:tcPr>
                  <w:tcW w:w="490" w:type="pct"/>
                  <w:tcBorders>
                    <w:tl2br w:val="nil"/>
                    <w:tr2bl w:val="nil"/>
                  </w:tcBorders>
                  <w:vAlign w:val="center"/>
                </w:tcPr>
                <w:p w14:paraId="10CBC2C9">
                  <w:pPr>
                    <w:pStyle w:val="35"/>
                    <w:bidi w:val="0"/>
                    <w:rPr>
                      <w:rFonts w:hint="default"/>
                      <w:color w:val="auto"/>
                    </w:rPr>
                  </w:pPr>
                  <w:r>
                    <w:rPr>
                      <w:rFonts w:hint="default"/>
                      <w:color w:val="auto"/>
                    </w:rPr>
                    <w:t>符合</w:t>
                  </w:r>
                </w:p>
              </w:tc>
            </w:tr>
            <w:tr w14:paraId="2AD1E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244" w:type="pct"/>
                  <w:vMerge w:val="continue"/>
                  <w:tcBorders>
                    <w:tl2br w:val="nil"/>
                    <w:tr2bl w:val="nil"/>
                  </w:tcBorders>
                  <w:vAlign w:val="center"/>
                </w:tcPr>
                <w:p w14:paraId="2FD15E36">
                  <w:pPr>
                    <w:pStyle w:val="35"/>
                    <w:bidi w:val="0"/>
                    <w:rPr>
                      <w:rFonts w:hint="default"/>
                      <w:color w:val="0000FF"/>
                    </w:rPr>
                  </w:pPr>
                </w:p>
              </w:tc>
              <w:tc>
                <w:tcPr>
                  <w:tcW w:w="322" w:type="pct"/>
                  <w:vMerge w:val="continue"/>
                  <w:tcBorders>
                    <w:tl2br w:val="nil"/>
                    <w:tr2bl w:val="nil"/>
                  </w:tcBorders>
                  <w:vAlign w:val="center"/>
                </w:tcPr>
                <w:p w14:paraId="45089B37">
                  <w:pPr>
                    <w:pStyle w:val="35"/>
                    <w:bidi w:val="0"/>
                    <w:rPr>
                      <w:rFonts w:hint="default"/>
                      <w:color w:val="0000FF"/>
                    </w:rPr>
                  </w:pPr>
                </w:p>
              </w:tc>
              <w:tc>
                <w:tcPr>
                  <w:tcW w:w="2132" w:type="pct"/>
                  <w:tcBorders>
                    <w:tl2br w:val="nil"/>
                    <w:tr2bl w:val="nil"/>
                  </w:tcBorders>
                  <w:vAlign w:val="center"/>
                </w:tcPr>
                <w:p w14:paraId="17AD2074">
                  <w:pPr>
                    <w:pStyle w:val="35"/>
                    <w:bidi w:val="0"/>
                    <w:rPr>
                      <w:rFonts w:hint="default"/>
                      <w:color w:val="auto"/>
                    </w:rPr>
                  </w:pPr>
                  <w:r>
                    <w:rPr>
                      <w:rFonts w:hint="default"/>
                      <w:color w:val="auto"/>
                    </w:rPr>
                    <w:t>2、严禁新增工业硅产能，2017年12月1日后立项备案的新（改、扩）建工业硅项目，一律实施产能减量置换，置换过程中的产能（吨）数量，按照“变压器容量（千伏安）×0.9×6480/12000”标准进行计算。</w:t>
                  </w:r>
                </w:p>
              </w:tc>
              <w:tc>
                <w:tcPr>
                  <w:tcW w:w="1809" w:type="pct"/>
                  <w:tcBorders>
                    <w:tl2br w:val="nil"/>
                    <w:tr2bl w:val="nil"/>
                  </w:tcBorders>
                  <w:vAlign w:val="center"/>
                </w:tcPr>
                <w:p w14:paraId="6FAA27D4">
                  <w:pPr>
                    <w:pStyle w:val="35"/>
                    <w:bidi w:val="0"/>
                    <w:rPr>
                      <w:rFonts w:hint="eastAsia" w:eastAsia="宋体"/>
                      <w:color w:val="auto"/>
                      <w:lang w:eastAsia="zh-CN"/>
                    </w:rPr>
                  </w:pPr>
                  <w:r>
                    <w:rPr>
                      <w:rFonts w:hint="eastAsia"/>
                      <w:color w:val="auto"/>
                      <w:lang w:eastAsia="zh-CN"/>
                    </w:rPr>
                    <w:t>本项目不涉及。</w:t>
                  </w:r>
                </w:p>
              </w:tc>
              <w:tc>
                <w:tcPr>
                  <w:tcW w:w="490" w:type="pct"/>
                  <w:tcBorders>
                    <w:tl2br w:val="nil"/>
                    <w:tr2bl w:val="nil"/>
                  </w:tcBorders>
                  <w:vAlign w:val="center"/>
                </w:tcPr>
                <w:p w14:paraId="28D9249E">
                  <w:pPr>
                    <w:pStyle w:val="35"/>
                    <w:bidi w:val="0"/>
                    <w:rPr>
                      <w:rFonts w:hint="eastAsia" w:eastAsia="宋体"/>
                      <w:color w:val="auto"/>
                      <w:lang w:eastAsia="zh-CN"/>
                    </w:rPr>
                  </w:pPr>
                  <w:r>
                    <w:rPr>
                      <w:rFonts w:hint="eastAsia"/>
                      <w:color w:val="auto"/>
                      <w:lang w:eastAsia="zh-CN"/>
                    </w:rPr>
                    <w:t>不涉及</w:t>
                  </w:r>
                </w:p>
              </w:tc>
            </w:tr>
            <w:tr w14:paraId="2C968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5" w:hRule="atLeast"/>
                <w:jc w:val="center"/>
              </w:trPr>
              <w:tc>
                <w:tcPr>
                  <w:tcW w:w="244" w:type="pct"/>
                  <w:vMerge w:val="continue"/>
                  <w:tcBorders>
                    <w:tl2br w:val="nil"/>
                    <w:tr2bl w:val="nil"/>
                  </w:tcBorders>
                  <w:vAlign w:val="center"/>
                </w:tcPr>
                <w:p w14:paraId="13B2A2A0">
                  <w:pPr>
                    <w:pStyle w:val="35"/>
                    <w:bidi w:val="0"/>
                    <w:rPr>
                      <w:rFonts w:hint="default"/>
                      <w:color w:val="0000FF"/>
                    </w:rPr>
                  </w:pPr>
                </w:p>
              </w:tc>
              <w:tc>
                <w:tcPr>
                  <w:tcW w:w="322" w:type="pct"/>
                  <w:vMerge w:val="continue"/>
                  <w:tcBorders>
                    <w:tl2br w:val="nil"/>
                    <w:tr2bl w:val="nil"/>
                  </w:tcBorders>
                  <w:vAlign w:val="center"/>
                </w:tcPr>
                <w:p w14:paraId="1D4EC5F9">
                  <w:pPr>
                    <w:pStyle w:val="35"/>
                    <w:bidi w:val="0"/>
                    <w:rPr>
                      <w:rFonts w:hint="default"/>
                      <w:color w:val="0000FF"/>
                    </w:rPr>
                  </w:pPr>
                </w:p>
              </w:tc>
              <w:tc>
                <w:tcPr>
                  <w:tcW w:w="2132" w:type="pct"/>
                  <w:tcBorders>
                    <w:tl2br w:val="nil"/>
                    <w:tr2bl w:val="nil"/>
                  </w:tcBorders>
                  <w:vAlign w:val="center"/>
                </w:tcPr>
                <w:p w14:paraId="7E0CF195">
                  <w:pPr>
                    <w:pStyle w:val="35"/>
                    <w:bidi w:val="0"/>
                    <w:rPr>
                      <w:rFonts w:hint="default"/>
                      <w:color w:val="auto"/>
                    </w:rPr>
                  </w:pPr>
                  <w:r>
                    <w:rPr>
                      <w:rFonts w:hint="default"/>
                      <w:color w:val="auto"/>
                    </w:rPr>
                    <w:t>3、对工业硅行业，全面淘汰工艺技术装备落后产能，依法依规关停布局不合理、资源能源消耗高、环保措施不到位、污染物排放连续不达标、安全质量不达标和木质碳消耗多的生产装备，或连续2年受到省行业主管部门资源能源消耗黄牌警告通报的企业，由各县（市）人民政府立即实施关停淘汰。</w:t>
                  </w:r>
                </w:p>
              </w:tc>
              <w:tc>
                <w:tcPr>
                  <w:tcW w:w="1809" w:type="pct"/>
                  <w:tcBorders>
                    <w:tl2br w:val="nil"/>
                    <w:tr2bl w:val="nil"/>
                  </w:tcBorders>
                  <w:vAlign w:val="center"/>
                </w:tcPr>
                <w:p w14:paraId="3694FB2A">
                  <w:pPr>
                    <w:pStyle w:val="35"/>
                    <w:bidi w:val="0"/>
                    <w:rPr>
                      <w:rFonts w:hint="eastAsia" w:eastAsia="宋体"/>
                      <w:color w:val="auto"/>
                      <w:lang w:eastAsia="zh-CN"/>
                    </w:rPr>
                  </w:pPr>
                  <w:r>
                    <w:rPr>
                      <w:rFonts w:hint="eastAsia"/>
                      <w:color w:val="auto"/>
                      <w:lang w:eastAsia="zh-CN"/>
                    </w:rPr>
                    <w:t>本项目不涉及。</w:t>
                  </w:r>
                </w:p>
              </w:tc>
              <w:tc>
                <w:tcPr>
                  <w:tcW w:w="490" w:type="pct"/>
                  <w:tcBorders>
                    <w:tl2br w:val="nil"/>
                    <w:tr2bl w:val="nil"/>
                  </w:tcBorders>
                  <w:vAlign w:val="center"/>
                </w:tcPr>
                <w:p w14:paraId="5C350153">
                  <w:pPr>
                    <w:pStyle w:val="35"/>
                    <w:bidi w:val="0"/>
                    <w:rPr>
                      <w:rFonts w:hint="default"/>
                      <w:color w:val="auto"/>
                    </w:rPr>
                  </w:pPr>
                  <w:r>
                    <w:rPr>
                      <w:rFonts w:hint="eastAsia"/>
                      <w:color w:val="auto"/>
                      <w:lang w:eastAsia="zh-CN"/>
                    </w:rPr>
                    <w:t>不涉及</w:t>
                  </w:r>
                </w:p>
              </w:tc>
            </w:tr>
            <w:tr w14:paraId="2A1BEB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244" w:type="pct"/>
                  <w:vMerge w:val="continue"/>
                  <w:tcBorders>
                    <w:tl2br w:val="nil"/>
                    <w:tr2bl w:val="nil"/>
                  </w:tcBorders>
                  <w:vAlign w:val="center"/>
                </w:tcPr>
                <w:p w14:paraId="44BC7C63">
                  <w:pPr>
                    <w:pStyle w:val="35"/>
                    <w:bidi w:val="0"/>
                    <w:rPr>
                      <w:rFonts w:hint="default"/>
                      <w:color w:val="0000FF"/>
                    </w:rPr>
                  </w:pPr>
                </w:p>
              </w:tc>
              <w:tc>
                <w:tcPr>
                  <w:tcW w:w="322" w:type="pct"/>
                  <w:vMerge w:val="continue"/>
                  <w:tcBorders>
                    <w:tl2br w:val="nil"/>
                    <w:tr2bl w:val="nil"/>
                  </w:tcBorders>
                  <w:vAlign w:val="center"/>
                </w:tcPr>
                <w:p w14:paraId="4806F5A5">
                  <w:pPr>
                    <w:pStyle w:val="35"/>
                    <w:bidi w:val="0"/>
                    <w:rPr>
                      <w:rFonts w:hint="default"/>
                      <w:color w:val="0000FF"/>
                    </w:rPr>
                  </w:pPr>
                </w:p>
              </w:tc>
              <w:tc>
                <w:tcPr>
                  <w:tcW w:w="2132" w:type="pct"/>
                  <w:tcBorders>
                    <w:tl2br w:val="nil"/>
                    <w:tr2bl w:val="nil"/>
                  </w:tcBorders>
                  <w:vAlign w:val="center"/>
                </w:tcPr>
                <w:p w14:paraId="1B4B0A25">
                  <w:pPr>
                    <w:pStyle w:val="35"/>
                    <w:bidi w:val="0"/>
                    <w:rPr>
                      <w:rFonts w:hint="default"/>
                      <w:color w:val="0000FF"/>
                    </w:rPr>
                  </w:pPr>
                  <w:r>
                    <w:rPr>
                      <w:rFonts w:hint="default"/>
                      <w:color w:val="auto"/>
                    </w:rPr>
                    <w:t>4、严格控制大盈江、瑞丽江等重点流域沿岸的石油加工、化学原料和化学制品制造、医药制造、化学纤维制造、有色金属冶炼、纺织印染等项目。</w:t>
                  </w:r>
                </w:p>
              </w:tc>
              <w:tc>
                <w:tcPr>
                  <w:tcW w:w="1809" w:type="pct"/>
                  <w:tcBorders>
                    <w:tl2br w:val="nil"/>
                    <w:tr2bl w:val="nil"/>
                  </w:tcBorders>
                  <w:vAlign w:val="center"/>
                </w:tcPr>
                <w:p w14:paraId="6B8531C0">
                  <w:pPr>
                    <w:pStyle w:val="35"/>
                    <w:bidi w:val="0"/>
                    <w:rPr>
                      <w:rFonts w:hint="eastAsia" w:eastAsia="宋体"/>
                      <w:color w:val="auto"/>
                      <w:lang w:eastAsia="zh-CN"/>
                    </w:rPr>
                  </w:pPr>
                  <w:r>
                    <w:rPr>
                      <w:rFonts w:hint="default" w:eastAsia="宋体" w:cs="Times New Roman"/>
                      <w:color w:val="auto"/>
                      <w:spacing w:val="0"/>
                      <w:position w:val="0"/>
                      <w:lang w:val="en-US" w:eastAsia="zh-CN"/>
                    </w:rPr>
                    <w:t>本项目为河道治理工程</w:t>
                  </w:r>
                  <w:r>
                    <w:rPr>
                      <w:rFonts w:hint="eastAsia"/>
                      <w:color w:val="auto"/>
                      <w:lang w:eastAsia="zh-CN"/>
                    </w:rPr>
                    <w:t>属于非污染型建设项目</w:t>
                  </w:r>
                  <w:r>
                    <w:rPr>
                      <w:rFonts w:hint="eastAsia" w:eastAsia="宋体" w:cs="Times New Roman"/>
                      <w:color w:val="auto"/>
                      <w:spacing w:val="0"/>
                      <w:position w:val="0"/>
                      <w:lang w:val="en-US" w:eastAsia="zh-CN"/>
                    </w:rPr>
                    <w:t>。</w:t>
                  </w:r>
                  <w:r>
                    <w:rPr>
                      <w:rFonts w:hint="eastAsia"/>
                      <w:color w:val="auto"/>
                      <w:lang w:eastAsia="zh-CN"/>
                    </w:rPr>
                    <w:t>本项目不涉及</w:t>
                  </w:r>
                  <w:r>
                    <w:rPr>
                      <w:rFonts w:hint="default"/>
                      <w:color w:val="auto"/>
                    </w:rPr>
                    <w:t>石油加工、化学原料和化学制品制造、医药制造、化学纤维制造、有色金属冶炼、纺织印染</w:t>
                  </w:r>
                  <w:r>
                    <w:rPr>
                      <w:rFonts w:hint="eastAsia"/>
                      <w:color w:val="auto"/>
                      <w:lang w:eastAsia="zh-CN"/>
                    </w:rPr>
                    <w:t>。</w:t>
                  </w:r>
                </w:p>
              </w:tc>
              <w:tc>
                <w:tcPr>
                  <w:tcW w:w="490" w:type="pct"/>
                  <w:tcBorders>
                    <w:tl2br w:val="nil"/>
                    <w:tr2bl w:val="nil"/>
                  </w:tcBorders>
                  <w:vAlign w:val="center"/>
                </w:tcPr>
                <w:p w14:paraId="59F12AFE">
                  <w:pPr>
                    <w:pStyle w:val="35"/>
                    <w:bidi w:val="0"/>
                    <w:rPr>
                      <w:rFonts w:hint="eastAsia" w:eastAsia="宋体"/>
                      <w:color w:val="auto"/>
                      <w:lang w:eastAsia="zh-CN"/>
                    </w:rPr>
                  </w:pPr>
                  <w:r>
                    <w:rPr>
                      <w:rFonts w:hint="eastAsia"/>
                      <w:color w:val="auto"/>
                      <w:lang w:eastAsia="zh-CN"/>
                    </w:rPr>
                    <w:t>不涉及</w:t>
                  </w:r>
                </w:p>
              </w:tc>
            </w:tr>
            <w:tr w14:paraId="693ED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6" w:hRule="atLeast"/>
                <w:jc w:val="center"/>
              </w:trPr>
              <w:tc>
                <w:tcPr>
                  <w:tcW w:w="244" w:type="pct"/>
                  <w:vMerge w:val="continue"/>
                  <w:tcBorders>
                    <w:tl2br w:val="nil"/>
                    <w:tr2bl w:val="nil"/>
                  </w:tcBorders>
                  <w:vAlign w:val="center"/>
                </w:tcPr>
                <w:p w14:paraId="04B3B777">
                  <w:pPr>
                    <w:pStyle w:val="35"/>
                    <w:bidi w:val="0"/>
                    <w:rPr>
                      <w:rFonts w:hint="default"/>
                      <w:color w:val="0000FF"/>
                    </w:rPr>
                  </w:pPr>
                </w:p>
              </w:tc>
              <w:tc>
                <w:tcPr>
                  <w:tcW w:w="322" w:type="pct"/>
                  <w:vMerge w:val="restart"/>
                  <w:tcBorders>
                    <w:tl2br w:val="nil"/>
                    <w:tr2bl w:val="nil"/>
                  </w:tcBorders>
                  <w:vAlign w:val="center"/>
                </w:tcPr>
                <w:p w14:paraId="15606F3E">
                  <w:pPr>
                    <w:pStyle w:val="35"/>
                    <w:bidi w:val="0"/>
                    <w:rPr>
                      <w:rFonts w:hint="default"/>
                      <w:color w:val="auto"/>
                    </w:rPr>
                  </w:pPr>
                  <w:r>
                    <w:rPr>
                      <w:rFonts w:hint="default"/>
                      <w:color w:val="auto"/>
                    </w:rPr>
                    <w:t>污染物排放管控</w:t>
                  </w:r>
                </w:p>
                <w:p w14:paraId="0A19B033">
                  <w:pPr>
                    <w:rPr>
                      <w:rFonts w:hint="default"/>
                      <w:color w:val="0000FF"/>
                    </w:rPr>
                  </w:pPr>
                </w:p>
                <w:p w14:paraId="72C7051B">
                  <w:pPr>
                    <w:rPr>
                      <w:rFonts w:hint="default"/>
                      <w:color w:val="0000FF"/>
                    </w:rPr>
                  </w:pPr>
                </w:p>
                <w:p w14:paraId="5A711BD0">
                  <w:pPr>
                    <w:rPr>
                      <w:rFonts w:hint="default"/>
                      <w:color w:val="0000FF"/>
                    </w:rPr>
                  </w:pPr>
                </w:p>
                <w:p w14:paraId="2DC7564E">
                  <w:pPr>
                    <w:rPr>
                      <w:rFonts w:hint="default"/>
                      <w:color w:val="0000FF"/>
                    </w:rPr>
                  </w:pPr>
                </w:p>
                <w:p w14:paraId="55AA836D">
                  <w:pPr>
                    <w:rPr>
                      <w:rFonts w:hint="default"/>
                      <w:color w:val="0000FF"/>
                    </w:rPr>
                  </w:pPr>
                </w:p>
                <w:p w14:paraId="183B197C">
                  <w:pPr>
                    <w:rPr>
                      <w:rFonts w:hint="default"/>
                      <w:color w:val="0000FF"/>
                    </w:rPr>
                  </w:pPr>
                </w:p>
                <w:p w14:paraId="13D0FED7">
                  <w:pPr>
                    <w:rPr>
                      <w:rFonts w:hint="default"/>
                      <w:color w:val="0000FF"/>
                    </w:rPr>
                  </w:pPr>
                </w:p>
              </w:tc>
              <w:tc>
                <w:tcPr>
                  <w:tcW w:w="2132" w:type="pct"/>
                  <w:tcBorders>
                    <w:tl2br w:val="nil"/>
                    <w:tr2bl w:val="nil"/>
                  </w:tcBorders>
                  <w:vAlign w:val="center"/>
                </w:tcPr>
                <w:p w14:paraId="46CE78DE">
                  <w:pPr>
                    <w:pStyle w:val="35"/>
                    <w:bidi w:val="0"/>
                    <w:rPr>
                      <w:rFonts w:hint="default"/>
                      <w:color w:val="auto"/>
                    </w:rPr>
                  </w:pPr>
                  <w:r>
                    <w:rPr>
                      <w:rFonts w:hint="default"/>
                      <w:color w:val="auto"/>
                    </w:rPr>
                    <w:t>1、加强重点流域水污染综合防治，持续开展瑞丽江、大盈江流域综合治理，稳定优良水体比例。</w:t>
                  </w:r>
                </w:p>
              </w:tc>
              <w:tc>
                <w:tcPr>
                  <w:tcW w:w="1809" w:type="pct"/>
                  <w:tcBorders>
                    <w:tl2br w:val="nil"/>
                    <w:tr2bl w:val="nil"/>
                  </w:tcBorders>
                  <w:vAlign w:val="center"/>
                </w:tcPr>
                <w:p w14:paraId="4792DEFD">
                  <w:pPr>
                    <w:pStyle w:val="35"/>
                    <w:bidi w:val="0"/>
                    <w:spacing w:line="240" w:lineRule="auto"/>
                    <w:ind w:firstLine="420" w:firstLineChars="200"/>
                    <w:jc w:val="both"/>
                    <w:rPr>
                      <w:rFonts w:hint="default"/>
                      <w:color w:val="0000FF"/>
                    </w:rPr>
                  </w:pPr>
                  <w:r>
                    <w:rPr>
                      <w:rFonts w:hint="default" w:eastAsia="宋体" w:cs="Times New Roman"/>
                      <w:color w:val="auto"/>
                      <w:spacing w:val="0"/>
                      <w:position w:val="0"/>
                      <w:sz w:val="21"/>
                      <w:szCs w:val="21"/>
                      <w:lang w:val="en-US" w:eastAsia="zh-CN"/>
                    </w:rPr>
                    <w:t>项目涉及的地表水</w:t>
                  </w:r>
                  <w:r>
                    <w:rPr>
                      <w:rFonts w:hint="eastAsia" w:cs="Times New Roman"/>
                      <w:color w:val="auto"/>
                      <w:spacing w:val="0"/>
                      <w:position w:val="0"/>
                      <w:sz w:val="21"/>
                      <w:szCs w:val="21"/>
                      <w:lang w:val="en-US" w:eastAsia="zh-CN"/>
                    </w:rPr>
                    <w:t>为芒市大河，</w:t>
                  </w:r>
                  <w:r>
                    <w:rPr>
                      <w:rFonts w:hint="default" w:eastAsia="宋体" w:cs="Times New Roman"/>
                      <w:color w:val="auto"/>
                      <w:spacing w:val="0"/>
                      <w:position w:val="0"/>
                      <w:sz w:val="21"/>
                      <w:szCs w:val="21"/>
                      <w:lang w:val="en-US" w:eastAsia="zh-CN"/>
                    </w:rPr>
                    <w:t>可满足《地表水环境质量标准》（GB3838-2002）的III类标准</w:t>
                  </w:r>
                  <w:r>
                    <w:rPr>
                      <w:rFonts w:hint="eastAsia" w:cs="Times New Roman"/>
                      <w:color w:val="auto"/>
                      <w:spacing w:val="0"/>
                      <w:position w:val="0"/>
                      <w:sz w:val="21"/>
                      <w:szCs w:val="21"/>
                      <w:lang w:val="en-US" w:eastAsia="zh-CN"/>
                    </w:rPr>
                    <w:t>，</w:t>
                  </w:r>
                  <w:r>
                    <w:rPr>
                      <w:rFonts w:hint="default" w:eastAsia="宋体" w:cs="Times New Roman"/>
                      <w:color w:val="auto"/>
                      <w:spacing w:val="0"/>
                      <w:position w:val="0"/>
                      <w:sz w:val="21"/>
                      <w:szCs w:val="21"/>
                      <w:lang w:val="en-US" w:eastAsia="zh-CN"/>
                    </w:rPr>
                    <w:t>水环境质量良好</w:t>
                  </w:r>
                  <w:r>
                    <w:rPr>
                      <w:rFonts w:hint="eastAsia" w:cs="Times New Roman"/>
                      <w:color w:val="auto"/>
                      <w:spacing w:val="0"/>
                      <w:position w:val="0"/>
                      <w:sz w:val="21"/>
                      <w:szCs w:val="21"/>
                      <w:lang w:val="en-US" w:eastAsia="zh-CN"/>
                    </w:rPr>
                    <w:t>。</w:t>
                  </w:r>
                  <w:r>
                    <w:rPr>
                      <w:rFonts w:hint="default" w:eastAsia="宋体" w:cs="Times New Roman"/>
                      <w:color w:val="auto"/>
                      <w:spacing w:val="0"/>
                      <w:position w:val="0"/>
                      <w:sz w:val="21"/>
                      <w:szCs w:val="21"/>
                      <w:lang w:val="en-US" w:eastAsia="zh-CN"/>
                    </w:rPr>
                    <w:t>本工程是以防洪为主要任务的建设项目，施工废水处理后回用，对周边水体水环境影响很小，运行期工程本身不排放污染物，工程</w:t>
                  </w:r>
                  <w:r>
                    <w:rPr>
                      <w:rFonts w:hint="eastAsia" w:cs="Times New Roman"/>
                      <w:color w:val="auto"/>
                      <w:spacing w:val="0"/>
                      <w:position w:val="0"/>
                      <w:sz w:val="21"/>
                      <w:szCs w:val="21"/>
                      <w:lang w:val="en-US" w:eastAsia="zh-CN"/>
                    </w:rPr>
                    <w:t>建设</w:t>
                  </w:r>
                  <w:r>
                    <w:rPr>
                      <w:rFonts w:hint="eastAsia" w:eastAsia="宋体" w:cs="Times New Roman"/>
                      <w:color w:val="auto"/>
                      <w:spacing w:val="0"/>
                      <w:position w:val="0"/>
                      <w:sz w:val="21"/>
                      <w:szCs w:val="21"/>
                      <w:lang w:val="en-US" w:eastAsia="zh-CN"/>
                    </w:rPr>
                    <w:t>不会对芒市大河水利造成长期不利影响，通过项目的设施本工程的实施可提高该治理河段防洪能力，减少防洪应急抢险的负担，确保沿河村寨居民的生命财产免受洪水危害项目运营期呈现生态正效应</w:t>
                  </w:r>
                  <w:r>
                    <w:rPr>
                      <w:rFonts w:hint="default" w:eastAsia="宋体" w:cs="Times New Roman"/>
                      <w:color w:val="auto"/>
                      <w:spacing w:val="0"/>
                      <w:position w:val="0"/>
                      <w:sz w:val="21"/>
                      <w:szCs w:val="21"/>
                      <w:lang w:val="en-US" w:eastAsia="zh-CN"/>
                    </w:rPr>
                    <w:t>。</w:t>
                  </w:r>
                </w:p>
              </w:tc>
              <w:tc>
                <w:tcPr>
                  <w:tcW w:w="490" w:type="pct"/>
                  <w:tcBorders>
                    <w:tl2br w:val="nil"/>
                    <w:tr2bl w:val="nil"/>
                  </w:tcBorders>
                  <w:vAlign w:val="center"/>
                </w:tcPr>
                <w:p w14:paraId="50268A28">
                  <w:pPr>
                    <w:pStyle w:val="35"/>
                    <w:bidi w:val="0"/>
                    <w:rPr>
                      <w:rFonts w:hint="default"/>
                      <w:color w:val="0000FF"/>
                    </w:rPr>
                  </w:pPr>
                  <w:r>
                    <w:rPr>
                      <w:rFonts w:hint="default"/>
                      <w:color w:val="auto"/>
                    </w:rPr>
                    <w:t>符合</w:t>
                  </w:r>
                </w:p>
              </w:tc>
            </w:tr>
            <w:tr w14:paraId="1EDC5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tcBorders>
                    <w:tl2br w:val="nil"/>
                    <w:tr2bl w:val="nil"/>
                  </w:tcBorders>
                  <w:vAlign w:val="center"/>
                </w:tcPr>
                <w:p w14:paraId="54E0A085">
                  <w:pPr>
                    <w:pStyle w:val="35"/>
                    <w:bidi w:val="0"/>
                    <w:rPr>
                      <w:rFonts w:hint="default"/>
                      <w:color w:val="0000FF"/>
                    </w:rPr>
                  </w:pPr>
                </w:p>
              </w:tc>
              <w:tc>
                <w:tcPr>
                  <w:tcW w:w="322" w:type="pct"/>
                  <w:vMerge w:val="continue"/>
                  <w:tcBorders>
                    <w:tl2br w:val="nil"/>
                    <w:tr2bl w:val="nil"/>
                  </w:tcBorders>
                  <w:vAlign w:val="center"/>
                </w:tcPr>
                <w:p w14:paraId="21B5CA5B">
                  <w:pPr>
                    <w:pStyle w:val="35"/>
                    <w:bidi w:val="0"/>
                    <w:rPr>
                      <w:rFonts w:hint="default"/>
                      <w:color w:val="0000FF"/>
                    </w:rPr>
                  </w:pPr>
                </w:p>
              </w:tc>
              <w:tc>
                <w:tcPr>
                  <w:tcW w:w="2132" w:type="pct"/>
                  <w:tcBorders>
                    <w:tl2br w:val="nil"/>
                    <w:tr2bl w:val="nil"/>
                  </w:tcBorders>
                  <w:vAlign w:val="center"/>
                </w:tcPr>
                <w:p w14:paraId="612A8CA3">
                  <w:pPr>
                    <w:pStyle w:val="35"/>
                    <w:bidi w:val="0"/>
                    <w:rPr>
                      <w:rFonts w:hint="default"/>
                      <w:color w:val="auto"/>
                    </w:rPr>
                  </w:pPr>
                  <w:r>
                    <w:rPr>
                      <w:rFonts w:hint="default"/>
                      <w:color w:val="auto"/>
                    </w:rPr>
                    <w:t>2、对芒市大河风平断面等水质有反弹风险的水体，推动精准治污，确保水质稳定达标。水质稳定达标前，芒市大河新建、改建、扩建重点行业建设项目实行主要污染物排放减量置换。</w:t>
                  </w:r>
                </w:p>
              </w:tc>
              <w:tc>
                <w:tcPr>
                  <w:tcW w:w="1809" w:type="pct"/>
                  <w:tcBorders>
                    <w:tl2br w:val="nil"/>
                    <w:tr2bl w:val="nil"/>
                  </w:tcBorders>
                  <w:vAlign w:val="center"/>
                </w:tcPr>
                <w:p w14:paraId="2C389095">
                  <w:pPr>
                    <w:pStyle w:val="35"/>
                    <w:bidi w:val="0"/>
                    <w:ind w:firstLine="420" w:firstLineChars="200"/>
                    <w:jc w:val="both"/>
                    <w:rPr>
                      <w:rFonts w:hint="eastAsia" w:eastAsia="宋体"/>
                      <w:color w:val="0000FF"/>
                      <w:lang w:eastAsia="zh-CN"/>
                    </w:rPr>
                  </w:pPr>
                  <w:r>
                    <w:rPr>
                      <w:rFonts w:hint="default" w:eastAsia="宋体" w:cs="Times New Roman"/>
                      <w:color w:val="auto"/>
                      <w:spacing w:val="0"/>
                      <w:position w:val="0"/>
                      <w:lang w:val="en-US" w:eastAsia="zh-CN"/>
                    </w:rPr>
                    <w:t>本项目为河道治理工程，</w:t>
                  </w:r>
                  <w:r>
                    <w:rPr>
                      <w:rFonts w:hint="eastAsia"/>
                      <w:color w:val="auto"/>
                      <w:lang w:eastAsia="zh-CN"/>
                    </w:rPr>
                    <w:t>属于非污染型建设项目</w:t>
                  </w:r>
                  <w:r>
                    <w:rPr>
                      <w:rFonts w:hint="eastAsia" w:eastAsia="宋体" w:cs="Times New Roman"/>
                      <w:color w:val="auto"/>
                      <w:spacing w:val="0"/>
                      <w:position w:val="0"/>
                      <w:lang w:val="en-US" w:eastAsia="zh-CN"/>
                    </w:rPr>
                    <w:t>，项目不属于</w:t>
                  </w:r>
                  <w:r>
                    <w:rPr>
                      <w:rFonts w:hint="default"/>
                      <w:color w:val="auto"/>
                    </w:rPr>
                    <w:t>新建、改建、扩建重点行业建设项目</w:t>
                  </w:r>
                  <w:r>
                    <w:rPr>
                      <w:rFonts w:hint="eastAsia"/>
                      <w:color w:val="auto"/>
                      <w:lang w:eastAsia="zh-CN"/>
                    </w:rPr>
                    <w:t>。</w:t>
                  </w:r>
                </w:p>
              </w:tc>
              <w:tc>
                <w:tcPr>
                  <w:tcW w:w="490" w:type="pct"/>
                  <w:tcBorders>
                    <w:tl2br w:val="nil"/>
                    <w:tr2bl w:val="nil"/>
                  </w:tcBorders>
                  <w:vAlign w:val="center"/>
                </w:tcPr>
                <w:p w14:paraId="04674268">
                  <w:pPr>
                    <w:pStyle w:val="35"/>
                    <w:bidi w:val="0"/>
                    <w:rPr>
                      <w:rFonts w:hint="eastAsia" w:eastAsia="宋体"/>
                      <w:color w:val="auto"/>
                      <w:lang w:eastAsia="zh-CN"/>
                    </w:rPr>
                  </w:pPr>
                  <w:r>
                    <w:rPr>
                      <w:rFonts w:hint="eastAsia"/>
                      <w:color w:val="auto"/>
                      <w:lang w:eastAsia="zh-CN"/>
                    </w:rPr>
                    <w:t>不涉及</w:t>
                  </w:r>
                </w:p>
              </w:tc>
            </w:tr>
            <w:tr w14:paraId="0F346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244" w:type="pct"/>
                  <w:vMerge w:val="continue"/>
                  <w:tcBorders>
                    <w:tl2br w:val="nil"/>
                    <w:tr2bl w:val="nil"/>
                  </w:tcBorders>
                  <w:vAlign w:val="center"/>
                </w:tcPr>
                <w:p w14:paraId="3D6C4DC6">
                  <w:pPr>
                    <w:pStyle w:val="35"/>
                    <w:bidi w:val="0"/>
                    <w:rPr>
                      <w:rFonts w:hint="default"/>
                      <w:color w:val="0000FF"/>
                    </w:rPr>
                  </w:pPr>
                </w:p>
              </w:tc>
              <w:tc>
                <w:tcPr>
                  <w:tcW w:w="322" w:type="pct"/>
                  <w:vMerge w:val="continue"/>
                  <w:tcBorders>
                    <w:tl2br w:val="nil"/>
                    <w:tr2bl w:val="nil"/>
                  </w:tcBorders>
                  <w:vAlign w:val="center"/>
                </w:tcPr>
                <w:p w14:paraId="2C77211E">
                  <w:pPr>
                    <w:pStyle w:val="35"/>
                    <w:bidi w:val="0"/>
                    <w:rPr>
                      <w:rFonts w:hint="default"/>
                      <w:color w:val="0000FF"/>
                    </w:rPr>
                  </w:pPr>
                </w:p>
              </w:tc>
              <w:tc>
                <w:tcPr>
                  <w:tcW w:w="2132" w:type="pct"/>
                  <w:tcBorders>
                    <w:tl2br w:val="nil"/>
                    <w:tr2bl w:val="nil"/>
                  </w:tcBorders>
                  <w:vAlign w:val="center"/>
                </w:tcPr>
                <w:p w14:paraId="3F673828">
                  <w:pPr>
                    <w:pStyle w:val="35"/>
                    <w:bidi w:val="0"/>
                    <w:jc w:val="both"/>
                    <w:rPr>
                      <w:rFonts w:hint="default"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3、以大盈江、瑞丽江、槟榔江为重点，开展生态流量保障工作，重点保障枯水期生态基流。以小水电无序开发、水资源利用不合理导致的减脱水河段为重点，明确小水电整治、改造、生态修复任务。</w:t>
                  </w:r>
                </w:p>
              </w:tc>
              <w:tc>
                <w:tcPr>
                  <w:tcW w:w="1809" w:type="pct"/>
                  <w:tcBorders>
                    <w:tl2br w:val="nil"/>
                    <w:tr2bl w:val="nil"/>
                  </w:tcBorders>
                  <w:vAlign w:val="center"/>
                </w:tcPr>
                <w:p w14:paraId="2BAC842A">
                  <w:pPr>
                    <w:pStyle w:val="35"/>
                    <w:bidi w:val="0"/>
                    <w:ind w:firstLine="420" w:firstLineChars="200"/>
                    <w:jc w:val="both"/>
                    <w:rPr>
                      <w:rFonts w:hint="eastAsia" w:ascii="Times New Roman" w:hAnsi="Times New Roman" w:eastAsia="宋体" w:cs="Times New Roman"/>
                      <w:color w:val="auto"/>
                      <w:spacing w:val="0"/>
                      <w:position w:val="0"/>
                      <w:lang w:val="en-US" w:eastAsia="zh-CN"/>
                    </w:rPr>
                  </w:pPr>
                  <w:r>
                    <w:rPr>
                      <w:rFonts w:hint="default" w:ascii="Times New Roman" w:hAnsi="Times New Roman" w:eastAsia="宋体" w:cs="Times New Roman"/>
                      <w:color w:val="auto"/>
                      <w:spacing w:val="0"/>
                      <w:position w:val="0"/>
                      <w:lang w:val="en-US" w:eastAsia="zh-CN"/>
                    </w:rPr>
                    <w:t>本项目为河道治理工程</w:t>
                  </w:r>
                  <w:r>
                    <w:rPr>
                      <w:rFonts w:hint="eastAsia" w:ascii="Times New Roman" w:hAnsi="Times New Roman" w:eastAsia="宋体" w:cs="Times New Roman"/>
                      <w:color w:val="auto"/>
                      <w:spacing w:val="0"/>
                      <w:position w:val="0"/>
                      <w:lang w:val="en-US" w:eastAsia="zh-CN"/>
                    </w:rPr>
                    <w:t>，不属于</w:t>
                  </w:r>
                  <w:r>
                    <w:rPr>
                      <w:rFonts w:hint="default" w:ascii="Times New Roman" w:hAnsi="Times New Roman" w:eastAsia="宋体" w:cs="Times New Roman"/>
                      <w:color w:val="auto"/>
                      <w:spacing w:val="0"/>
                      <w:position w:val="0"/>
                      <w:lang w:val="en-US" w:eastAsia="zh-CN"/>
                    </w:rPr>
                    <w:t>小水电</w:t>
                  </w:r>
                  <w:r>
                    <w:rPr>
                      <w:rFonts w:hint="eastAsia" w:ascii="Times New Roman" w:hAnsi="Times New Roman" w:eastAsia="宋体" w:cs="Times New Roman"/>
                      <w:color w:val="auto"/>
                      <w:spacing w:val="0"/>
                      <w:position w:val="0"/>
                      <w:lang w:val="en-US" w:eastAsia="zh-CN"/>
                    </w:rPr>
                    <w:t>开发项目，不涉及水资源利用。</w:t>
                  </w:r>
                </w:p>
              </w:tc>
              <w:tc>
                <w:tcPr>
                  <w:tcW w:w="490" w:type="pct"/>
                  <w:tcBorders>
                    <w:tl2br w:val="nil"/>
                    <w:tr2bl w:val="nil"/>
                  </w:tcBorders>
                  <w:vAlign w:val="center"/>
                </w:tcPr>
                <w:p w14:paraId="633F4074">
                  <w:pPr>
                    <w:pStyle w:val="35"/>
                    <w:bidi w:val="0"/>
                    <w:rPr>
                      <w:rFonts w:hint="default"/>
                      <w:color w:val="auto"/>
                    </w:rPr>
                  </w:pPr>
                  <w:r>
                    <w:rPr>
                      <w:rFonts w:hint="eastAsia"/>
                      <w:color w:val="auto"/>
                      <w:lang w:eastAsia="zh-CN"/>
                    </w:rPr>
                    <w:t>不涉及</w:t>
                  </w:r>
                </w:p>
              </w:tc>
            </w:tr>
            <w:tr w14:paraId="72959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244" w:type="pct"/>
                  <w:vMerge w:val="continue"/>
                  <w:tcBorders>
                    <w:tl2br w:val="nil"/>
                    <w:tr2bl w:val="nil"/>
                  </w:tcBorders>
                  <w:vAlign w:val="center"/>
                </w:tcPr>
                <w:p w14:paraId="04B7A866">
                  <w:pPr>
                    <w:pStyle w:val="35"/>
                    <w:bidi w:val="0"/>
                    <w:rPr>
                      <w:rFonts w:hint="default"/>
                      <w:color w:val="0000FF"/>
                    </w:rPr>
                  </w:pPr>
                </w:p>
              </w:tc>
              <w:tc>
                <w:tcPr>
                  <w:tcW w:w="322" w:type="pct"/>
                  <w:vMerge w:val="continue"/>
                  <w:tcBorders>
                    <w:tl2br w:val="nil"/>
                    <w:tr2bl w:val="nil"/>
                  </w:tcBorders>
                  <w:vAlign w:val="center"/>
                </w:tcPr>
                <w:p w14:paraId="42359416">
                  <w:pPr>
                    <w:pStyle w:val="35"/>
                    <w:bidi w:val="0"/>
                    <w:rPr>
                      <w:rFonts w:hint="default"/>
                      <w:color w:val="0000FF"/>
                    </w:rPr>
                  </w:pPr>
                </w:p>
              </w:tc>
              <w:tc>
                <w:tcPr>
                  <w:tcW w:w="2132" w:type="pct"/>
                  <w:tcBorders>
                    <w:tl2br w:val="nil"/>
                    <w:tr2bl w:val="nil"/>
                  </w:tcBorders>
                  <w:vAlign w:val="center"/>
                </w:tcPr>
                <w:p w14:paraId="53CB1953">
                  <w:pPr>
                    <w:pStyle w:val="35"/>
                    <w:bidi w:val="0"/>
                    <w:rPr>
                      <w:rFonts w:hint="default"/>
                      <w:color w:val="auto"/>
                    </w:rPr>
                  </w:pPr>
                  <w:r>
                    <w:rPr>
                      <w:rFonts w:hint="default"/>
                      <w:color w:val="auto"/>
                    </w:rPr>
                    <w:t>4、严格保护城乡饮用水水源地，整治饮用水水源保护区内的污染源，确保饮水安全。完善城乡“两污”设施，确保城镇生活污水、垃圾处理设施全覆盖，并确保设施稳定运行。推进农村面源污染治理。推进工业园区、工矿企业污水处理设施全覆盖和利用效率最大化。</w:t>
                  </w:r>
                </w:p>
              </w:tc>
              <w:tc>
                <w:tcPr>
                  <w:tcW w:w="1809" w:type="pct"/>
                  <w:tcBorders>
                    <w:tl2br w:val="nil"/>
                    <w:tr2bl w:val="nil"/>
                  </w:tcBorders>
                  <w:vAlign w:val="center"/>
                </w:tcPr>
                <w:p w14:paraId="24A2369E">
                  <w:pPr>
                    <w:pStyle w:val="35"/>
                    <w:bidi w:val="0"/>
                    <w:rPr>
                      <w:rFonts w:hint="eastAsia" w:eastAsia="宋体"/>
                      <w:color w:val="auto"/>
                      <w:lang w:eastAsia="zh-CN"/>
                    </w:rPr>
                  </w:pPr>
                  <w:r>
                    <w:rPr>
                      <w:rFonts w:hint="eastAsia"/>
                      <w:color w:val="auto"/>
                      <w:lang w:eastAsia="zh-CN"/>
                    </w:rPr>
                    <w:t>本项目不涉及。</w:t>
                  </w:r>
                </w:p>
              </w:tc>
              <w:tc>
                <w:tcPr>
                  <w:tcW w:w="490" w:type="pct"/>
                  <w:tcBorders>
                    <w:tl2br w:val="nil"/>
                    <w:tr2bl w:val="nil"/>
                  </w:tcBorders>
                  <w:vAlign w:val="center"/>
                </w:tcPr>
                <w:p w14:paraId="104BA19A">
                  <w:pPr>
                    <w:pStyle w:val="35"/>
                    <w:bidi w:val="0"/>
                    <w:rPr>
                      <w:rFonts w:hint="default"/>
                      <w:color w:val="auto"/>
                    </w:rPr>
                  </w:pPr>
                  <w:r>
                    <w:rPr>
                      <w:rFonts w:hint="eastAsia"/>
                      <w:color w:val="auto"/>
                      <w:lang w:eastAsia="zh-CN"/>
                    </w:rPr>
                    <w:t>不涉及</w:t>
                  </w:r>
                </w:p>
              </w:tc>
            </w:tr>
            <w:tr w14:paraId="1FEA1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5" w:hRule="atLeast"/>
                <w:jc w:val="center"/>
              </w:trPr>
              <w:tc>
                <w:tcPr>
                  <w:tcW w:w="244" w:type="pct"/>
                  <w:vMerge w:val="continue"/>
                  <w:tcBorders>
                    <w:tl2br w:val="nil"/>
                    <w:tr2bl w:val="nil"/>
                  </w:tcBorders>
                  <w:vAlign w:val="center"/>
                </w:tcPr>
                <w:p w14:paraId="4CE44A2F">
                  <w:pPr>
                    <w:pStyle w:val="35"/>
                    <w:bidi w:val="0"/>
                    <w:rPr>
                      <w:rFonts w:hint="default"/>
                      <w:color w:val="0000FF"/>
                    </w:rPr>
                  </w:pPr>
                </w:p>
              </w:tc>
              <w:tc>
                <w:tcPr>
                  <w:tcW w:w="322" w:type="pct"/>
                  <w:vMerge w:val="continue"/>
                  <w:tcBorders>
                    <w:tl2br w:val="nil"/>
                    <w:tr2bl w:val="nil"/>
                  </w:tcBorders>
                  <w:vAlign w:val="center"/>
                </w:tcPr>
                <w:p w14:paraId="24DE8BCC">
                  <w:pPr>
                    <w:pStyle w:val="35"/>
                    <w:bidi w:val="0"/>
                    <w:rPr>
                      <w:rFonts w:hint="default"/>
                      <w:color w:val="0000FF"/>
                    </w:rPr>
                  </w:pPr>
                </w:p>
              </w:tc>
              <w:tc>
                <w:tcPr>
                  <w:tcW w:w="2132" w:type="pct"/>
                  <w:tcBorders>
                    <w:tl2br w:val="nil"/>
                    <w:tr2bl w:val="nil"/>
                  </w:tcBorders>
                  <w:vAlign w:val="center"/>
                </w:tcPr>
                <w:p w14:paraId="021B533E">
                  <w:pPr>
                    <w:pStyle w:val="35"/>
                    <w:bidi w:val="0"/>
                    <w:rPr>
                      <w:rFonts w:hint="default"/>
                      <w:color w:val="auto"/>
                    </w:rPr>
                  </w:pPr>
                  <w:r>
                    <w:rPr>
                      <w:rFonts w:hint="default"/>
                      <w:color w:val="auto"/>
                    </w:rPr>
                    <w:t>5、加大挥发性有机物减排力度，扎实推动PM2.5和O3协同控制，有效提升优良天数比例。在持续推进氮氧化物减排的基础上，重点加大石化、化工及含挥发性有机化合物产品制造企业和喷漆、制鞋、印刷、电子、服装干洗等行业的清洁生产和污染治理力度，严控生产过程中逃逸性有机气体的排放。</w:t>
                  </w:r>
                </w:p>
              </w:tc>
              <w:tc>
                <w:tcPr>
                  <w:tcW w:w="1809" w:type="pct"/>
                  <w:tcBorders>
                    <w:tl2br w:val="nil"/>
                    <w:tr2bl w:val="nil"/>
                  </w:tcBorders>
                  <w:vAlign w:val="center"/>
                </w:tcPr>
                <w:p w14:paraId="31CEAC48">
                  <w:pPr>
                    <w:pStyle w:val="35"/>
                    <w:bidi w:val="0"/>
                    <w:ind w:firstLine="420" w:firstLineChars="200"/>
                    <w:jc w:val="both"/>
                    <w:rPr>
                      <w:rFonts w:hint="eastAsia" w:eastAsia="宋体"/>
                      <w:color w:val="auto"/>
                      <w:lang w:eastAsia="zh-CN"/>
                    </w:rPr>
                  </w:pPr>
                  <w:r>
                    <w:rPr>
                      <w:rFonts w:hint="eastAsia"/>
                      <w:color w:val="auto"/>
                      <w:lang w:eastAsia="zh-CN"/>
                    </w:rPr>
                    <w:t>本项目不涉及</w:t>
                  </w:r>
                  <w:r>
                    <w:rPr>
                      <w:rFonts w:hint="default"/>
                      <w:color w:val="auto"/>
                    </w:rPr>
                    <w:t>石化、化工及含挥发性有机化合物产品制造企业和喷漆、制鞋、印刷、电子、服装干洗等行业</w:t>
                  </w:r>
                  <w:r>
                    <w:rPr>
                      <w:rFonts w:hint="eastAsia"/>
                      <w:color w:val="auto"/>
                      <w:lang w:eastAsia="zh-CN"/>
                    </w:rPr>
                    <w:t>。</w:t>
                  </w:r>
                </w:p>
              </w:tc>
              <w:tc>
                <w:tcPr>
                  <w:tcW w:w="490" w:type="pct"/>
                  <w:tcBorders>
                    <w:tl2br w:val="nil"/>
                    <w:tr2bl w:val="nil"/>
                  </w:tcBorders>
                  <w:vAlign w:val="center"/>
                </w:tcPr>
                <w:p w14:paraId="308E81F0">
                  <w:pPr>
                    <w:pStyle w:val="35"/>
                    <w:bidi w:val="0"/>
                    <w:rPr>
                      <w:rFonts w:hint="eastAsia" w:eastAsia="宋体"/>
                      <w:color w:val="auto"/>
                      <w:lang w:eastAsia="zh-CN"/>
                    </w:rPr>
                  </w:pPr>
                  <w:r>
                    <w:rPr>
                      <w:rFonts w:hint="eastAsia"/>
                      <w:color w:val="auto"/>
                      <w:lang w:eastAsia="zh-CN"/>
                    </w:rPr>
                    <w:t>不涉及</w:t>
                  </w:r>
                </w:p>
              </w:tc>
            </w:tr>
            <w:tr w14:paraId="37673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244" w:type="pct"/>
                  <w:vMerge w:val="continue"/>
                  <w:tcBorders>
                    <w:tl2br w:val="nil"/>
                    <w:tr2bl w:val="nil"/>
                  </w:tcBorders>
                  <w:vAlign w:val="center"/>
                </w:tcPr>
                <w:p w14:paraId="601F9E95">
                  <w:pPr>
                    <w:pStyle w:val="35"/>
                    <w:bidi w:val="0"/>
                    <w:rPr>
                      <w:rFonts w:hint="default"/>
                      <w:color w:val="0000FF"/>
                    </w:rPr>
                  </w:pPr>
                </w:p>
              </w:tc>
              <w:tc>
                <w:tcPr>
                  <w:tcW w:w="322" w:type="pct"/>
                  <w:vMerge w:val="continue"/>
                  <w:tcBorders>
                    <w:tl2br w:val="nil"/>
                    <w:tr2bl w:val="nil"/>
                  </w:tcBorders>
                  <w:vAlign w:val="center"/>
                </w:tcPr>
                <w:p w14:paraId="31DCDDCD">
                  <w:pPr>
                    <w:pStyle w:val="35"/>
                    <w:bidi w:val="0"/>
                    <w:rPr>
                      <w:rFonts w:hint="default"/>
                      <w:color w:val="0000FF"/>
                    </w:rPr>
                  </w:pPr>
                </w:p>
              </w:tc>
              <w:tc>
                <w:tcPr>
                  <w:tcW w:w="2132" w:type="pct"/>
                  <w:tcBorders>
                    <w:tl2br w:val="nil"/>
                    <w:tr2bl w:val="nil"/>
                  </w:tcBorders>
                  <w:vAlign w:val="center"/>
                </w:tcPr>
                <w:p w14:paraId="2418B8D9">
                  <w:pPr>
                    <w:pStyle w:val="35"/>
                    <w:bidi w:val="0"/>
                    <w:rPr>
                      <w:rFonts w:hint="default"/>
                      <w:color w:val="auto"/>
                    </w:rPr>
                  </w:pPr>
                  <w:r>
                    <w:rPr>
                      <w:rFonts w:hint="default"/>
                      <w:color w:val="auto"/>
                    </w:rPr>
                    <w:t>6、提高工业硅、水泥等高耗能产业减量置换比例，把高能效和低碳排放纳入产能减量置换门槛，明确重点行业二氧化碳排放达峰目标，控制工业、交通、建筑等行业温室气体排放。</w:t>
                  </w:r>
                </w:p>
              </w:tc>
              <w:tc>
                <w:tcPr>
                  <w:tcW w:w="1809" w:type="pct"/>
                  <w:tcBorders>
                    <w:tl2br w:val="nil"/>
                    <w:tr2bl w:val="nil"/>
                  </w:tcBorders>
                  <w:vAlign w:val="center"/>
                </w:tcPr>
                <w:p w14:paraId="0410E644">
                  <w:pPr>
                    <w:pStyle w:val="35"/>
                    <w:bidi w:val="0"/>
                    <w:rPr>
                      <w:rFonts w:hint="eastAsia" w:eastAsia="宋体"/>
                      <w:color w:val="auto"/>
                      <w:lang w:eastAsia="zh-CN"/>
                    </w:rPr>
                  </w:pPr>
                  <w:r>
                    <w:rPr>
                      <w:rFonts w:hint="eastAsia"/>
                      <w:color w:val="auto"/>
                      <w:lang w:eastAsia="zh-CN"/>
                    </w:rPr>
                    <w:t>本项目不涉及</w:t>
                  </w:r>
                </w:p>
              </w:tc>
              <w:tc>
                <w:tcPr>
                  <w:tcW w:w="490" w:type="pct"/>
                  <w:tcBorders>
                    <w:tl2br w:val="nil"/>
                    <w:tr2bl w:val="nil"/>
                  </w:tcBorders>
                  <w:vAlign w:val="center"/>
                </w:tcPr>
                <w:p w14:paraId="058186FA">
                  <w:pPr>
                    <w:pStyle w:val="35"/>
                    <w:bidi w:val="0"/>
                    <w:rPr>
                      <w:rFonts w:hint="default"/>
                      <w:color w:val="auto"/>
                    </w:rPr>
                  </w:pPr>
                  <w:r>
                    <w:rPr>
                      <w:rFonts w:hint="eastAsia"/>
                      <w:color w:val="auto"/>
                      <w:lang w:eastAsia="zh-CN"/>
                    </w:rPr>
                    <w:t>不涉及</w:t>
                  </w:r>
                </w:p>
              </w:tc>
            </w:tr>
            <w:tr w14:paraId="36960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tcBorders>
                    <w:tl2br w:val="nil"/>
                    <w:tr2bl w:val="nil"/>
                  </w:tcBorders>
                  <w:vAlign w:val="center"/>
                </w:tcPr>
                <w:p w14:paraId="7AEB12C4">
                  <w:pPr>
                    <w:pStyle w:val="35"/>
                    <w:bidi w:val="0"/>
                    <w:rPr>
                      <w:rFonts w:hint="default"/>
                      <w:color w:val="0000FF"/>
                    </w:rPr>
                  </w:pPr>
                </w:p>
              </w:tc>
              <w:tc>
                <w:tcPr>
                  <w:tcW w:w="322" w:type="pct"/>
                  <w:vMerge w:val="continue"/>
                  <w:tcBorders>
                    <w:tl2br w:val="nil"/>
                    <w:tr2bl w:val="nil"/>
                  </w:tcBorders>
                  <w:vAlign w:val="center"/>
                </w:tcPr>
                <w:p w14:paraId="779808BC">
                  <w:pPr>
                    <w:pStyle w:val="35"/>
                    <w:bidi w:val="0"/>
                    <w:rPr>
                      <w:rFonts w:hint="default"/>
                      <w:color w:val="0000FF"/>
                    </w:rPr>
                  </w:pPr>
                </w:p>
              </w:tc>
              <w:tc>
                <w:tcPr>
                  <w:tcW w:w="2132" w:type="pct"/>
                  <w:tcBorders>
                    <w:tl2br w:val="nil"/>
                    <w:tr2bl w:val="nil"/>
                  </w:tcBorders>
                  <w:vAlign w:val="center"/>
                </w:tcPr>
                <w:p w14:paraId="2001C877">
                  <w:pPr>
                    <w:pStyle w:val="35"/>
                    <w:bidi w:val="0"/>
                    <w:rPr>
                      <w:rFonts w:hint="default"/>
                      <w:color w:val="auto"/>
                    </w:rPr>
                  </w:pPr>
                  <w:r>
                    <w:rPr>
                      <w:rFonts w:hint="default"/>
                      <w:color w:val="auto"/>
                    </w:rPr>
                    <w:t>7、新（改、扩）建工业硅电炉必须为矮烟罩半封闭型或全密闭型，变压器容量达到2×25000千伏安及以上。</w:t>
                  </w:r>
                </w:p>
              </w:tc>
              <w:tc>
                <w:tcPr>
                  <w:tcW w:w="1809" w:type="pct"/>
                  <w:tcBorders>
                    <w:tl2br w:val="nil"/>
                    <w:tr2bl w:val="nil"/>
                  </w:tcBorders>
                  <w:vAlign w:val="center"/>
                </w:tcPr>
                <w:p w14:paraId="1C6082CA">
                  <w:pPr>
                    <w:pStyle w:val="35"/>
                    <w:bidi w:val="0"/>
                    <w:ind w:firstLine="0" w:firstLineChars="0"/>
                    <w:rPr>
                      <w:rFonts w:hint="default"/>
                      <w:color w:val="auto"/>
                    </w:rPr>
                  </w:pPr>
                  <w:r>
                    <w:rPr>
                      <w:rFonts w:hint="eastAsia"/>
                      <w:color w:val="auto"/>
                      <w:lang w:eastAsia="zh-CN"/>
                    </w:rPr>
                    <w:t>本项目不涉及</w:t>
                  </w:r>
                </w:p>
              </w:tc>
              <w:tc>
                <w:tcPr>
                  <w:tcW w:w="490" w:type="pct"/>
                  <w:tcBorders>
                    <w:tl2br w:val="nil"/>
                    <w:tr2bl w:val="nil"/>
                  </w:tcBorders>
                  <w:vAlign w:val="center"/>
                </w:tcPr>
                <w:p w14:paraId="6DE45CD1">
                  <w:pPr>
                    <w:pStyle w:val="35"/>
                    <w:bidi w:val="0"/>
                    <w:ind w:firstLine="0" w:firstLineChars="0"/>
                    <w:rPr>
                      <w:rFonts w:hint="default"/>
                      <w:color w:val="0000FF"/>
                    </w:rPr>
                  </w:pPr>
                  <w:r>
                    <w:rPr>
                      <w:rFonts w:hint="eastAsia"/>
                      <w:color w:val="auto"/>
                      <w:lang w:eastAsia="zh-CN"/>
                    </w:rPr>
                    <w:t>不涉及</w:t>
                  </w:r>
                </w:p>
              </w:tc>
            </w:tr>
            <w:tr w14:paraId="449A1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244" w:type="pct"/>
                  <w:vMerge w:val="continue"/>
                  <w:tcBorders>
                    <w:tl2br w:val="nil"/>
                    <w:tr2bl w:val="nil"/>
                  </w:tcBorders>
                  <w:vAlign w:val="center"/>
                </w:tcPr>
                <w:p w14:paraId="721F4A98">
                  <w:pPr>
                    <w:pStyle w:val="35"/>
                    <w:bidi w:val="0"/>
                    <w:rPr>
                      <w:rFonts w:hint="default"/>
                      <w:color w:val="0000FF"/>
                    </w:rPr>
                  </w:pPr>
                </w:p>
              </w:tc>
              <w:tc>
                <w:tcPr>
                  <w:tcW w:w="322" w:type="pct"/>
                  <w:vMerge w:val="continue"/>
                  <w:tcBorders>
                    <w:tl2br w:val="nil"/>
                    <w:tr2bl w:val="nil"/>
                  </w:tcBorders>
                  <w:vAlign w:val="center"/>
                </w:tcPr>
                <w:p w14:paraId="0CE874AA">
                  <w:pPr>
                    <w:pStyle w:val="35"/>
                    <w:bidi w:val="0"/>
                    <w:rPr>
                      <w:rFonts w:hint="default"/>
                      <w:color w:val="0000FF"/>
                    </w:rPr>
                  </w:pPr>
                </w:p>
              </w:tc>
              <w:tc>
                <w:tcPr>
                  <w:tcW w:w="2132" w:type="pct"/>
                  <w:tcBorders>
                    <w:tl2br w:val="nil"/>
                    <w:tr2bl w:val="nil"/>
                  </w:tcBorders>
                  <w:vAlign w:val="center"/>
                </w:tcPr>
                <w:p w14:paraId="526BB082">
                  <w:pPr>
                    <w:pStyle w:val="35"/>
                    <w:bidi w:val="0"/>
                    <w:rPr>
                      <w:rFonts w:hint="eastAsia" w:eastAsia="宋体"/>
                      <w:color w:val="auto"/>
                      <w:lang w:val="en-US" w:eastAsia="zh-CN"/>
                    </w:rPr>
                  </w:pPr>
                  <w:r>
                    <w:rPr>
                      <w:rFonts w:hint="eastAsia"/>
                      <w:color w:val="auto"/>
                      <w:lang w:val="en-US" w:eastAsia="zh-CN"/>
                    </w:rPr>
                    <w:t>8、实施工业污染源全面达标排放计划，加快工业硅等大气污染重点行业的脱硫技术改造。</w:t>
                  </w:r>
                </w:p>
              </w:tc>
              <w:tc>
                <w:tcPr>
                  <w:tcW w:w="1809" w:type="pct"/>
                  <w:tcBorders>
                    <w:tl2br w:val="nil"/>
                    <w:tr2bl w:val="nil"/>
                  </w:tcBorders>
                  <w:vAlign w:val="center"/>
                </w:tcPr>
                <w:p w14:paraId="28F58423">
                  <w:pPr>
                    <w:pStyle w:val="35"/>
                    <w:bidi w:val="0"/>
                    <w:ind w:firstLine="0" w:firstLineChars="0"/>
                    <w:rPr>
                      <w:rFonts w:hint="default"/>
                      <w:color w:val="auto"/>
                    </w:rPr>
                  </w:pPr>
                  <w:r>
                    <w:rPr>
                      <w:rFonts w:hint="eastAsia"/>
                      <w:color w:val="auto"/>
                      <w:lang w:eastAsia="zh-CN"/>
                    </w:rPr>
                    <w:t>本项目不涉及</w:t>
                  </w:r>
                </w:p>
              </w:tc>
              <w:tc>
                <w:tcPr>
                  <w:tcW w:w="490" w:type="pct"/>
                  <w:tcBorders>
                    <w:tl2br w:val="nil"/>
                    <w:tr2bl w:val="nil"/>
                  </w:tcBorders>
                  <w:vAlign w:val="center"/>
                </w:tcPr>
                <w:p w14:paraId="1731D7E2">
                  <w:pPr>
                    <w:pStyle w:val="35"/>
                    <w:bidi w:val="0"/>
                    <w:ind w:firstLine="0" w:firstLineChars="0"/>
                    <w:rPr>
                      <w:rFonts w:hint="default"/>
                      <w:color w:val="0000FF"/>
                    </w:rPr>
                  </w:pPr>
                  <w:r>
                    <w:rPr>
                      <w:rFonts w:hint="eastAsia"/>
                      <w:color w:val="auto"/>
                      <w:lang w:eastAsia="zh-CN"/>
                    </w:rPr>
                    <w:t>不涉及</w:t>
                  </w:r>
                </w:p>
              </w:tc>
            </w:tr>
            <w:tr w14:paraId="1555F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4" w:type="pct"/>
                  <w:vMerge w:val="continue"/>
                  <w:tcBorders>
                    <w:tl2br w:val="nil"/>
                    <w:tr2bl w:val="nil"/>
                  </w:tcBorders>
                  <w:vAlign w:val="center"/>
                </w:tcPr>
                <w:p w14:paraId="6873A955">
                  <w:pPr>
                    <w:pStyle w:val="35"/>
                    <w:bidi w:val="0"/>
                    <w:rPr>
                      <w:rFonts w:hint="default"/>
                      <w:color w:val="0000FF"/>
                    </w:rPr>
                  </w:pPr>
                </w:p>
              </w:tc>
              <w:tc>
                <w:tcPr>
                  <w:tcW w:w="322" w:type="pct"/>
                  <w:vMerge w:val="continue"/>
                  <w:tcBorders>
                    <w:tl2br w:val="nil"/>
                    <w:tr2bl w:val="nil"/>
                  </w:tcBorders>
                  <w:vAlign w:val="center"/>
                </w:tcPr>
                <w:p w14:paraId="581D9357">
                  <w:pPr>
                    <w:pStyle w:val="35"/>
                    <w:bidi w:val="0"/>
                    <w:rPr>
                      <w:rFonts w:hint="default"/>
                      <w:color w:val="0000FF"/>
                    </w:rPr>
                  </w:pPr>
                </w:p>
              </w:tc>
              <w:tc>
                <w:tcPr>
                  <w:tcW w:w="2132" w:type="pct"/>
                  <w:tcBorders>
                    <w:tl2br w:val="nil"/>
                    <w:tr2bl w:val="nil"/>
                  </w:tcBorders>
                  <w:vAlign w:val="center"/>
                </w:tcPr>
                <w:p w14:paraId="098C0B2E">
                  <w:pPr>
                    <w:pStyle w:val="35"/>
                    <w:bidi w:val="0"/>
                    <w:rPr>
                      <w:rFonts w:hint="eastAsia" w:eastAsia="宋体"/>
                      <w:color w:val="auto"/>
                      <w:lang w:val="en-US" w:eastAsia="zh-CN"/>
                    </w:rPr>
                  </w:pPr>
                  <w:r>
                    <w:rPr>
                      <w:rFonts w:hint="eastAsia"/>
                      <w:color w:val="auto"/>
                      <w:lang w:val="en-US" w:eastAsia="zh-CN"/>
                    </w:rPr>
                    <w:t>9、加强土壤污染防治，对农用地实施分类管理，对建设用地实行准入管理，确定土壤环境污染重点监管企业名单，实施土壤污染风险管控和修复名录制度，对污染地块开发利用实行联动监管。</w:t>
                  </w:r>
                </w:p>
              </w:tc>
              <w:tc>
                <w:tcPr>
                  <w:tcW w:w="1809" w:type="pct"/>
                  <w:tcBorders>
                    <w:tl2br w:val="nil"/>
                    <w:tr2bl w:val="nil"/>
                  </w:tcBorders>
                  <w:vAlign w:val="center"/>
                </w:tcPr>
                <w:p w14:paraId="3E7DD923">
                  <w:pPr>
                    <w:pStyle w:val="35"/>
                    <w:bidi w:val="0"/>
                    <w:ind w:firstLine="420" w:firstLineChars="200"/>
                    <w:jc w:val="both"/>
                    <w:rPr>
                      <w:rFonts w:hint="default"/>
                      <w:color w:val="auto"/>
                    </w:rPr>
                  </w:pPr>
                  <w:r>
                    <w:rPr>
                      <w:rFonts w:hint="eastAsia"/>
                      <w:color w:val="auto"/>
                      <w:sz w:val="21"/>
                      <w:szCs w:val="21"/>
                      <w:lang w:val="en-US" w:eastAsia="zh-CN"/>
                    </w:rPr>
                    <w:t>项目施工期做好各类废水固废的处置工作，废水不外排、固废处置率100%，正常情况下不存在土壤污染的途径。本项目为河道治理工程，属环境友好型建设项目，工程运营期不存在土壤污染途径</w:t>
                  </w:r>
                </w:p>
              </w:tc>
              <w:tc>
                <w:tcPr>
                  <w:tcW w:w="490" w:type="pct"/>
                  <w:tcBorders>
                    <w:tl2br w:val="nil"/>
                    <w:tr2bl w:val="nil"/>
                  </w:tcBorders>
                  <w:vAlign w:val="center"/>
                </w:tcPr>
                <w:p w14:paraId="32C1A35F">
                  <w:pPr>
                    <w:pStyle w:val="35"/>
                    <w:bidi w:val="0"/>
                    <w:rPr>
                      <w:rFonts w:hint="eastAsia" w:eastAsia="宋体"/>
                      <w:color w:val="auto"/>
                      <w:lang w:eastAsia="zh-CN"/>
                    </w:rPr>
                  </w:pPr>
                  <w:r>
                    <w:rPr>
                      <w:rFonts w:hint="eastAsia"/>
                      <w:color w:val="auto"/>
                      <w:lang w:eastAsia="zh-CN"/>
                    </w:rPr>
                    <w:t>符合</w:t>
                  </w:r>
                </w:p>
              </w:tc>
            </w:tr>
            <w:tr w14:paraId="25C83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244" w:type="pct"/>
                  <w:vMerge w:val="continue"/>
                  <w:tcBorders>
                    <w:tl2br w:val="nil"/>
                    <w:tr2bl w:val="nil"/>
                  </w:tcBorders>
                  <w:vAlign w:val="center"/>
                </w:tcPr>
                <w:p w14:paraId="0974C0C5">
                  <w:pPr>
                    <w:pStyle w:val="35"/>
                    <w:bidi w:val="0"/>
                    <w:rPr>
                      <w:rFonts w:hint="default"/>
                      <w:color w:val="0000FF"/>
                    </w:rPr>
                  </w:pPr>
                </w:p>
              </w:tc>
              <w:tc>
                <w:tcPr>
                  <w:tcW w:w="322" w:type="pct"/>
                  <w:vMerge w:val="restart"/>
                  <w:tcBorders>
                    <w:tl2br w:val="nil"/>
                    <w:tr2bl w:val="nil"/>
                  </w:tcBorders>
                  <w:vAlign w:val="center"/>
                </w:tcPr>
                <w:p w14:paraId="0FF0C16E">
                  <w:pPr>
                    <w:pStyle w:val="35"/>
                    <w:bidi w:val="0"/>
                    <w:rPr>
                      <w:rFonts w:hint="default"/>
                      <w:color w:val="auto"/>
                    </w:rPr>
                  </w:pPr>
                  <w:r>
                    <w:rPr>
                      <w:rFonts w:hint="default"/>
                      <w:color w:val="auto"/>
                    </w:rPr>
                    <w:t>环境风险防控</w:t>
                  </w:r>
                </w:p>
              </w:tc>
              <w:tc>
                <w:tcPr>
                  <w:tcW w:w="2132" w:type="pct"/>
                  <w:tcBorders>
                    <w:tl2br w:val="nil"/>
                    <w:tr2bl w:val="nil"/>
                  </w:tcBorders>
                  <w:vAlign w:val="center"/>
                </w:tcPr>
                <w:p w14:paraId="71F6AD37">
                  <w:pPr>
                    <w:pStyle w:val="35"/>
                    <w:bidi w:val="0"/>
                    <w:rPr>
                      <w:rFonts w:hint="default"/>
                      <w:color w:val="auto"/>
                    </w:rPr>
                  </w:pPr>
                  <w:r>
                    <w:rPr>
                      <w:rFonts w:hint="default"/>
                      <w:color w:val="auto"/>
                    </w:rPr>
                    <w:t>1、建立德宏州中心城市核心区（芒市、瑞丽市</w:t>
                  </w:r>
                  <w:r>
                    <w:rPr>
                      <w:rFonts w:hint="eastAsia"/>
                      <w:color w:val="auto"/>
                      <w:lang w:eastAsia="zh-CN"/>
                    </w:rPr>
                    <w:t>）污</w:t>
                  </w:r>
                  <w:r>
                    <w:rPr>
                      <w:rFonts w:hint="default"/>
                      <w:color w:val="auto"/>
                    </w:rPr>
                    <w:t>染联防联控联席会议机制，协调大气污染治理工作，打好中心城市大气污染联防联治攻坚战。</w:t>
                  </w:r>
                </w:p>
              </w:tc>
              <w:tc>
                <w:tcPr>
                  <w:tcW w:w="1809" w:type="pct"/>
                  <w:tcBorders>
                    <w:tl2br w:val="nil"/>
                    <w:tr2bl w:val="nil"/>
                  </w:tcBorders>
                  <w:vAlign w:val="center"/>
                </w:tcPr>
                <w:p w14:paraId="6BFCEDBA">
                  <w:pPr>
                    <w:pStyle w:val="35"/>
                    <w:bidi w:val="0"/>
                    <w:ind w:firstLine="420" w:firstLineChars="200"/>
                    <w:jc w:val="both"/>
                    <w:rPr>
                      <w:rFonts w:hint="default"/>
                      <w:color w:val="auto"/>
                    </w:rPr>
                  </w:pPr>
                  <w:r>
                    <w:rPr>
                      <w:rFonts w:hint="default"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环境空气</w:t>
                  </w:r>
                  <w:r>
                    <w:rPr>
                      <w:rFonts w:hint="default" w:ascii="Times New Roman" w:hAnsi="Times New Roman" w:eastAsia="宋体" w:cs="Times New Roman"/>
                      <w:color w:val="auto"/>
                      <w:sz w:val="21"/>
                      <w:szCs w:val="21"/>
                      <w:lang w:val="en-US" w:eastAsia="zh-CN"/>
                    </w:rPr>
                    <w:t>污染影响主要表现在施工期</w:t>
                  </w:r>
                  <w:r>
                    <w:rPr>
                      <w:rFonts w:hint="eastAsia" w:cs="Times New Roman"/>
                      <w:color w:val="auto"/>
                      <w:sz w:val="21"/>
                      <w:szCs w:val="21"/>
                      <w:lang w:val="en-US" w:eastAsia="zh-CN"/>
                    </w:rPr>
                    <w:t>，</w:t>
                  </w:r>
                  <w:r>
                    <w:rPr>
                      <w:rFonts w:hint="eastAsia" w:ascii="Times New Roman" w:hAnsi="Times New Roman" w:eastAsia="宋体" w:cs="Times New Roman"/>
                      <w:bCs/>
                      <w:color w:val="auto"/>
                      <w:lang w:val="en-US" w:eastAsia="zh-CN"/>
                    </w:rPr>
                    <w:t>影响是短期和局部的，施工结束影响也随之消失</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运行期不产生大气污染物，施工期对施工场进行洒水降尘，堆放物料进行遮盖，及时进行地面清扫，减轻施工扬尘对周围环境的影响；施工机械、车辆均采用优质油品，加强施工机械、车辆的维修和保养等措施，减少废气排放对周围环境的影响；</w:t>
                  </w:r>
                </w:p>
              </w:tc>
              <w:tc>
                <w:tcPr>
                  <w:tcW w:w="490" w:type="pct"/>
                  <w:tcBorders>
                    <w:tl2br w:val="nil"/>
                    <w:tr2bl w:val="nil"/>
                  </w:tcBorders>
                  <w:vAlign w:val="center"/>
                </w:tcPr>
                <w:p w14:paraId="19BBCFAC">
                  <w:pPr>
                    <w:pStyle w:val="35"/>
                    <w:bidi w:val="0"/>
                    <w:rPr>
                      <w:rFonts w:hint="default"/>
                      <w:color w:val="auto"/>
                    </w:rPr>
                  </w:pPr>
                  <w:r>
                    <w:rPr>
                      <w:rFonts w:hint="default"/>
                      <w:color w:val="auto"/>
                    </w:rPr>
                    <w:t>符合</w:t>
                  </w:r>
                </w:p>
              </w:tc>
            </w:tr>
            <w:tr w14:paraId="7DF2B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Merge w:val="continue"/>
                  <w:tcBorders>
                    <w:tl2br w:val="nil"/>
                    <w:tr2bl w:val="nil"/>
                  </w:tcBorders>
                  <w:vAlign w:val="center"/>
                </w:tcPr>
                <w:p w14:paraId="534D566F">
                  <w:pPr>
                    <w:pStyle w:val="35"/>
                    <w:bidi w:val="0"/>
                    <w:rPr>
                      <w:rFonts w:hint="default"/>
                      <w:color w:val="0000FF"/>
                    </w:rPr>
                  </w:pPr>
                </w:p>
              </w:tc>
              <w:tc>
                <w:tcPr>
                  <w:tcW w:w="322" w:type="pct"/>
                  <w:vMerge w:val="continue"/>
                  <w:tcBorders>
                    <w:tl2br w:val="nil"/>
                    <w:tr2bl w:val="nil"/>
                  </w:tcBorders>
                  <w:vAlign w:val="center"/>
                </w:tcPr>
                <w:p w14:paraId="06ABAA7E">
                  <w:pPr>
                    <w:pStyle w:val="35"/>
                    <w:bidi w:val="0"/>
                    <w:rPr>
                      <w:rFonts w:hint="default"/>
                      <w:color w:val="0000FF"/>
                    </w:rPr>
                  </w:pPr>
                </w:p>
              </w:tc>
              <w:tc>
                <w:tcPr>
                  <w:tcW w:w="2132" w:type="pct"/>
                  <w:tcBorders>
                    <w:tl2br w:val="nil"/>
                    <w:tr2bl w:val="nil"/>
                  </w:tcBorders>
                  <w:vAlign w:val="center"/>
                </w:tcPr>
                <w:p w14:paraId="2ECBE5FC">
                  <w:pPr>
                    <w:pStyle w:val="35"/>
                    <w:bidi w:val="0"/>
                    <w:rPr>
                      <w:rFonts w:hint="eastAsia" w:eastAsia="宋体"/>
                      <w:color w:val="auto"/>
                      <w:lang w:val="en-US" w:eastAsia="zh-CN"/>
                    </w:rPr>
                  </w:pPr>
                  <w:r>
                    <w:rPr>
                      <w:rFonts w:hint="default"/>
                      <w:color w:val="auto"/>
                    </w:rPr>
                    <w:t>2、</w:t>
                  </w:r>
                  <w:r>
                    <w:rPr>
                      <w:rFonts w:hint="eastAsia"/>
                      <w:color w:val="auto"/>
                      <w:lang w:eastAsia="zh-CN"/>
                    </w:rPr>
                    <w:t>强化环境风险防控和应急管理，制定和完善突发环境事件应急预案，提升风险防控和突发环境事件应急处理处置能力。</w:t>
                  </w:r>
                </w:p>
              </w:tc>
              <w:tc>
                <w:tcPr>
                  <w:tcW w:w="1809" w:type="pct"/>
                  <w:tcBorders>
                    <w:tl2br w:val="nil"/>
                    <w:tr2bl w:val="nil"/>
                  </w:tcBorders>
                  <w:vAlign w:val="center"/>
                </w:tcPr>
                <w:p w14:paraId="0D5539A5">
                  <w:pPr>
                    <w:pStyle w:val="35"/>
                    <w:bidi w:val="0"/>
                    <w:ind w:firstLine="420" w:firstLineChars="200"/>
                    <w:jc w:val="both"/>
                    <w:rPr>
                      <w:rFonts w:hint="eastAsia" w:eastAsia="宋体"/>
                      <w:color w:val="auto"/>
                      <w:lang w:eastAsia="zh-CN"/>
                    </w:rPr>
                  </w:pPr>
                  <w:r>
                    <w:rPr>
                      <w:rFonts w:ascii="Times New Roman" w:hAnsi="Times New Roman" w:eastAsia="宋体"/>
                      <w:color w:val="auto"/>
                    </w:rPr>
                    <w:t>项目</w:t>
                  </w:r>
                  <w:r>
                    <w:rPr>
                      <w:rFonts w:hint="eastAsia"/>
                      <w:color w:val="auto"/>
                      <w:lang w:eastAsia="zh-CN"/>
                    </w:rPr>
                    <w:t>认真落实报告表提出的各项环境风险防治及应急措施。</w:t>
                  </w:r>
                  <w:r>
                    <w:rPr>
                      <w:rFonts w:hint="default" w:ascii="Times New Roman" w:hAnsi="Times New Roman" w:cs="Times New Roman"/>
                      <w:color w:val="auto"/>
                      <w:sz w:val="21"/>
                      <w:szCs w:val="21"/>
                    </w:rPr>
                    <w:t>项目建成后根据《企事业单位突发环境事件应急预案备案管理办法（试行）》《突发环境事件应急管理办法》等文件要求编制突发环境事件应急预案以应对企业突发环境事件。</w:t>
                  </w:r>
                </w:p>
              </w:tc>
              <w:tc>
                <w:tcPr>
                  <w:tcW w:w="490" w:type="pct"/>
                  <w:tcBorders>
                    <w:tl2br w:val="nil"/>
                    <w:tr2bl w:val="nil"/>
                  </w:tcBorders>
                  <w:vAlign w:val="center"/>
                </w:tcPr>
                <w:p w14:paraId="05ADFD2F">
                  <w:pPr>
                    <w:pStyle w:val="35"/>
                    <w:bidi w:val="0"/>
                    <w:rPr>
                      <w:rFonts w:hint="default"/>
                      <w:color w:val="auto"/>
                    </w:rPr>
                  </w:pPr>
                  <w:r>
                    <w:rPr>
                      <w:rFonts w:hint="default"/>
                      <w:color w:val="auto"/>
                    </w:rPr>
                    <w:t>符合</w:t>
                  </w:r>
                </w:p>
              </w:tc>
            </w:tr>
            <w:tr w14:paraId="3A1E5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244" w:type="pct"/>
                  <w:vMerge w:val="continue"/>
                  <w:tcBorders>
                    <w:tl2br w:val="nil"/>
                    <w:tr2bl w:val="nil"/>
                  </w:tcBorders>
                  <w:vAlign w:val="center"/>
                </w:tcPr>
                <w:p w14:paraId="51B103A5">
                  <w:pPr>
                    <w:pStyle w:val="35"/>
                    <w:bidi w:val="0"/>
                    <w:rPr>
                      <w:rFonts w:hint="default"/>
                      <w:color w:val="0000FF"/>
                    </w:rPr>
                  </w:pPr>
                </w:p>
              </w:tc>
              <w:tc>
                <w:tcPr>
                  <w:tcW w:w="322" w:type="pct"/>
                  <w:vMerge w:val="continue"/>
                  <w:tcBorders>
                    <w:tl2br w:val="nil"/>
                    <w:tr2bl w:val="nil"/>
                  </w:tcBorders>
                  <w:vAlign w:val="center"/>
                </w:tcPr>
                <w:p w14:paraId="4CAABF1F">
                  <w:pPr>
                    <w:pStyle w:val="35"/>
                    <w:bidi w:val="0"/>
                    <w:rPr>
                      <w:rFonts w:hint="default"/>
                      <w:color w:val="0000FF"/>
                    </w:rPr>
                  </w:pPr>
                </w:p>
              </w:tc>
              <w:tc>
                <w:tcPr>
                  <w:tcW w:w="2132" w:type="pct"/>
                  <w:tcBorders>
                    <w:tl2br w:val="nil"/>
                    <w:tr2bl w:val="nil"/>
                  </w:tcBorders>
                  <w:vAlign w:val="center"/>
                </w:tcPr>
                <w:p w14:paraId="52B0AF04">
                  <w:pPr>
                    <w:pStyle w:val="35"/>
                    <w:bidi w:val="0"/>
                    <w:rPr>
                      <w:rFonts w:hint="default"/>
                      <w:color w:val="auto"/>
                    </w:rPr>
                  </w:pPr>
                  <w:r>
                    <w:rPr>
                      <w:rFonts w:hint="default"/>
                      <w:color w:val="auto"/>
                    </w:rPr>
                    <w:t>3、</w:t>
                  </w:r>
                  <w:r>
                    <w:rPr>
                      <w:rFonts w:hint="eastAsia"/>
                      <w:color w:val="auto"/>
                      <w:lang w:eastAsia="zh-CN"/>
                    </w:rPr>
                    <w:t>开展大盈江、瑞丽江流域生态隐患和环境风险调查评估，划定高风险区域</w:t>
                  </w:r>
                  <w:r>
                    <w:rPr>
                      <w:rFonts w:hint="default"/>
                      <w:color w:val="auto"/>
                    </w:rPr>
                    <w:t>。</w:t>
                  </w:r>
                </w:p>
              </w:tc>
              <w:tc>
                <w:tcPr>
                  <w:tcW w:w="1809" w:type="pct"/>
                  <w:tcBorders>
                    <w:tl2br w:val="nil"/>
                    <w:tr2bl w:val="nil"/>
                  </w:tcBorders>
                  <w:vAlign w:val="center"/>
                </w:tcPr>
                <w:p w14:paraId="1779CB6E">
                  <w:pPr>
                    <w:pStyle w:val="35"/>
                    <w:bidi w:val="0"/>
                    <w:ind w:firstLine="420" w:firstLineChars="200"/>
                    <w:jc w:val="both"/>
                    <w:rPr>
                      <w:rFonts w:hint="default"/>
                      <w:color w:val="auto"/>
                    </w:rPr>
                  </w:pPr>
                  <w:r>
                    <w:rPr>
                      <w:rFonts w:hint="default"/>
                      <w:color w:val="auto"/>
                    </w:rPr>
                    <w:t>本项目</w:t>
                  </w:r>
                  <w:r>
                    <w:rPr>
                      <w:rFonts w:hint="default" w:ascii="Times New Roman" w:hAnsi="Times New Roman" w:eastAsia="宋体" w:cs="Times New Roman"/>
                      <w:color w:val="auto"/>
                      <w:sz w:val="21"/>
                      <w:szCs w:val="21"/>
                      <w:lang w:eastAsia="zh-CN"/>
                    </w:rPr>
                    <w:t>工程的建设</w:t>
                  </w:r>
                  <w:r>
                    <w:rPr>
                      <w:rFonts w:hint="eastAsia" w:cs="Times New Roman"/>
                      <w:color w:val="auto"/>
                      <w:sz w:val="21"/>
                      <w:szCs w:val="21"/>
                      <w:lang w:eastAsia="zh-CN"/>
                    </w:rPr>
                    <w:t>不会对</w:t>
                  </w:r>
                  <w:r>
                    <w:rPr>
                      <w:rFonts w:hint="eastAsia"/>
                      <w:color w:val="auto"/>
                      <w:lang w:eastAsia="zh-CN"/>
                    </w:rPr>
                    <w:t>大盈江、瑞丽江流域生态造成不利影响，与</w:t>
                  </w:r>
                  <w:r>
                    <w:rPr>
                      <w:rFonts w:hint="default" w:ascii="Times New Roman" w:hAnsi="Times New Roman" w:eastAsia="宋体" w:cs="Times New Roman"/>
                      <w:color w:val="auto"/>
                      <w:sz w:val="21"/>
                      <w:szCs w:val="21"/>
                      <w:lang w:eastAsia="zh-CN"/>
                    </w:rPr>
                    <w:t>德宏州环境风险防控不冲突。</w:t>
                  </w:r>
                </w:p>
              </w:tc>
              <w:tc>
                <w:tcPr>
                  <w:tcW w:w="490" w:type="pct"/>
                  <w:tcBorders>
                    <w:tl2br w:val="nil"/>
                    <w:tr2bl w:val="nil"/>
                  </w:tcBorders>
                  <w:vAlign w:val="center"/>
                </w:tcPr>
                <w:p w14:paraId="00DA4999">
                  <w:pPr>
                    <w:pStyle w:val="35"/>
                    <w:bidi w:val="0"/>
                    <w:rPr>
                      <w:rFonts w:hint="default"/>
                      <w:color w:val="0000FF"/>
                    </w:rPr>
                  </w:pPr>
                  <w:r>
                    <w:rPr>
                      <w:rFonts w:hint="default"/>
                      <w:color w:val="auto"/>
                    </w:rPr>
                    <w:t>符合</w:t>
                  </w:r>
                </w:p>
              </w:tc>
            </w:tr>
            <w:tr w14:paraId="760FE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8" w:hRule="atLeast"/>
                <w:jc w:val="center"/>
              </w:trPr>
              <w:tc>
                <w:tcPr>
                  <w:tcW w:w="244" w:type="pct"/>
                  <w:vMerge w:val="continue"/>
                  <w:tcBorders>
                    <w:tl2br w:val="nil"/>
                    <w:tr2bl w:val="nil"/>
                  </w:tcBorders>
                  <w:vAlign w:val="center"/>
                </w:tcPr>
                <w:p w14:paraId="100BB018">
                  <w:pPr>
                    <w:pStyle w:val="35"/>
                    <w:bidi w:val="0"/>
                    <w:rPr>
                      <w:rFonts w:hint="default"/>
                      <w:color w:val="0000FF"/>
                    </w:rPr>
                  </w:pPr>
                </w:p>
              </w:tc>
              <w:tc>
                <w:tcPr>
                  <w:tcW w:w="322" w:type="pct"/>
                  <w:vMerge w:val="continue"/>
                  <w:tcBorders>
                    <w:tl2br w:val="nil"/>
                    <w:tr2bl w:val="nil"/>
                  </w:tcBorders>
                  <w:vAlign w:val="center"/>
                </w:tcPr>
                <w:p w14:paraId="4A9815ED">
                  <w:pPr>
                    <w:pStyle w:val="35"/>
                    <w:bidi w:val="0"/>
                    <w:rPr>
                      <w:rFonts w:hint="default"/>
                      <w:color w:val="0000FF"/>
                    </w:rPr>
                  </w:pPr>
                </w:p>
              </w:tc>
              <w:tc>
                <w:tcPr>
                  <w:tcW w:w="2132" w:type="pct"/>
                  <w:tcBorders>
                    <w:tl2br w:val="nil"/>
                    <w:tr2bl w:val="nil"/>
                  </w:tcBorders>
                  <w:vAlign w:val="center"/>
                </w:tcPr>
                <w:p w14:paraId="5C44D205">
                  <w:pPr>
                    <w:pStyle w:val="35"/>
                    <w:bidi w:val="0"/>
                    <w:rPr>
                      <w:rFonts w:hint="default"/>
                      <w:color w:val="auto"/>
                    </w:rPr>
                  </w:pPr>
                  <w:r>
                    <w:rPr>
                      <w:rFonts w:hint="default"/>
                      <w:color w:val="auto"/>
                    </w:rPr>
                    <w:t>4</w:t>
                  </w:r>
                  <w:r>
                    <w:rPr>
                      <w:rFonts w:hint="eastAsia"/>
                      <w:color w:val="auto"/>
                      <w:lang w:eastAsia="zh-CN"/>
                    </w:rPr>
                    <w:t>、</w:t>
                  </w:r>
                  <w:r>
                    <w:rPr>
                      <w:rFonts w:hint="default"/>
                      <w:color w:val="auto"/>
                    </w:rPr>
                    <w:t>制定跨国界河流水污染事故应急方案，开展伊洛瓦底江流域跨国界河流的生态环境监测和污染综合防治。</w:t>
                  </w:r>
                </w:p>
              </w:tc>
              <w:tc>
                <w:tcPr>
                  <w:tcW w:w="1809" w:type="pct"/>
                  <w:tcBorders>
                    <w:tl2br w:val="nil"/>
                    <w:tr2bl w:val="nil"/>
                  </w:tcBorders>
                  <w:vAlign w:val="center"/>
                </w:tcPr>
                <w:p w14:paraId="60C633D9">
                  <w:pPr>
                    <w:pStyle w:val="35"/>
                    <w:bidi w:val="0"/>
                    <w:ind w:firstLine="420" w:firstLineChars="200"/>
                    <w:jc w:val="both"/>
                    <w:rPr>
                      <w:rFonts w:hint="default"/>
                      <w:color w:val="0000FF"/>
                    </w:rPr>
                  </w:pPr>
                  <w:r>
                    <w:rPr>
                      <w:rFonts w:ascii="Times New Roman" w:hAnsi="Times New Roman" w:eastAsia="宋体"/>
                      <w:color w:val="auto"/>
                    </w:rPr>
                    <w:t>项目</w:t>
                  </w:r>
                  <w:r>
                    <w:rPr>
                      <w:rFonts w:hint="eastAsia"/>
                      <w:color w:val="auto"/>
                      <w:lang w:eastAsia="zh-CN"/>
                    </w:rPr>
                    <w:t>认真落实报告表提出的各项环境风险防治及应急措施。</w:t>
                  </w:r>
                  <w:r>
                    <w:rPr>
                      <w:rFonts w:ascii="Times New Roman" w:hAnsi="Times New Roman" w:eastAsia="宋体"/>
                      <w:color w:val="auto"/>
                    </w:rPr>
                    <w:t>项目建成后根据《企事业单位突发环境事件应急预案备案管理办法（试行）</w:t>
                  </w:r>
                  <w:r>
                    <w:rPr>
                      <w:rFonts w:hint="eastAsia" w:ascii="Times New Roman" w:hAnsi="Times New Roman" w:eastAsia="宋体"/>
                      <w:color w:val="auto"/>
                      <w:lang w:eastAsia="zh-CN"/>
                    </w:rPr>
                    <w:t>》《</w:t>
                  </w:r>
                  <w:r>
                    <w:rPr>
                      <w:rFonts w:ascii="Times New Roman" w:hAnsi="Times New Roman" w:eastAsia="宋体"/>
                      <w:color w:val="auto"/>
                    </w:rPr>
                    <w:t>突发环境事件应急管理办法》等文件要求编制突发环境事件应急预案以应对企业突发环境事件。</w:t>
                  </w:r>
                </w:p>
              </w:tc>
              <w:tc>
                <w:tcPr>
                  <w:tcW w:w="490" w:type="pct"/>
                  <w:tcBorders>
                    <w:tl2br w:val="nil"/>
                    <w:tr2bl w:val="nil"/>
                  </w:tcBorders>
                  <w:vAlign w:val="center"/>
                </w:tcPr>
                <w:p w14:paraId="7649FC4E">
                  <w:pPr>
                    <w:pStyle w:val="35"/>
                    <w:bidi w:val="0"/>
                    <w:rPr>
                      <w:rFonts w:hint="eastAsia" w:eastAsia="宋体"/>
                      <w:color w:val="0000FF"/>
                      <w:lang w:eastAsia="zh-CN"/>
                    </w:rPr>
                  </w:pPr>
                  <w:r>
                    <w:rPr>
                      <w:rFonts w:hint="eastAsia"/>
                      <w:color w:val="auto"/>
                      <w:lang w:eastAsia="zh-CN"/>
                    </w:rPr>
                    <w:t>符合</w:t>
                  </w:r>
                </w:p>
              </w:tc>
            </w:tr>
            <w:tr w14:paraId="6B4AD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244" w:type="pct"/>
                  <w:vMerge w:val="continue"/>
                  <w:tcBorders>
                    <w:tl2br w:val="nil"/>
                    <w:tr2bl w:val="nil"/>
                  </w:tcBorders>
                  <w:vAlign w:val="center"/>
                </w:tcPr>
                <w:p w14:paraId="75C6E8A5">
                  <w:pPr>
                    <w:pStyle w:val="35"/>
                    <w:bidi w:val="0"/>
                    <w:rPr>
                      <w:rFonts w:hint="default"/>
                      <w:color w:val="0000FF"/>
                    </w:rPr>
                  </w:pPr>
                </w:p>
              </w:tc>
              <w:tc>
                <w:tcPr>
                  <w:tcW w:w="322" w:type="pct"/>
                  <w:vMerge w:val="continue"/>
                  <w:tcBorders>
                    <w:tl2br w:val="nil"/>
                    <w:tr2bl w:val="nil"/>
                  </w:tcBorders>
                  <w:vAlign w:val="center"/>
                </w:tcPr>
                <w:p w14:paraId="00B49A16">
                  <w:pPr>
                    <w:pStyle w:val="35"/>
                    <w:bidi w:val="0"/>
                    <w:rPr>
                      <w:rFonts w:hint="default"/>
                      <w:color w:val="0000FF"/>
                    </w:rPr>
                  </w:pPr>
                </w:p>
              </w:tc>
              <w:tc>
                <w:tcPr>
                  <w:tcW w:w="2132" w:type="pct"/>
                  <w:tcBorders>
                    <w:tl2br w:val="nil"/>
                    <w:tr2bl w:val="nil"/>
                  </w:tcBorders>
                  <w:vAlign w:val="center"/>
                </w:tcPr>
                <w:p w14:paraId="4D17E924">
                  <w:pPr>
                    <w:pStyle w:val="35"/>
                    <w:bidi w:val="0"/>
                    <w:rPr>
                      <w:rFonts w:hint="default"/>
                      <w:color w:val="auto"/>
                    </w:rPr>
                  </w:pPr>
                  <w:r>
                    <w:rPr>
                      <w:rFonts w:hint="default"/>
                      <w:color w:val="auto"/>
                    </w:rPr>
                    <w:t>5</w:t>
                  </w:r>
                  <w:r>
                    <w:rPr>
                      <w:rFonts w:hint="eastAsia"/>
                      <w:color w:val="auto"/>
                      <w:lang w:eastAsia="zh-CN"/>
                    </w:rPr>
                    <w:t>、</w:t>
                  </w:r>
                  <w:r>
                    <w:rPr>
                      <w:rFonts w:hint="default"/>
                      <w:color w:val="auto"/>
                    </w:rPr>
                    <w:t>建立健全尾矿库污染防治的长效机制，杜绝不可抗力因素导致的尾矿库突发环境事件。</w:t>
                  </w:r>
                </w:p>
              </w:tc>
              <w:tc>
                <w:tcPr>
                  <w:tcW w:w="1809" w:type="pct"/>
                  <w:tcBorders>
                    <w:tl2br w:val="nil"/>
                    <w:tr2bl w:val="nil"/>
                  </w:tcBorders>
                  <w:vAlign w:val="center"/>
                </w:tcPr>
                <w:p w14:paraId="4846AFD9">
                  <w:pPr>
                    <w:pStyle w:val="35"/>
                    <w:bidi w:val="0"/>
                    <w:rPr>
                      <w:rFonts w:hint="eastAsia" w:eastAsia="宋体"/>
                      <w:color w:val="auto"/>
                      <w:lang w:eastAsia="zh-CN"/>
                    </w:rPr>
                  </w:pPr>
                  <w:r>
                    <w:rPr>
                      <w:rFonts w:hint="eastAsia"/>
                      <w:color w:val="auto"/>
                      <w:lang w:eastAsia="zh-CN"/>
                    </w:rPr>
                    <w:t>本项目不涉及。</w:t>
                  </w:r>
                </w:p>
              </w:tc>
              <w:tc>
                <w:tcPr>
                  <w:tcW w:w="490" w:type="pct"/>
                  <w:tcBorders>
                    <w:tl2br w:val="nil"/>
                    <w:tr2bl w:val="nil"/>
                  </w:tcBorders>
                  <w:vAlign w:val="center"/>
                </w:tcPr>
                <w:p w14:paraId="0AFD8857">
                  <w:pPr>
                    <w:pStyle w:val="35"/>
                    <w:bidi w:val="0"/>
                    <w:rPr>
                      <w:rFonts w:hint="eastAsia" w:eastAsia="宋体"/>
                      <w:color w:val="auto"/>
                      <w:lang w:eastAsia="zh-CN"/>
                    </w:rPr>
                  </w:pPr>
                  <w:r>
                    <w:rPr>
                      <w:rFonts w:hint="eastAsia"/>
                      <w:color w:val="auto"/>
                      <w:lang w:eastAsia="zh-CN"/>
                    </w:rPr>
                    <w:t>符合</w:t>
                  </w:r>
                </w:p>
              </w:tc>
            </w:tr>
            <w:tr w14:paraId="241C5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244" w:type="pct"/>
                  <w:vMerge w:val="continue"/>
                  <w:tcBorders>
                    <w:tl2br w:val="nil"/>
                    <w:tr2bl w:val="nil"/>
                  </w:tcBorders>
                  <w:vAlign w:val="center"/>
                </w:tcPr>
                <w:p w14:paraId="1EC848B6">
                  <w:pPr>
                    <w:pStyle w:val="35"/>
                    <w:bidi w:val="0"/>
                    <w:rPr>
                      <w:rFonts w:hint="default"/>
                      <w:color w:val="0000FF"/>
                    </w:rPr>
                  </w:pPr>
                </w:p>
              </w:tc>
              <w:tc>
                <w:tcPr>
                  <w:tcW w:w="322" w:type="pct"/>
                  <w:vMerge w:val="restart"/>
                  <w:tcBorders>
                    <w:tl2br w:val="nil"/>
                    <w:tr2bl w:val="nil"/>
                  </w:tcBorders>
                  <w:vAlign w:val="center"/>
                </w:tcPr>
                <w:p w14:paraId="1FB08E73">
                  <w:pPr>
                    <w:pStyle w:val="35"/>
                    <w:bidi w:val="0"/>
                    <w:rPr>
                      <w:rFonts w:hint="default"/>
                      <w:color w:val="auto"/>
                    </w:rPr>
                  </w:pPr>
                  <w:r>
                    <w:rPr>
                      <w:rFonts w:hint="default"/>
                      <w:color w:val="auto"/>
                    </w:rPr>
                    <w:t>资源开发利用效率</w:t>
                  </w:r>
                </w:p>
              </w:tc>
              <w:tc>
                <w:tcPr>
                  <w:tcW w:w="2132" w:type="pct"/>
                  <w:tcBorders>
                    <w:tl2br w:val="nil"/>
                    <w:tr2bl w:val="nil"/>
                  </w:tcBorders>
                  <w:vAlign w:val="center"/>
                </w:tcPr>
                <w:p w14:paraId="05731274">
                  <w:pPr>
                    <w:pStyle w:val="35"/>
                    <w:bidi w:val="0"/>
                    <w:rPr>
                      <w:rFonts w:hint="default"/>
                      <w:color w:val="auto"/>
                    </w:rPr>
                  </w:pPr>
                  <w:r>
                    <w:rPr>
                      <w:rFonts w:hint="default"/>
                      <w:color w:val="auto"/>
                    </w:rPr>
                    <w:t>1、逐步降低水资源、土地资源、能源消耗强度，强化约束性指标管理。</w:t>
                  </w:r>
                </w:p>
              </w:tc>
              <w:tc>
                <w:tcPr>
                  <w:tcW w:w="1809" w:type="pct"/>
                  <w:tcBorders>
                    <w:tl2br w:val="nil"/>
                    <w:tr2bl w:val="nil"/>
                  </w:tcBorders>
                  <w:vAlign w:val="center"/>
                </w:tcPr>
                <w:p w14:paraId="69A78C60">
                  <w:pPr>
                    <w:pStyle w:val="35"/>
                    <w:bidi w:val="0"/>
                    <w:ind w:firstLine="420" w:firstLineChars="200"/>
                    <w:jc w:val="both"/>
                    <w:rPr>
                      <w:rFonts w:hint="eastAsia" w:eastAsia="宋体"/>
                      <w:color w:val="auto"/>
                      <w:lang w:eastAsia="zh-CN"/>
                    </w:rPr>
                  </w:pPr>
                  <w:r>
                    <w:rPr>
                      <w:rFonts w:hint="eastAsia"/>
                      <w:color w:val="auto"/>
                    </w:rPr>
                    <w:t>本项目为河道治理工程，</w:t>
                  </w:r>
                  <w:r>
                    <w:rPr>
                      <w:rFonts w:hint="eastAsia"/>
                      <w:color w:val="auto"/>
                      <w:lang w:eastAsia="zh-CN"/>
                    </w:rPr>
                    <w:t>属于非污染型建设项目</w:t>
                  </w:r>
                  <w:r>
                    <w:rPr>
                      <w:rFonts w:hint="eastAsia"/>
                      <w:color w:val="auto"/>
                    </w:rPr>
                    <w:t>，施工期用水量较少，</w:t>
                  </w:r>
                  <w:r>
                    <w:rPr>
                      <w:rFonts w:hint="eastAsia" w:cs="Times New Roman"/>
                      <w:color w:val="auto"/>
                      <w:spacing w:val="0"/>
                      <w:position w:val="0"/>
                      <w:lang w:val="en-US" w:eastAsia="zh-CN"/>
                    </w:rPr>
                    <w:t>运营期不涉及资源能源的消耗</w:t>
                  </w:r>
                  <w:r>
                    <w:rPr>
                      <w:rFonts w:hint="default" w:eastAsia="宋体" w:cs="Times New Roman"/>
                      <w:color w:val="auto"/>
                      <w:spacing w:val="0"/>
                      <w:position w:val="0"/>
                      <w:lang w:val="en-US" w:eastAsia="zh-CN"/>
                    </w:rPr>
                    <w:t>，</w:t>
                  </w:r>
                  <w:r>
                    <w:rPr>
                      <w:rFonts w:hint="eastAsia" w:cs="Times New Roman"/>
                      <w:color w:val="auto"/>
                      <w:spacing w:val="0"/>
                      <w:position w:val="0"/>
                      <w:lang w:val="en-US" w:eastAsia="zh-CN"/>
                    </w:rPr>
                    <w:t>本次工程涉及芒市大河两岸新建护岸，不涉及新增永久占地，临时占地部分施工结束后进行生态恢复。</w:t>
                  </w:r>
                </w:p>
              </w:tc>
              <w:tc>
                <w:tcPr>
                  <w:tcW w:w="490" w:type="pct"/>
                  <w:tcBorders>
                    <w:tl2br w:val="nil"/>
                    <w:tr2bl w:val="nil"/>
                  </w:tcBorders>
                  <w:vAlign w:val="center"/>
                </w:tcPr>
                <w:p w14:paraId="7C8EDE63">
                  <w:pPr>
                    <w:pStyle w:val="35"/>
                    <w:bidi w:val="0"/>
                    <w:rPr>
                      <w:rFonts w:hint="default"/>
                      <w:color w:val="auto"/>
                    </w:rPr>
                  </w:pPr>
                  <w:r>
                    <w:rPr>
                      <w:rFonts w:hint="default"/>
                      <w:color w:val="auto"/>
                    </w:rPr>
                    <w:t>符合</w:t>
                  </w:r>
                </w:p>
              </w:tc>
            </w:tr>
            <w:tr w14:paraId="295F7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244" w:type="pct"/>
                  <w:vMerge w:val="continue"/>
                  <w:tcBorders>
                    <w:tl2br w:val="nil"/>
                    <w:tr2bl w:val="nil"/>
                  </w:tcBorders>
                  <w:vAlign w:val="center"/>
                </w:tcPr>
                <w:p w14:paraId="4BB44724">
                  <w:pPr>
                    <w:pStyle w:val="35"/>
                    <w:bidi w:val="0"/>
                    <w:rPr>
                      <w:rFonts w:hint="default"/>
                      <w:color w:val="0000FF"/>
                    </w:rPr>
                  </w:pPr>
                </w:p>
              </w:tc>
              <w:tc>
                <w:tcPr>
                  <w:tcW w:w="322" w:type="pct"/>
                  <w:vMerge w:val="continue"/>
                  <w:tcBorders>
                    <w:tl2br w:val="nil"/>
                    <w:tr2bl w:val="nil"/>
                  </w:tcBorders>
                  <w:vAlign w:val="center"/>
                </w:tcPr>
                <w:p w14:paraId="5EBEF2CF">
                  <w:pPr>
                    <w:pStyle w:val="35"/>
                    <w:bidi w:val="0"/>
                    <w:rPr>
                      <w:rFonts w:hint="default"/>
                      <w:color w:val="auto"/>
                    </w:rPr>
                  </w:pPr>
                </w:p>
              </w:tc>
              <w:tc>
                <w:tcPr>
                  <w:tcW w:w="2132" w:type="pct"/>
                  <w:tcBorders>
                    <w:tl2br w:val="nil"/>
                    <w:tr2bl w:val="nil"/>
                  </w:tcBorders>
                  <w:vAlign w:val="center"/>
                </w:tcPr>
                <w:p w14:paraId="22B9E622">
                  <w:pPr>
                    <w:pStyle w:val="35"/>
                    <w:bidi w:val="0"/>
                    <w:rPr>
                      <w:rFonts w:hint="eastAsia" w:eastAsia="宋体"/>
                      <w:color w:val="auto"/>
                      <w:lang w:eastAsia="zh-CN"/>
                    </w:rPr>
                  </w:pPr>
                  <w:r>
                    <w:rPr>
                      <w:rFonts w:hint="default"/>
                      <w:color w:val="auto"/>
                    </w:rPr>
                    <w:t>2、实行最严格的水资源管理制度，严格用水总量、强度指标管理，用水总量、万元工业增加值用水量降幅等指标达到省级考核要求。严格取水管控，建立重点监控取水单位名录，强化重点监控取水单位管理。</w:t>
                  </w:r>
                </w:p>
              </w:tc>
              <w:tc>
                <w:tcPr>
                  <w:tcW w:w="1809" w:type="pct"/>
                  <w:tcBorders>
                    <w:tl2br w:val="nil"/>
                    <w:tr2bl w:val="nil"/>
                  </w:tcBorders>
                  <w:vAlign w:val="center"/>
                </w:tcPr>
                <w:p w14:paraId="2AF47598">
                  <w:pPr>
                    <w:pStyle w:val="35"/>
                    <w:bidi w:val="0"/>
                    <w:ind w:firstLine="420" w:firstLineChars="200"/>
                    <w:jc w:val="both"/>
                    <w:rPr>
                      <w:rFonts w:hint="default"/>
                      <w:color w:val="auto"/>
                    </w:rPr>
                  </w:pPr>
                  <w:r>
                    <w:rPr>
                      <w:color w:val="auto"/>
                    </w:rPr>
                    <w:t>项目</w:t>
                  </w:r>
                  <w:r>
                    <w:rPr>
                      <w:rFonts w:hint="eastAsia"/>
                      <w:color w:val="auto"/>
                      <w:lang w:eastAsia="zh-CN"/>
                    </w:rPr>
                    <w:t>用水仅涉及施工用水，工程量较小，施工用水量较少。项目运营期不涉及</w:t>
                  </w:r>
                  <w:r>
                    <w:rPr>
                      <w:rFonts w:hint="eastAsia"/>
                      <w:color w:val="auto"/>
                      <w:lang w:val="en-US" w:eastAsia="zh-CN"/>
                    </w:rPr>
                    <w:t>用水情况</w:t>
                  </w:r>
                  <w:r>
                    <w:rPr>
                      <w:color w:val="auto"/>
                    </w:rPr>
                    <w:t>。</w:t>
                  </w:r>
                </w:p>
              </w:tc>
              <w:tc>
                <w:tcPr>
                  <w:tcW w:w="490" w:type="pct"/>
                  <w:tcBorders>
                    <w:tl2br w:val="nil"/>
                    <w:tr2bl w:val="nil"/>
                  </w:tcBorders>
                  <w:vAlign w:val="center"/>
                </w:tcPr>
                <w:p w14:paraId="28B4110C">
                  <w:pPr>
                    <w:pStyle w:val="35"/>
                    <w:bidi w:val="0"/>
                    <w:rPr>
                      <w:rFonts w:hint="default"/>
                      <w:color w:val="auto"/>
                    </w:rPr>
                  </w:pPr>
                  <w:r>
                    <w:rPr>
                      <w:rFonts w:hint="default"/>
                      <w:color w:val="auto"/>
                    </w:rPr>
                    <w:t>符合</w:t>
                  </w:r>
                </w:p>
              </w:tc>
            </w:tr>
            <w:tr w14:paraId="2E68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244" w:type="pct"/>
                  <w:vMerge w:val="continue"/>
                  <w:tcBorders>
                    <w:tl2br w:val="nil"/>
                    <w:tr2bl w:val="nil"/>
                  </w:tcBorders>
                  <w:vAlign w:val="center"/>
                </w:tcPr>
                <w:p w14:paraId="367519AA">
                  <w:pPr>
                    <w:pStyle w:val="35"/>
                    <w:bidi w:val="0"/>
                    <w:rPr>
                      <w:rFonts w:hint="default"/>
                      <w:color w:val="0000FF"/>
                    </w:rPr>
                  </w:pPr>
                </w:p>
              </w:tc>
              <w:tc>
                <w:tcPr>
                  <w:tcW w:w="322" w:type="pct"/>
                  <w:vMerge w:val="continue"/>
                  <w:tcBorders>
                    <w:tl2br w:val="nil"/>
                    <w:tr2bl w:val="nil"/>
                  </w:tcBorders>
                  <w:vAlign w:val="center"/>
                </w:tcPr>
                <w:p w14:paraId="555AE73D">
                  <w:pPr>
                    <w:pStyle w:val="35"/>
                    <w:bidi w:val="0"/>
                    <w:rPr>
                      <w:rFonts w:hint="default"/>
                      <w:color w:val="0000FF"/>
                    </w:rPr>
                  </w:pPr>
                </w:p>
              </w:tc>
              <w:tc>
                <w:tcPr>
                  <w:tcW w:w="2132" w:type="pct"/>
                  <w:tcBorders>
                    <w:tl2br w:val="nil"/>
                    <w:tr2bl w:val="nil"/>
                  </w:tcBorders>
                  <w:vAlign w:val="center"/>
                </w:tcPr>
                <w:p w14:paraId="4E8F63CB">
                  <w:pPr>
                    <w:pStyle w:val="35"/>
                    <w:bidi w:val="0"/>
                    <w:rPr>
                      <w:rFonts w:hint="default"/>
                      <w:color w:val="auto"/>
                    </w:rPr>
                  </w:pPr>
                  <w:r>
                    <w:rPr>
                      <w:rFonts w:hint="default"/>
                      <w:color w:val="auto"/>
                    </w:rPr>
                    <w:t>3、坚持最严格的耕地保护制度，守住耕地保护红线。坚持节约用地，严格执行耕地占补平衡等制度，提高土地投资强度和单位面积产出水平。</w:t>
                  </w:r>
                </w:p>
              </w:tc>
              <w:tc>
                <w:tcPr>
                  <w:tcW w:w="1809" w:type="pct"/>
                  <w:tcBorders>
                    <w:tl2br w:val="nil"/>
                    <w:tr2bl w:val="nil"/>
                  </w:tcBorders>
                  <w:vAlign w:val="center"/>
                </w:tcPr>
                <w:p w14:paraId="5B4E89E0">
                  <w:pPr>
                    <w:pStyle w:val="35"/>
                    <w:bidi w:val="0"/>
                    <w:ind w:firstLine="420" w:firstLineChars="200"/>
                    <w:jc w:val="both"/>
                    <w:rPr>
                      <w:rFonts w:hint="eastAsia" w:eastAsia="宋体"/>
                      <w:color w:val="auto"/>
                      <w:lang w:val="en-US" w:eastAsia="zh-CN"/>
                    </w:rPr>
                  </w:pPr>
                  <w:r>
                    <w:rPr>
                      <w:rFonts w:hint="default"/>
                      <w:color w:val="auto"/>
                      <w:lang w:val="en-US"/>
                    </w:rPr>
                    <w:t>项目不涉及生态红线，永久基本农田。</w:t>
                  </w:r>
                  <w:r>
                    <w:rPr>
                      <w:rFonts w:hint="eastAsia"/>
                      <w:color w:val="auto"/>
                      <w:lang w:val="en-US" w:eastAsia="zh-CN"/>
                    </w:rPr>
                    <w:t>项目占地仅为临时占地包括旱地0.94hm</w:t>
                  </w:r>
                  <w:r>
                    <w:rPr>
                      <w:rFonts w:hint="eastAsia"/>
                      <w:color w:val="auto"/>
                      <w:vertAlign w:val="superscript"/>
                      <w:lang w:val="en-US" w:eastAsia="zh-CN"/>
                    </w:rPr>
                    <w:t>2</w:t>
                  </w:r>
                  <w:r>
                    <w:rPr>
                      <w:rFonts w:hint="eastAsia"/>
                      <w:color w:val="auto"/>
                      <w:lang w:val="en-US" w:eastAsia="zh-CN"/>
                    </w:rPr>
                    <w:t>、园地0.42hm</w:t>
                  </w:r>
                  <w:r>
                    <w:rPr>
                      <w:rFonts w:hint="eastAsia"/>
                      <w:color w:val="auto"/>
                      <w:vertAlign w:val="superscript"/>
                      <w:lang w:val="en-US" w:eastAsia="zh-CN"/>
                    </w:rPr>
                    <w:t>2</w:t>
                  </w:r>
                  <w:r>
                    <w:rPr>
                      <w:rFonts w:hint="eastAsia"/>
                      <w:color w:val="auto"/>
                      <w:lang w:val="en-US" w:eastAsia="zh-CN"/>
                    </w:rPr>
                    <w:t>、水田0.78hm</w:t>
                  </w:r>
                  <w:r>
                    <w:rPr>
                      <w:rFonts w:hint="eastAsia"/>
                      <w:color w:val="auto"/>
                      <w:vertAlign w:val="superscript"/>
                      <w:lang w:val="en-US" w:eastAsia="zh-CN"/>
                    </w:rPr>
                    <w:t>2</w:t>
                  </w:r>
                  <w:r>
                    <w:rPr>
                      <w:rFonts w:hint="eastAsia"/>
                      <w:color w:val="auto"/>
                      <w:lang w:val="en-US" w:eastAsia="zh-CN"/>
                    </w:rPr>
                    <w:t>。工程结束后，及时对临时用地恢复原有的使用功能。</w:t>
                  </w:r>
                  <w:r>
                    <w:rPr>
                      <w:rFonts w:hint="default"/>
                      <w:color w:val="auto"/>
                    </w:rPr>
                    <w:t>坚持节约用地，严格执行耕地占补平衡等制度</w:t>
                  </w:r>
                  <w:r>
                    <w:rPr>
                      <w:rFonts w:hint="eastAsia"/>
                      <w:color w:val="auto"/>
                      <w:lang w:eastAsia="zh-CN"/>
                    </w:rPr>
                    <w:t>。</w:t>
                  </w:r>
                </w:p>
              </w:tc>
              <w:tc>
                <w:tcPr>
                  <w:tcW w:w="490" w:type="pct"/>
                  <w:tcBorders>
                    <w:tl2br w:val="nil"/>
                    <w:tr2bl w:val="nil"/>
                  </w:tcBorders>
                  <w:vAlign w:val="center"/>
                </w:tcPr>
                <w:p w14:paraId="668CF7EC">
                  <w:pPr>
                    <w:pStyle w:val="35"/>
                    <w:bidi w:val="0"/>
                    <w:rPr>
                      <w:rFonts w:hint="default"/>
                      <w:color w:val="auto"/>
                    </w:rPr>
                  </w:pPr>
                  <w:r>
                    <w:rPr>
                      <w:rFonts w:hint="default"/>
                      <w:color w:val="auto"/>
                    </w:rPr>
                    <w:t>符合</w:t>
                  </w:r>
                </w:p>
              </w:tc>
            </w:tr>
            <w:tr w14:paraId="10AC7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44" w:type="pct"/>
                  <w:vMerge w:val="continue"/>
                  <w:tcBorders>
                    <w:tl2br w:val="nil"/>
                    <w:tr2bl w:val="nil"/>
                  </w:tcBorders>
                  <w:vAlign w:val="center"/>
                </w:tcPr>
                <w:p w14:paraId="45931BA2">
                  <w:pPr>
                    <w:pStyle w:val="35"/>
                    <w:bidi w:val="0"/>
                    <w:rPr>
                      <w:rFonts w:hint="default"/>
                      <w:color w:val="0000FF"/>
                    </w:rPr>
                  </w:pPr>
                </w:p>
              </w:tc>
              <w:tc>
                <w:tcPr>
                  <w:tcW w:w="322" w:type="pct"/>
                  <w:vMerge w:val="continue"/>
                  <w:tcBorders>
                    <w:tl2br w:val="nil"/>
                    <w:tr2bl w:val="nil"/>
                  </w:tcBorders>
                  <w:vAlign w:val="center"/>
                </w:tcPr>
                <w:p w14:paraId="7CF525AD">
                  <w:pPr>
                    <w:pStyle w:val="35"/>
                    <w:bidi w:val="0"/>
                    <w:rPr>
                      <w:rFonts w:hint="default"/>
                      <w:color w:val="0000FF"/>
                    </w:rPr>
                  </w:pPr>
                </w:p>
              </w:tc>
              <w:tc>
                <w:tcPr>
                  <w:tcW w:w="2132" w:type="pct"/>
                  <w:tcBorders>
                    <w:tl2br w:val="nil"/>
                    <w:tr2bl w:val="nil"/>
                  </w:tcBorders>
                  <w:vAlign w:val="center"/>
                </w:tcPr>
                <w:p w14:paraId="22614CA4">
                  <w:pPr>
                    <w:pStyle w:val="35"/>
                    <w:bidi w:val="0"/>
                    <w:rPr>
                      <w:rFonts w:hint="default"/>
                      <w:color w:val="auto"/>
                    </w:rPr>
                  </w:pPr>
                  <w:r>
                    <w:rPr>
                      <w:rFonts w:hint="default"/>
                      <w:color w:val="auto"/>
                    </w:rPr>
                    <w:t>4、全州单位GDP能耗持续下降，能耗增量控制目标达到省级考核要求。</w:t>
                  </w:r>
                </w:p>
              </w:tc>
              <w:tc>
                <w:tcPr>
                  <w:tcW w:w="1809" w:type="pct"/>
                  <w:tcBorders>
                    <w:tl2br w:val="nil"/>
                    <w:tr2bl w:val="nil"/>
                  </w:tcBorders>
                  <w:vAlign w:val="center"/>
                </w:tcPr>
                <w:p w14:paraId="3CF3EB63">
                  <w:pPr>
                    <w:pStyle w:val="35"/>
                    <w:bidi w:val="0"/>
                    <w:ind w:firstLine="420" w:firstLineChars="200"/>
                    <w:jc w:val="both"/>
                    <w:rPr>
                      <w:rFonts w:hint="default"/>
                      <w:color w:val="auto"/>
                    </w:rPr>
                  </w:pPr>
                  <w:r>
                    <w:rPr>
                      <w:rFonts w:hint="default"/>
                      <w:color w:val="auto"/>
                    </w:rPr>
                    <w:t>项目</w:t>
                  </w:r>
                  <w:r>
                    <w:rPr>
                      <w:rFonts w:hint="default"/>
                      <w:color w:val="auto"/>
                      <w:lang w:val="en-US" w:eastAsia="zh-CN"/>
                    </w:rPr>
                    <w:t>施工期</w:t>
                  </w:r>
                  <w:r>
                    <w:rPr>
                      <w:rFonts w:hint="default"/>
                      <w:color w:val="auto"/>
                    </w:rPr>
                    <w:t>使用电能和柴油，其使用量占区域资源量较少。</w:t>
                  </w:r>
                </w:p>
              </w:tc>
              <w:tc>
                <w:tcPr>
                  <w:tcW w:w="490" w:type="pct"/>
                  <w:tcBorders>
                    <w:tl2br w:val="nil"/>
                    <w:tr2bl w:val="nil"/>
                  </w:tcBorders>
                  <w:vAlign w:val="center"/>
                </w:tcPr>
                <w:p w14:paraId="3D8BF7CD">
                  <w:pPr>
                    <w:pStyle w:val="35"/>
                    <w:bidi w:val="0"/>
                    <w:rPr>
                      <w:rFonts w:hint="default"/>
                      <w:color w:val="auto"/>
                    </w:rPr>
                  </w:pPr>
                  <w:r>
                    <w:rPr>
                      <w:rFonts w:hint="default"/>
                      <w:color w:val="auto"/>
                    </w:rPr>
                    <w:t>符合</w:t>
                  </w:r>
                </w:p>
              </w:tc>
            </w:tr>
          </w:tbl>
          <w:p w14:paraId="533B813B">
            <w:pPr>
              <w:keepNext w:val="0"/>
              <w:keepLines w:val="0"/>
              <w:pageBreakBefore w:val="0"/>
              <w:numPr>
                <w:ilvl w:val="0"/>
                <w:numId w:val="0"/>
              </w:numPr>
              <w:wordWrap/>
              <w:topLinePunct w:val="0"/>
              <w:bidi w:val="0"/>
              <w:adjustRightInd/>
              <w:snapToGrid/>
              <w:spacing w:beforeAutospacing="0" w:afterAutospacing="0" w:line="360" w:lineRule="auto"/>
              <w:ind w:left="0" w:leftChars="0" w:right="0" w:rightChars="0" w:firstLine="480" w:firstLineChars="200"/>
              <w:jc w:val="left"/>
              <w:rPr>
                <w:rFonts w:hint="eastAsia"/>
                <w:b/>
                <w:bCs/>
                <w:color w:val="auto"/>
                <w:lang w:eastAsia="zh-CN"/>
              </w:rPr>
            </w:pPr>
            <w:r>
              <w:rPr>
                <w:rFonts w:hint="default" w:ascii="Times New Roman" w:hAnsi="Times New Roman" w:eastAsia="宋体" w:cs="Times New Roman"/>
                <w:color w:val="auto"/>
                <w:lang w:val="en-US" w:eastAsia="zh-CN"/>
              </w:rPr>
              <w:t>本项目为河道治理类工程，</w:t>
            </w:r>
            <w:r>
              <w:rPr>
                <w:rFonts w:hint="eastAsia" w:cs="Times New Roman"/>
                <w:color w:val="auto"/>
                <w:lang w:val="en-US" w:eastAsia="zh-CN"/>
              </w:rPr>
              <w:t>属于非污染</w:t>
            </w:r>
            <w:r>
              <w:rPr>
                <w:rFonts w:hint="eastAsia"/>
                <w:color w:val="auto"/>
                <w:lang w:eastAsia="zh-CN"/>
              </w:rPr>
              <w:t>型建设项目</w:t>
            </w:r>
            <w:r>
              <w:rPr>
                <w:rFonts w:hint="default" w:ascii="Times New Roman" w:hAnsi="Times New Roman" w:eastAsia="宋体" w:cs="Times New Roman"/>
                <w:color w:val="auto"/>
                <w:lang w:val="en-US" w:eastAsia="zh-CN"/>
              </w:rPr>
              <w:t>，根据上表分析可知，</w:t>
            </w:r>
            <w:r>
              <w:rPr>
                <w:rFonts w:hint="eastAsia" w:cs="Times New Roman"/>
                <w:color w:val="auto"/>
                <w:lang w:val="en-US" w:eastAsia="zh-CN"/>
              </w:rPr>
              <w:t>项目建设</w:t>
            </w:r>
            <w:r>
              <w:rPr>
                <w:rFonts w:hint="default" w:ascii="Times New Roman" w:hAnsi="Times New Roman" w:eastAsia="宋体" w:cs="Times New Roman"/>
                <w:b w:val="0"/>
                <w:bCs w:val="0"/>
                <w:color w:val="auto"/>
                <w:lang w:val="en-US" w:eastAsia="zh-CN"/>
              </w:rPr>
              <w:t>符合</w:t>
            </w:r>
            <w:r>
              <w:rPr>
                <w:rFonts w:ascii="Times New Roman" w:hAnsi="Times New Roman"/>
                <w:b w:val="0"/>
                <w:bCs w:val="0"/>
                <w:color w:val="auto"/>
              </w:rPr>
              <w:t>《</w:t>
            </w:r>
            <w:r>
              <w:rPr>
                <w:rFonts w:hint="eastAsia"/>
                <w:b w:val="0"/>
                <w:bCs w:val="0"/>
                <w:color w:val="auto"/>
                <w:lang w:eastAsia="zh-CN"/>
              </w:rPr>
              <w:t>德宏</w:t>
            </w:r>
            <w:r>
              <w:rPr>
                <w:rFonts w:ascii="Times New Roman" w:hAnsi="Times New Roman"/>
                <w:b w:val="0"/>
                <w:bCs w:val="0"/>
                <w:color w:val="auto"/>
              </w:rPr>
              <w:t>州“三线一单”生态环境分区管控实施方案》</w:t>
            </w:r>
            <w:r>
              <w:rPr>
                <w:rFonts w:hint="default" w:ascii="Times New Roman" w:hAnsi="Times New Roman" w:eastAsia="宋体" w:cs="Times New Roman"/>
                <w:b w:val="0"/>
                <w:bCs w:val="0"/>
                <w:color w:val="auto"/>
                <w:lang w:val="en-US" w:eastAsia="zh-CN"/>
              </w:rPr>
              <w:t>的管</w:t>
            </w:r>
            <w:r>
              <w:rPr>
                <w:rFonts w:hint="default" w:ascii="Times New Roman" w:hAnsi="Times New Roman" w:eastAsia="宋体" w:cs="Times New Roman"/>
                <w:color w:val="auto"/>
                <w:lang w:val="en-US" w:eastAsia="zh-CN"/>
              </w:rPr>
              <w:t>理要求。</w:t>
            </w:r>
          </w:p>
          <w:p w14:paraId="0CEAEE15">
            <w:pPr>
              <w:pStyle w:val="20"/>
              <w:widowControl w:val="0"/>
              <w:spacing w:before="0" w:beforeAutospacing="0" w:after="0" w:afterAutospacing="0" w:line="360" w:lineRule="auto"/>
              <w:ind w:firstLine="480"/>
              <w:rPr>
                <w:rFonts w:hint="default" w:ascii="Times New Roman" w:hAnsi="Times New Roman" w:cs="Times New Roman"/>
                <w:b/>
                <w:bCs/>
                <w:color w:val="auto"/>
                <w:kern w:val="2"/>
              </w:rPr>
            </w:pPr>
            <w:r>
              <w:rPr>
                <w:rFonts w:hint="eastAsia" w:ascii="Times New Roman" w:hAnsi="Times New Roman" w:cs="Times New Roman"/>
                <w:b/>
                <w:bCs/>
                <w:color w:val="auto"/>
                <w:kern w:val="2"/>
                <w:lang w:val="en-US" w:eastAsia="zh-CN" w:bidi="ar"/>
              </w:rPr>
              <w:t>3、项目</w:t>
            </w:r>
            <w:r>
              <w:rPr>
                <w:rFonts w:hint="default" w:ascii="Times New Roman" w:hAnsi="Times New Roman" w:cs="Times New Roman"/>
                <w:b/>
                <w:bCs/>
                <w:color w:val="auto"/>
                <w:kern w:val="2"/>
                <w:lang w:bidi="ar"/>
              </w:rPr>
              <w:t>与《中华人民共和国水污染防治法》的符合性分析</w:t>
            </w:r>
          </w:p>
          <w:p w14:paraId="003ED984">
            <w:pPr>
              <w:pStyle w:val="20"/>
              <w:widowControl w:val="0"/>
              <w:spacing w:before="0" w:beforeAutospacing="0" w:after="0" w:afterAutospacing="0" w:line="360" w:lineRule="auto"/>
              <w:ind w:firstLine="480"/>
              <w:rPr>
                <w:rFonts w:hint="default" w:ascii="Times New Roman" w:hAnsi="Times New Roman" w:cs="Times New Roman"/>
                <w:color w:val="auto"/>
                <w:kern w:val="2"/>
              </w:rPr>
            </w:pPr>
            <w:r>
              <w:rPr>
                <w:rFonts w:hint="default" w:ascii="Times New Roman" w:hAnsi="Times New Roman" w:cs="Times New Roman"/>
                <w:color w:val="auto"/>
                <w:kern w:val="2"/>
                <w:lang w:bidi="ar"/>
              </w:rPr>
              <w:t>项目与《中华人民共和国水污染防治法》的符合性如下表所示：</w:t>
            </w:r>
          </w:p>
          <w:p w14:paraId="614D8242">
            <w:pPr>
              <w:pStyle w:val="20"/>
              <w:widowControl w:val="0"/>
              <w:spacing w:before="0" w:beforeAutospacing="0" w:after="0" w:afterAutospacing="0" w:line="240" w:lineRule="auto"/>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lang w:bidi="ar"/>
              </w:rPr>
              <w:t>表1-</w:t>
            </w:r>
            <w:r>
              <w:rPr>
                <w:rFonts w:hint="eastAsia" w:ascii="Times New Roman" w:hAnsi="Times New Roman" w:cs="Times New Roman"/>
                <w:b/>
                <w:bCs/>
                <w:color w:val="auto"/>
                <w:kern w:val="2"/>
                <w:sz w:val="21"/>
                <w:szCs w:val="21"/>
                <w:lang w:val="en-US" w:eastAsia="zh-CN" w:bidi="ar"/>
              </w:rPr>
              <w:t>3</w:t>
            </w:r>
            <w:r>
              <w:rPr>
                <w:rFonts w:hint="default" w:ascii="Times New Roman" w:hAnsi="Times New Roman" w:cs="Times New Roman"/>
                <w:b/>
                <w:bCs/>
                <w:color w:val="auto"/>
                <w:kern w:val="2"/>
                <w:sz w:val="21"/>
                <w:szCs w:val="21"/>
                <w:lang w:bidi="ar"/>
              </w:rPr>
              <w:t>项目与《中华人民共和国水污染防治法》的相符性</w:t>
            </w:r>
          </w:p>
          <w:tbl>
            <w:tblPr>
              <w:tblStyle w:val="23"/>
              <w:tblW w:w="4996"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362"/>
              <w:gridCol w:w="4029"/>
              <w:gridCol w:w="575"/>
            </w:tblGrid>
            <w:tr w14:paraId="666CC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1DA370F0">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521" w:type="pct"/>
                  <w:tcBorders>
                    <w:tl2br w:val="nil"/>
                    <w:tr2bl w:val="nil"/>
                  </w:tcBorders>
                  <w:noWrap w:val="0"/>
                  <w:vAlign w:val="center"/>
                </w:tcPr>
                <w:p w14:paraId="197DBAE8">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相关要求</w:t>
                  </w:r>
                </w:p>
              </w:tc>
              <w:tc>
                <w:tcPr>
                  <w:tcW w:w="2594" w:type="pct"/>
                  <w:tcBorders>
                    <w:tl2br w:val="nil"/>
                    <w:tr2bl w:val="nil"/>
                  </w:tcBorders>
                  <w:noWrap w:val="0"/>
                  <w:vAlign w:val="center"/>
                </w:tcPr>
                <w:p w14:paraId="52BC5995">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建设内容</w:t>
                  </w:r>
                </w:p>
              </w:tc>
              <w:tc>
                <w:tcPr>
                  <w:tcW w:w="370" w:type="pct"/>
                  <w:tcBorders>
                    <w:tl2br w:val="nil"/>
                    <w:tr2bl w:val="nil"/>
                  </w:tcBorders>
                  <w:noWrap w:val="0"/>
                  <w:vAlign w:val="center"/>
                </w:tcPr>
                <w:p w14:paraId="740F221D">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符合性分析</w:t>
                  </w:r>
                </w:p>
              </w:tc>
            </w:tr>
            <w:tr w14:paraId="3DDAC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5311124E">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521" w:type="pct"/>
                  <w:tcBorders>
                    <w:tl2br w:val="nil"/>
                    <w:tr2bl w:val="nil"/>
                  </w:tcBorders>
                  <w:noWrap w:val="0"/>
                  <w:vAlign w:val="center"/>
                </w:tcPr>
                <w:p w14:paraId="66F5A10E">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第三条 水污染防治应当坚持预防为主、防治结合、综合治理的原则，优先保护饮用水水源，严格控制工业污染、城镇生活污染，防治农业面源污染，积极推进生态治理工程建设，预防、控制和减少水环境污染和生态破坏。</w:t>
                  </w:r>
                </w:p>
              </w:tc>
              <w:tc>
                <w:tcPr>
                  <w:tcW w:w="2594" w:type="pct"/>
                  <w:tcBorders>
                    <w:tl2br w:val="nil"/>
                    <w:tr2bl w:val="nil"/>
                  </w:tcBorders>
                  <w:noWrap w:val="0"/>
                  <w:vAlign w:val="center"/>
                </w:tcPr>
                <w:p w14:paraId="091FC410">
                  <w:pPr>
                    <w:pStyle w:val="35"/>
                    <w:bidi w:val="0"/>
                    <w:spacing w:line="240" w:lineRule="auto"/>
                    <w:ind w:firstLine="42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本项目不涉及饮用水水源，</w:t>
                  </w:r>
                  <w:r>
                    <w:rPr>
                      <w:rFonts w:hint="default" w:ascii="Times New Roman" w:hAnsi="Times New Roman" w:eastAsia="宋体" w:cs="Times New Roman"/>
                      <w:color w:val="auto"/>
                      <w:lang w:val="en-US" w:eastAsia="zh-CN"/>
                    </w:rPr>
                    <w:t>施工期排放的废水主要包括施工废水和生活污水。</w:t>
                  </w:r>
                  <w:r>
                    <w:rPr>
                      <w:rFonts w:hint="eastAsia" w:ascii="Times New Roman" w:hAnsi="Times New Roman" w:eastAsia="宋体" w:cs="Times New Roman"/>
                      <w:color w:val="auto"/>
                      <w:lang w:val="en-US" w:eastAsia="zh-CN"/>
                    </w:rPr>
                    <w:t>项目施工期</w:t>
                  </w:r>
                  <w:r>
                    <w:rPr>
                      <w:rFonts w:hint="default" w:ascii="Times New Roman" w:hAnsi="Times New Roman" w:eastAsia="宋体" w:cs="Times New Roman"/>
                      <w:color w:val="auto"/>
                      <w:lang w:val="en-US" w:eastAsia="zh-CN"/>
                    </w:rPr>
                    <w:t>在废水产生较大区域设置临时沉淀池，容积为2m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。机械清洗废水</w:t>
                  </w:r>
                  <w:r>
                    <w:rPr>
                      <w:rFonts w:hint="eastAsia" w:ascii="Times New Roman" w:hAnsi="Times New Roman" w:eastAsia="宋体" w:cs="Times New Roman"/>
                      <w:color w:val="auto"/>
                      <w:lang w:val="en-US" w:eastAsia="zh-CN"/>
                    </w:rPr>
                    <w:t>经</w:t>
                  </w:r>
                  <w:r>
                    <w:rPr>
                      <w:rFonts w:hint="default" w:ascii="Times New Roman" w:hAnsi="Times New Roman" w:eastAsia="宋体" w:cs="Times New Roman"/>
                      <w:color w:val="auto"/>
                      <w:lang w:val="en-US" w:eastAsia="zh-CN"/>
                    </w:rPr>
                    <w:t>沉淀处理后</w:t>
                  </w:r>
                  <w:r>
                    <w:rPr>
                      <w:rFonts w:hint="eastAsia" w:ascii="Times New Roman" w:hAnsi="Times New Roman" w:eastAsia="宋体" w:cs="Times New Roman"/>
                      <w:color w:val="auto"/>
                      <w:lang w:val="en-US" w:eastAsia="zh-CN"/>
                    </w:rPr>
                    <w:t>用于施工工序及</w:t>
                  </w:r>
                  <w:r>
                    <w:rPr>
                      <w:rFonts w:hint="default" w:ascii="Times New Roman" w:hAnsi="Times New Roman" w:eastAsia="宋体" w:cs="Times New Roman"/>
                      <w:color w:val="auto"/>
                      <w:lang w:val="en-US" w:eastAsia="zh-CN"/>
                    </w:rPr>
                    <w:t>施工</w:t>
                  </w:r>
                  <w:r>
                    <w:rPr>
                      <w:rFonts w:hint="eastAsia" w:ascii="Times New Roman" w:hAnsi="Times New Roman" w:eastAsia="宋体" w:cs="Times New Roman"/>
                      <w:color w:val="auto"/>
                      <w:lang w:val="en-US" w:eastAsia="zh-CN"/>
                    </w:rPr>
                    <w:t>场地</w:t>
                  </w:r>
                  <w:r>
                    <w:rPr>
                      <w:rFonts w:hint="default" w:ascii="Times New Roman" w:hAnsi="Times New Roman" w:eastAsia="宋体" w:cs="Times New Roman"/>
                      <w:color w:val="auto"/>
                      <w:lang w:val="en-US" w:eastAsia="zh-CN"/>
                    </w:rPr>
                    <w:t>洒水抑尘，不外排。</w:t>
                  </w:r>
                  <w:r>
                    <w:rPr>
                      <w:rFonts w:hint="eastAsia" w:ascii="Times New Roman" w:hAnsi="Times New Roman" w:eastAsia="宋体" w:cs="Times New Roman"/>
                      <w:color w:val="auto"/>
                      <w:lang w:val="en-US" w:eastAsia="zh-CN"/>
                    </w:rPr>
                    <w:t>施工期生活办公用房租用</w:t>
                  </w:r>
                  <w:r>
                    <w:rPr>
                      <w:rFonts w:hint="default" w:ascii="Times New Roman" w:hAnsi="Times New Roman" w:eastAsia="宋体" w:cs="Times New Roman"/>
                      <w:color w:val="auto"/>
                      <w:lang w:val="en-US" w:eastAsia="zh-CN"/>
                    </w:rPr>
                    <w:t>周边村庄房屋，</w:t>
                  </w:r>
                  <w:r>
                    <w:rPr>
                      <w:rFonts w:hint="eastAsia" w:ascii="Times New Roman" w:hAnsi="Times New Roman" w:eastAsia="宋体" w:cs="Times New Roman"/>
                      <w:color w:val="auto"/>
                      <w:lang w:val="en-US" w:eastAsia="zh-CN"/>
                    </w:rPr>
                    <w:t>生活</w:t>
                  </w:r>
                  <w:r>
                    <w:rPr>
                      <w:rFonts w:hint="default" w:ascii="Times New Roman" w:hAnsi="Times New Roman" w:eastAsia="宋体" w:cs="Times New Roman"/>
                      <w:color w:val="auto"/>
                      <w:lang w:val="en-US" w:eastAsia="zh-CN"/>
                    </w:rPr>
                    <w:t>废水依托村落及乡镇现有生活设施解决生活污水排放问题，废水不外排。</w:t>
                  </w:r>
                  <w:r>
                    <w:rPr>
                      <w:rFonts w:hint="eastAsia" w:ascii="Times New Roman" w:hAnsi="Times New Roman" w:eastAsia="宋体" w:cs="Times New Roman"/>
                      <w:color w:val="auto"/>
                      <w:lang w:val="en-US" w:eastAsia="zh-CN"/>
                    </w:rPr>
                    <w:t>不会造成水环境污染和生态破坏。</w:t>
                  </w:r>
                </w:p>
              </w:tc>
              <w:tc>
                <w:tcPr>
                  <w:tcW w:w="370" w:type="pct"/>
                  <w:tcBorders>
                    <w:tl2br w:val="nil"/>
                    <w:tr2bl w:val="nil"/>
                  </w:tcBorders>
                  <w:noWrap w:val="0"/>
                  <w:vAlign w:val="center"/>
                </w:tcPr>
                <w:p w14:paraId="40E8CBAA">
                  <w:pPr>
                    <w:pStyle w:val="35"/>
                    <w:bidi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72EB1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66D0CEA7">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521" w:type="pct"/>
                  <w:tcBorders>
                    <w:tl2br w:val="nil"/>
                    <w:tr2bl w:val="nil"/>
                  </w:tcBorders>
                  <w:noWrap w:val="0"/>
                  <w:vAlign w:val="center"/>
                </w:tcPr>
                <w:p w14:paraId="10B9B6DC">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第十条 排放水污染物，不得超过国家或者地方规定的水污染物排放标准和重点水污染物排放总量控制指标。</w:t>
                  </w:r>
                </w:p>
              </w:tc>
              <w:tc>
                <w:tcPr>
                  <w:tcW w:w="2594" w:type="pct"/>
                  <w:tcBorders>
                    <w:tl2br w:val="nil"/>
                    <w:tr2bl w:val="nil"/>
                  </w:tcBorders>
                  <w:noWrap w:val="0"/>
                  <w:vAlign w:val="center"/>
                </w:tcPr>
                <w:p w14:paraId="4168F401">
                  <w:pPr>
                    <w:pStyle w:val="35"/>
                    <w:bidi w:val="0"/>
                    <w:ind w:firstLine="420" w:firstLineChars="200"/>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项目废水经收集后</w:t>
                  </w:r>
                  <w:r>
                    <w:rPr>
                      <w:rFonts w:hint="eastAsia" w:ascii="Times New Roman" w:hAnsi="Times New Roman" w:eastAsia="宋体" w:cs="Times New Roman"/>
                      <w:color w:val="auto"/>
                      <w:lang w:eastAsia="zh-CN"/>
                    </w:rPr>
                    <w:t>合理处置</w:t>
                  </w:r>
                  <w:r>
                    <w:rPr>
                      <w:rFonts w:hint="default" w:ascii="Times New Roman" w:hAnsi="Times New Roman" w:eastAsia="宋体" w:cs="Times New Roman"/>
                      <w:color w:val="auto"/>
                    </w:rPr>
                    <w:t>，不外排，本项目不设废水总量指标</w:t>
                  </w:r>
                  <w:r>
                    <w:rPr>
                      <w:rFonts w:hint="eastAsia" w:ascii="Times New Roman" w:hAnsi="Times New Roman" w:eastAsia="宋体" w:cs="Times New Roman"/>
                      <w:color w:val="auto"/>
                      <w:lang w:eastAsia="zh-CN"/>
                    </w:rPr>
                    <w:t>。</w:t>
                  </w:r>
                </w:p>
              </w:tc>
              <w:tc>
                <w:tcPr>
                  <w:tcW w:w="370" w:type="pct"/>
                  <w:tcBorders>
                    <w:tl2br w:val="nil"/>
                    <w:tr2bl w:val="nil"/>
                  </w:tcBorders>
                  <w:noWrap w:val="0"/>
                  <w:vAlign w:val="center"/>
                </w:tcPr>
                <w:p w14:paraId="4450D607">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9A36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77580C5C">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521" w:type="pct"/>
                  <w:tcBorders>
                    <w:tl2br w:val="nil"/>
                    <w:tr2bl w:val="nil"/>
                  </w:tcBorders>
                  <w:noWrap w:val="0"/>
                  <w:vAlign w:val="center"/>
                </w:tcPr>
                <w:p w14:paraId="781E1429">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新建、改建、扩建直接或者间接向水体排放污染物的建设项目和其他水上设施，应当依法进行环境影响评价。</w:t>
                  </w:r>
                </w:p>
                <w:p w14:paraId="34866BDF">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建设单位在江河、湖泊新建、改建、扩建排污口的，应当取得水行政主管部门或者流域管理机构同意；涉及通航、渔业水域的，环境保护主管部门在审批环境影响评价文件时，应当征求交通、渔业主管部门的意见。</w:t>
                  </w:r>
                </w:p>
              </w:tc>
              <w:tc>
                <w:tcPr>
                  <w:tcW w:w="2594" w:type="pct"/>
                  <w:tcBorders>
                    <w:tl2br w:val="nil"/>
                    <w:tr2bl w:val="nil"/>
                  </w:tcBorders>
                  <w:noWrap w:val="0"/>
                  <w:vAlign w:val="center"/>
                </w:tcPr>
                <w:p w14:paraId="015E1F3C">
                  <w:pPr>
                    <w:pStyle w:val="35"/>
                    <w:bidi w:val="0"/>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本项目为新建项目，项目废水不外排，建设单位已按要求正在进行环境影响报告</w:t>
                  </w:r>
                  <w:r>
                    <w:rPr>
                      <w:rFonts w:hint="eastAsia" w:cs="Times New Roman"/>
                      <w:color w:val="auto"/>
                      <w:lang w:eastAsia="zh-CN"/>
                    </w:rPr>
                    <w:t>表</w:t>
                  </w:r>
                  <w:r>
                    <w:rPr>
                      <w:rFonts w:hint="default" w:ascii="Times New Roman" w:hAnsi="Times New Roman" w:eastAsia="宋体" w:cs="Times New Roman"/>
                      <w:color w:val="auto"/>
                    </w:rPr>
                    <w:t>的编制。项目不涉及新建排污口。</w:t>
                  </w:r>
                </w:p>
              </w:tc>
              <w:tc>
                <w:tcPr>
                  <w:tcW w:w="370" w:type="pct"/>
                  <w:tcBorders>
                    <w:tl2br w:val="nil"/>
                    <w:tr2bl w:val="nil"/>
                  </w:tcBorders>
                  <w:noWrap w:val="0"/>
                  <w:vAlign w:val="center"/>
                </w:tcPr>
                <w:p w14:paraId="5B05C7E8">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6F995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151BED32">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1521" w:type="pct"/>
                  <w:tcBorders>
                    <w:tl2br w:val="nil"/>
                    <w:tr2bl w:val="nil"/>
                  </w:tcBorders>
                  <w:noWrap w:val="0"/>
                  <w:vAlign w:val="center"/>
                </w:tcPr>
                <w:p w14:paraId="1D8D2541">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第三十三条 禁止向水体排放油类、酸液、碱液或者剧毒废液。禁止在水体清洗装贮国油类或者有毒污染物的车辆和容器。</w:t>
                  </w:r>
                </w:p>
              </w:tc>
              <w:tc>
                <w:tcPr>
                  <w:tcW w:w="2594" w:type="pct"/>
                  <w:tcBorders>
                    <w:tl2br w:val="nil"/>
                    <w:tr2bl w:val="nil"/>
                  </w:tcBorders>
                  <w:noWrap w:val="0"/>
                  <w:vAlign w:val="center"/>
                </w:tcPr>
                <w:p w14:paraId="51562CE7">
                  <w:pPr>
                    <w:pStyle w:val="35"/>
                    <w:bidi w:val="0"/>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施工期排放的废水主要包括施工废水和生活污水。</w:t>
                  </w:r>
                  <w:r>
                    <w:rPr>
                      <w:rFonts w:hint="eastAsia" w:ascii="Times New Roman" w:hAnsi="Times New Roman" w:eastAsia="宋体" w:cs="Times New Roman"/>
                      <w:color w:val="auto"/>
                      <w:lang w:val="en-US" w:eastAsia="zh-CN"/>
                    </w:rPr>
                    <w:t>项目施工期</w:t>
                  </w:r>
                  <w:r>
                    <w:rPr>
                      <w:rFonts w:hint="default" w:ascii="Times New Roman" w:hAnsi="Times New Roman" w:eastAsia="宋体" w:cs="Times New Roman"/>
                      <w:color w:val="auto"/>
                      <w:lang w:val="en-US" w:eastAsia="zh-CN"/>
                    </w:rPr>
                    <w:t>在废水产生较大区域设置临时沉淀池，容积为2m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。机械清洗废水</w:t>
                  </w:r>
                  <w:r>
                    <w:rPr>
                      <w:rFonts w:hint="eastAsia" w:ascii="Times New Roman" w:hAnsi="Times New Roman" w:eastAsia="宋体" w:cs="Times New Roman"/>
                      <w:color w:val="auto"/>
                      <w:lang w:val="en-US" w:eastAsia="zh-CN"/>
                    </w:rPr>
                    <w:t>经</w:t>
                  </w:r>
                  <w:r>
                    <w:rPr>
                      <w:rFonts w:hint="default" w:ascii="Times New Roman" w:hAnsi="Times New Roman" w:eastAsia="宋体" w:cs="Times New Roman"/>
                      <w:color w:val="auto"/>
                      <w:lang w:val="en-US" w:eastAsia="zh-CN"/>
                    </w:rPr>
                    <w:t>沉淀处理后</w:t>
                  </w:r>
                  <w:r>
                    <w:rPr>
                      <w:rFonts w:hint="eastAsia" w:ascii="Times New Roman" w:hAnsi="Times New Roman" w:eastAsia="宋体" w:cs="Times New Roman"/>
                      <w:color w:val="auto"/>
                      <w:lang w:val="en-US" w:eastAsia="zh-CN"/>
                    </w:rPr>
                    <w:t>用于施工工序及</w:t>
                  </w:r>
                  <w:r>
                    <w:rPr>
                      <w:rFonts w:hint="default" w:ascii="Times New Roman" w:hAnsi="Times New Roman" w:eastAsia="宋体" w:cs="Times New Roman"/>
                      <w:color w:val="auto"/>
                      <w:lang w:val="en-US" w:eastAsia="zh-CN"/>
                    </w:rPr>
                    <w:t>施工</w:t>
                  </w:r>
                  <w:r>
                    <w:rPr>
                      <w:rFonts w:hint="eastAsia" w:ascii="Times New Roman" w:hAnsi="Times New Roman" w:eastAsia="宋体" w:cs="Times New Roman"/>
                      <w:color w:val="auto"/>
                      <w:lang w:val="en-US" w:eastAsia="zh-CN"/>
                    </w:rPr>
                    <w:t>场地</w:t>
                  </w:r>
                  <w:r>
                    <w:rPr>
                      <w:rFonts w:hint="default" w:ascii="Times New Roman" w:hAnsi="Times New Roman" w:eastAsia="宋体" w:cs="Times New Roman"/>
                      <w:color w:val="auto"/>
                      <w:lang w:val="en-US" w:eastAsia="zh-CN"/>
                    </w:rPr>
                    <w:t>洒水抑尘，不外排。</w:t>
                  </w:r>
                  <w:r>
                    <w:rPr>
                      <w:rFonts w:hint="eastAsia" w:ascii="Times New Roman" w:hAnsi="Times New Roman" w:eastAsia="宋体" w:cs="Times New Roman"/>
                      <w:color w:val="auto"/>
                      <w:lang w:val="en-US" w:eastAsia="zh-CN"/>
                    </w:rPr>
                    <w:t>施工期生活办公用房租用</w:t>
                  </w:r>
                  <w:r>
                    <w:rPr>
                      <w:rFonts w:hint="default" w:ascii="Times New Roman" w:hAnsi="Times New Roman" w:eastAsia="宋体" w:cs="Times New Roman"/>
                      <w:color w:val="auto"/>
                      <w:lang w:val="en-US" w:eastAsia="zh-CN"/>
                    </w:rPr>
                    <w:t>周边村庄房屋，</w:t>
                  </w:r>
                  <w:r>
                    <w:rPr>
                      <w:rFonts w:hint="eastAsia" w:ascii="Times New Roman" w:hAnsi="Times New Roman" w:eastAsia="宋体" w:cs="Times New Roman"/>
                      <w:color w:val="auto"/>
                      <w:lang w:val="en-US" w:eastAsia="zh-CN"/>
                    </w:rPr>
                    <w:t>生活</w:t>
                  </w:r>
                  <w:r>
                    <w:rPr>
                      <w:rFonts w:hint="default" w:ascii="Times New Roman" w:hAnsi="Times New Roman" w:eastAsia="宋体" w:cs="Times New Roman"/>
                      <w:color w:val="auto"/>
                      <w:lang w:val="en-US" w:eastAsia="zh-CN"/>
                    </w:rPr>
                    <w:t>废水依托村落及乡镇现有生活设施解决生活污水排放问题，废水不外排。</w:t>
                  </w:r>
                  <w:r>
                    <w:rPr>
                      <w:rFonts w:hint="eastAsia" w:ascii="Times New Roman" w:hAnsi="Times New Roman" w:eastAsia="宋体" w:cs="Times New Roman"/>
                      <w:color w:val="auto"/>
                      <w:lang w:val="en-US" w:eastAsia="zh-CN"/>
                    </w:rPr>
                    <w:t>不会造成水环境污染和生态破坏</w:t>
                  </w:r>
                </w:p>
              </w:tc>
              <w:tc>
                <w:tcPr>
                  <w:tcW w:w="370" w:type="pct"/>
                  <w:tcBorders>
                    <w:tl2br w:val="nil"/>
                    <w:tr2bl w:val="nil"/>
                  </w:tcBorders>
                  <w:noWrap w:val="0"/>
                  <w:vAlign w:val="center"/>
                </w:tcPr>
                <w:p w14:paraId="120CDE5A">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4D11A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35D1D484">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521" w:type="pct"/>
                  <w:tcBorders>
                    <w:tl2br w:val="nil"/>
                    <w:tr2bl w:val="nil"/>
                  </w:tcBorders>
                  <w:noWrap w:val="0"/>
                  <w:vAlign w:val="center"/>
                </w:tcPr>
                <w:p w14:paraId="742F0073">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第三十四条 禁止向水体排放、倾倒工业废渣、城镇垃圾和其他废弃物。</w:t>
                  </w:r>
                </w:p>
              </w:tc>
              <w:tc>
                <w:tcPr>
                  <w:tcW w:w="2594" w:type="pct"/>
                  <w:tcBorders>
                    <w:tl2br w:val="nil"/>
                    <w:tr2bl w:val="nil"/>
                  </w:tcBorders>
                  <w:noWrap w:val="0"/>
                  <w:vAlign w:val="center"/>
                </w:tcPr>
                <w:p w14:paraId="69AC4E11">
                  <w:pPr>
                    <w:pStyle w:val="35"/>
                    <w:bidi w:val="0"/>
                    <w:ind w:firstLine="42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工程施工期产生的固体废弃物主要是施工土石方、施工建筑垃圾、施工人员生活垃圾。施工</w:t>
                  </w:r>
                  <w:r>
                    <w:rPr>
                      <w:rFonts w:hint="eastAsia" w:ascii="Times New Roman" w:hAnsi="Times New Roman" w:eastAsia="宋体" w:cs="Times New Roman"/>
                      <w:color w:val="auto"/>
                      <w:lang w:val="en-US" w:eastAsia="zh-CN"/>
                    </w:rPr>
                    <w:t>期挖填平衡废弃土石方</w:t>
                  </w:r>
                  <w:r>
                    <w:rPr>
                      <w:rFonts w:hint="default" w:ascii="Times New Roman" w:hAnsi="Times New Roman" w:eastAsia="宋体" w:cs="Times New Roman"/>
                      <w:color w:val="auto"/>
                      <w:lang w:val="en-US" w:eastAsia="zh-CN"/>
                    </w:rPr>
                    <w:t>。施工建筑垃圾主要来自各施工区临时建筑物拆除，施工废料等，建筑垃圾应分类堆放，能回收利用的尽量回收利用，不能回收利用的按住建部门要求进行规范处置。生活垃圾收集后运至周边村庄生活垃圾堆存点统一处置。项目区固体污染物都妥善处置，处置率100%对环境影响较小</w:t>
                  </w:r>
                  <w:r>
                    <w:rPr>
                      <w:rFonts w:hint="default" w:ascii="Times New Roman" w:hAnsi="Times New Roman" w:eastAsia="宋体" w:cs="Times New Roman"/>
                      <w:color w:val="auto"/>
                    </w:rPr>
                    <w:t>。不涉及向水体排放、倾倒工业废渣、城镇垃圾和其他废弃物。</w:t>
                  </w:r>
                </w:p>
              </w:tc>
              <w:tc>
                <w:tcPr>
                  <w:tcW w:w="370" w:type="pct"/>
                  <w:tcBorders>
                    <w:tl2br w:val="nil"/>
                    <w:tr2bl w:val="nil"/>
                  </w:tcBorders>
                  <w:noWrap w:val="0"/>
                  <w:vAlign w:val="center"/>
                </w:tcPr>
                <w:p w14:paraId="42D22C5F">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027BE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14" w:type="pct"/>
                  <w:tcBorders>
                    <w:tl2br w:val="nil"/>
                    <w:tr2bl w:val="nil"/>
                  </w:tcBorders>
                  <w:noWrap w:val="0"/>
                  <w:vAlign w:val="center"/>
                </w:tcPr>
                <w:p w14:paraId="1CB1350C">
                  <w:pPr>
                    <w:pStyle w:val="35"/>
                    <w:bidi w:val="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6</w:t>
                  </w:r>
                </w:p>
              </w:tc>
              <w:tc>
                <w:tcPr>
                  <w:tcW w:w="1521" w:type="pct"/>
                  <w:tcBorders>
                    <w:tl2br w:val="nil"/>
                    <w:tr2bl w:val="nil"/>
                  </w:tcBorders>
                  <w:noWrap w:val="0"/>
                  <w:vAlign w:val="center"/>
                </w:tcPr>
                <w:p w14:paraId="41B8661D">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第六十六条  禁止在饮用水水源二级保护区内新建、改建、扩建排放污染物的建设项目；已建成的排放污染物的建设项目，由县级以上人民政府责令拆除或者关闭。</w:t>
                  </w:r>
                </w:p>
                <w:p w14:paraId="7E9AEFEC">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在饮用水二级保护区内从事网箱养殖、旅游等活动的，应当按照规定采取措施，防</w:t>
                  </w:r>
                  <w:r>
                    <w:rPr>
                      <w:rFonts w:hint="eastAsia" w:cs="Times New Roman"/>
                      <w:color w:val="auto"/>
                      <w:lang w:eastAsia="zh-CN"/>
                    </w:rPr>
                    <w:t>止</w:t>
                  </w:r>
                  <w:r>
                    <w:rPr>
                      <w:rFonts w:hint="default" w:ascii="Times New Roman" w:hAnsi="Times New Roman" w:eastAsia="宋体" w:cs="Times New Roman"/>
                      <w:color w:val="auto"/>
                    </w:rPr>
                    <w:t>污染饮用水水体。</w:t>
                  </w:r>
                </w:p>
              </w:tc>
              <w:tc>
                <w:tcPr>
                  <w:tcW w:w="2594" w:type="pct"/>
                  <w:tcBorders>
                    <w:tl2br w:val="nil"/>
                    <w:tr2bl w:val="nil"/>
                  </w:tcBorders>
                  <w:noWrap w:val="0"/>
                  <w:vAlign w:val="center"/>
                </w:tcPr>
                <w:p w14:paraId="68F03566">
                  <w:pPr>
                    <w:pStyle w:val="35"/>
                    <w:bidi w:val="0"/>
                    <w:ind w:firstLine="42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本</w:t>
                  </w:r>
                  <w:r>
                    <w:rPr>
                      <w:rFonts w:hint="default" w:ascii="Times New Roman" w:hAnsi="Times New Roman" w:eastAsia="宋体" w:cs="Times New Roman"/>
                      <w:color w:val="auto"/>
                    </w:rPr>
                    <w:t>项目占地范围内不涉及饮用水源保护区。</w:t>
                  </w:r>
                </w:p>
              </w:tc>
              <w:tc>
                <w:tcPr>
                  <w:tcW w:w="370" w:type="pct"/>
                  <w:tcBorders>
                    <w:tl2br w:val="nil"/>
                    <w:tr2bl w:val="nil"/>
                  </w:tcBorders>
                  <w:noWrap w:val="0"/>
                  <w:vAlign w:val="center"/>
                </w:tcPr>
                <w:p w14:paraId="58272FF9">
                  <w:pPr>
                    <w:pStyle w:val="35"/>
                    <w:bidi w:val="0"/>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bl>
          <w:p w14:paraId="41A6C2FE">
            <w:pPr>
              <w:autoSpaceDE w:val="0"/>
              <w:spacing w:line="360" w:lineRule="auto"/>
              <w:ind w:firstLine="480" w:firstLineChars="200"/>
              <w:rPr>
                <w:rFonts w:hint="eastAsia"/>
                <w:b/>
                <w:bCs/>
                <w:color w:val="auto"/>
                <w:lang w:eastAsia="zh-CN"/>
              </w:rPr>
            </w:pPr>
            <w:r>
              <w:rPr>
                <w:rFonts w:hint="default" w:ascii="Times New Roman" w:hAnsi="Times New Roman" w:cs="Times New Roman"/>
                <w:color w:val="auto"/>
                <w:sz w:val="24"/>
                <w:lang w:bidi="ar"/>
              </w:rPr>
              <w:t>总体而言，项目建设符合《中华人民共和国水污染防治法》相关要求。</w:t>
            </w:r>
          </w:p>
          <w:p w14:paraId="3F489725">
            <w:pPr>
              <w:pStyle w:val="37"/>
              <w:bidi w:val="0"/>
              <w:ind w:left="0" w:leftChars="0" w:firstLine="482" w:firstLineChars="200"/>
              <w:rPr>
                <w:rFonts w:hint="eastAsia"/>
                <w:b/>
                <w:bCs/>
                <w:color w:val="auto"/>
                <w:lang w:eastAsia="zh-CN"/>
              </w:rPr>
            </w:pPr>
            <w:r>
              <w:rPr>
                <w:rFonts w:hint="eastAsia"/>
                <w:b/>
                <w:bCs/>
                <w:color w:val="auto"/>
                <w:lang w:val="en-US" w:eastAsia="zh-CN"/>
              </w:rPr>
              <w:t>4</w:t>
            </w:r>
            <w:r>
              <w:rPr>
                <w:rFonts w:hint="eastAsia"/>
                <w:b/>
                <w:bCs/>
                <w:color w:val="auto"/>
                <w:lang w:eastAsia="zh-CN"/>
              </w:rPr>
              <w:t>、项目与《云南省长江经济带发展负面清单指南实施细则（试行）》（</w:t>
            </w:r>
            <w:r>
              <w:rPr>
                <w:rFonts w:hint="eastAsia"/>
                <w:b/>
                <w:bCs/>
                <w:color w:val="auto"/>
                <w:lang w:val="en-US" w:eastAsia="zh-CN"/>
              </w:rPr>
              <w:t>试行，2022年版</w:t>
            </w:r>
            <w:r>
              <w:rPr>
                <w:rFonts w:hint="eastAsia"/>
                <w:b/>
                <w:bCs/>
                <w:color w:val="auto"/>
                <w:lang w:eastAsia="zh-CN"/>
              </w:rPr>
              <w:t>）符合性分析</w:t>
            </w:r>
          </w:p>
          <w:p w14:paraId="37DBE404">
            <w:pPr>
              <w:pStyle w:val="37"/>
              <w:bidi w:val="0"/>
              <w:rPr>
                <w:rFonts w:hint="eastAsia" w:eastAsia="宋体" w:cs="Times New Roman"/>
                <w:color w:val="auto"/>
                <w:spacing w:val="0"/>
                <w:position w:val="0"/>
                <w:lang w:val="en-US" w:eastAsia="zh-CN"/>
              </w:rPr>
            </w:pPr>
            <w:r>
              <w:rPr>
                <w:rFonts w:hint="eastAsia" w:eastAsia="宋体" w:cs="Times New Roman"/>
                <w:color w:val="auto"/>
                <w:spacing w:val="0"/>
                <w:position w:val="0"/>
                <w:lang w:val="en-US" w:eastAsia="zh-CN"/>
              </w:rPr>
              <w:t>为深入贯彻落实习近平总书记关于推动长江经济带发展的重要讲话和指示批示精神，认真落实长江保护法，根据《长江经济带发展负面清单指南（试行，2022年版）》</w:t>
            </w:r>
            <w:r>
              <w:rPr>
                <w:rFonts w:hint="eastAsia" w:cs="Times New Roman"/>
                <w:color w:val="auto"/>
                <w:spacing w:val="0"/>
                <w:position w:val="0"/>
                <w:lang w:val="en-US" w:eastAsia="zh-CN"/>
              </w:rPr>
              <w:t>（</w:t>
            </w:r>
            <w:r>
              <w:rPr>
                <w:rFonts w:hint="eastAsia" w:eastAsia="宋体" w:cs="Times New Roman"/>
                <w:color w:val="auto"/>
                <w:spacing w:val="0"/>
                <w:position w:val="0"/>
                <w:lang w:val="en-US" w:eastAsia="zh-CN"/>
              </w:rPr>
              <w:t>长江办〔2022〕7号</w:t>
            </w:r>
            <w:r>
              <w:rPr>
                <w:rFonts w:hint="eastAsia" w:cs="Times New Roman"/>
                <w:color w:val="auto"/>
                <w:spacing w:val="0"/>
                <w:position w:val="0"/>
                <w:lang w:val="en-US" w:eastAsia="zh-CN"/>
              </w:rPr>
              <w:t>）</w:t>
            </w:r>
            <w:r>
              <w:rPr>
                <w:rFonts w:hint="eastAsia" w:eastAsia="宋体" w:cs="Times New Roman"/>
                <w:color w:val="auto"/>
                <w:spacing w:val="0"/>
                <w:position w:val="0"/>
                <w:lang w:val="en-US" w:eastAsia="zh-CN"/>
              </w:rPr>
              <w:t>，结合云南实际，制定本实施细则。项目与长江经济带发展负面清单符合性，见下表。</w:t>
            </w:r>
          </w:p>
          <w:p w14:paraId="3ABF6C09">
            <w:pPr>
              <w:pStyle w:val="37"/>
              <w:bidi w:val="0"/>
              <w:spacing w:line="240" w:lineRule="auto"/>
              <w:ind w:left="0" w:leftChars="0" w:firstLine="0" w:firstLineChars="0"/>
              <w:jc w:val="center"/>
              <w:rPr>
                <w:rFonts w:hint="eastAsia" w:eastAsia="宋体" w:cs="Times New Roman"/>
                <w:b/>
                <w:bCs/>
                <w:color w:val="auto"/>
                <w:spacing w:val="0"/>
                <w:position w:val="0"/>
                <w:sz w:val="21"/>
                <w:szCs w:val="21"/>
                <w:lang w:val="en-US" w:eastAsia="zh-CN"/>
              </w:rPr>
            </w:pPr>
            <w:r>
              <w:rPr>
                <w:rFonts w:hint="eastAsia" w:eastAsia="宋体" w:cs="Times New Roman"/>
                <w:b/>
                <w:bCs/>
                <w:color w:val="auto"/>
                <w:spacing w:val="0"/>
                <w:position w:val="0"/>
                <w:sz w:val="21"/>
                <w:szCs w:val="21"/>
                <w:lang w:val="en-US" w:eastAsia="zh-CN"/>
              </w:rPr>
              <w:t>表1</w:t>
            </w:r>
            <w:r>
              <w:rPr>
                <w:rFonts w:hint="eastAsia" w:cs="Times New Roman"/>
                <w:b/>
                <w:bCs/>
                <w:color w:val="auto"/>
                <w:spacing w:val="0"/>
                <w:position w:val="0"/>
                <w:sz w:val="21"/>
                <w:szCs w:val="21"/>
                <w:lang w:val="en-US" w:eastAsia="zh-CN"/>
              </w:rPr>
              <w:t>-4</w:t>
            </w:r>
            <w:r>
              <w:rPr>
                <w:rFonts w:hint="eastAsia" w:eastAsia="宋体" w:cs="Times New Roman"/>
                <w:b/>
                <w:bCs/>
                <w:color w:val="auto"/>
                <w:spacing w:val="0"/>
                <w:position w:val="0"/>
                <w:sz w:val="21"/>
                <w:szCs w:val="21"/>
                <w:lang w:val="en-US" w:eastAsia="zh-CN"/>
              </w:rPr>
              <w:t>与“云南省长江经济带发展负面清单指南实施细则（试行）”的符合性</w:t>
            </w:r>
          </w:p>
          <w:tbl>
            <w:tblPr>
              <w:tblStyle w:val="23"/>
              <w:tblW w:w="49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22"/>
              <w:gridCol w:w="2034"/>
              <w:gridCol w:w="560"/>
            </w:tblGrid>
            <w:tr w14:paraId="713CC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296" w:type="pct"/>
                  <w:tcBorders>
                    <w:tl2br w:val="nil"/>
                    <w:tr2bl w:val="nil"/>
                  </w:tcBorders>
                  <w:vAlign w:val="center"/>
                </w:tcPr>
                <w:p w14:paraId="509FEED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负面清单指南要求</w:t>
                  </w:r>
                </w:p>
              </w:tc>
              <w:tc>
                <w:tcPr>
                  <w:tcW w:w="1335" w:type="pct"/>
                  <w:tcBorders>
                    <w:tl2br w:val="nil"/>
                    <w:tr2bl w:val="nil"/>
                  </w:tcBorders>
                  <w:vAlign w:val="center"/>
                </w:tcPr>
                <w:p w14:paraId="6A0CAE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rPr>
                    <w:t>本</w:t>
                  </w:r>
                  <w:r>
                    <w:rPr>
                      <w:b/>
                      <w:bCs/>
                      <w:color w:val="auto"/>
                      <w:sz w:val="21"/>
                      <w:szCs w:val="21"/>
                    </w:rPr>
                    <w:t>项目情况</w:t>
                  </w:r>
                </w:p>
              </w:tc>
              <w:tc>
                <w:tcPr>
                  <w:tcW w:w="367" w:type="pct"/>
                  <w:tcBorders>
                    <w:tl2br w:val="nil"/>
                    <w:tr2bl w:val="nil"/>
                  </w:tcBorders>
                  <w:vAlign w:val="center"/>
                </w:tcPr>
                <w:p w14:paraId="0EB14B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相符性</w:t>
                  </w:r>
                </w:p>
              </w:tc>
            </w:tr>
            <w:tr w14:paraId="3CA60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296" w:type="pct"/>
                  <w:tcBorders>
                    <w:tl2br w:val="nil"/>
                    <w:tr2bl w:val="nil"/>
                  </w:tcBorders>
                  <w:vAlign w:val="center"/>
                </w:tcPr>
                <w:p w14:paraId="4AB04562">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禁止建设不符合全国和省级港口布局规划以及港口总体规划的码头项目。</w:t>
                  </w:r>
                </w:p>
              </w:tc>
              <w:tc>
                <w:tcPr>
                  <w:tcW w:w="1335" w:type="pct"/>
                  <w:tcBorders>
                    <w:tl2br w:val="nil"/>
                    <w:tr2bl w:val="nil"/>
                  </w:tcBorders>
                  <w:vAlign w:val="center"/>
                </w:tcPr>
                <w:p w14:paraId="45598ABB">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auto"/>
                      <w:sz w:val="21"/>
                      <w:szCs w:val="21"/>
                    </w:rPr>
                  </w:pPr>
                  <w:r>
                    <w:rPr>
                      <w:rFonts w:hint="eastAsia"/>
                      <w:color w:val="auto"/>
                      <w:sz w:val="21"/>
                      <w:szCs w:val="21"/>
                    </w:rPr>
                    <w:t>本项目不涉及码头项目建设。</w:t>
                  </w:r>
                </w:p>
              </w:tc>
              <w:tc>
                <w:tcPr>
                  <w:tcW w:w="367" w:type="pct"/>
                  <w:tcBorders>
                    <w:tl2br w:val="nil"/>
                    <w:tr2bl w:val="nil"/>
                  </w:tcBorders>
                  <w:vAlign w:val="center"/>
                </w:tcPr>
                <w:p w14:paraId="7D6AB1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符合</w:t>
                  </w:r>
                </w:p>
              </w:tc>
            </w:tr>
            <w:tr w14:paraId="4F840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96" w:type="pct"/>
                  <w:tcBorders>
                    <w:tl2br w:val="nil"/>
                    <w:tr2bl w:val="nil"/>
                  </w:tcBorders>
                  <w:vAlign w:val="center"/>
                </w:tcPr>
                <w:p w14:paraId="3116CBB7">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335" w:type="pct"/>
                  <w:tcBorders>
                    <w:tl2br w:val="nil"/>
                    <w:tr2bl w:val="nil"/>
                  </w:tcBorders>
                  <w:vAlign w:val="center"/>
                </w:tcPr>
                <w:p w14:paraId="5BDC492A">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sz w:val="21"/>
                      <w:szCs w:val="21"/>
                    </w:rPr>
                  </w:pPr>
                  <w:r>
                    <w:rPr>
                      <w:rFonts w:hint="eastAsia"/>
                      <w:color w:val="auto"/>
                      <w:sz w:val="21"/>
                      <w:szCs w:val="21"/>
                      <w:lang w:eastAsia="zh-CN"/>
                    </w:rPr>
                    <w:t>项目</w:t>
                  </w:r>
                  <w:r>
                    <w:rPr>
                      <w:color w:val="auto"/>
                      <w:sz w:val="21"/>
                      <w:szCs w:val="21"/>
                    </w:rPr>
                    <w:t>不</w:t>
                  </w:r>
                  <w:r>
                    <w:rPr>
                      <w:rFonts w:hint="eastAsia"/>
                      <w:color w:val="auto"/>
                      <w:sz w:val="21"/>
                      <w:szCs w:val="21"/>
                    </w:rPr>
                    <w:t>涉及占用生态保护红线。</w:t>
                  </w:r>
                </w:p>
              </w:tc>
              <w:tc>
                <w:tcPr>
                  <w:tcW w:w="367" w:type="pct"/>
                  <w:tcBorders>
                    <w:tl2br w:val="nil"/>
                    <w:tr2bl w:val="nil"/>
                  </w:tcBorders>
                  <w:vAlign w:val="center"/>
                </w:tcPr>
                <w:p w14:paraId="34ADE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r w14:paraId="75927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2" w:hRule="atLeast"/>
                <w:jc w:val="center"/>
              </w:trPr>
              <w:tc>
                <w:tcPr>
                  <w:tcW w:w="3296" w:type="pct"/>
                  <w:tcBorders>
                    <w:tl2br w:val="nil"/>
                    <w:tr2bl w:val="nil"/>
                  </w:tcBorders>
                  <w:vAlign w:val="center"/>
                </w:tcPr>
                <w:p w14:paraId="4CD1A237">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1335" w:type="pct"/>
                  <w:tcBorders>
                    <w:tl2br w:val="nil"/>
                    <w:tr2bl w:val="nil"/>
                  </w:tcBorders>
                  <w:vAlign w:val="center"/>
                </w:tcPr>
                <w:p w14:paraId="62103FAC">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color w:val="0000FF"/>
                      <w:sz w:val="21"/>
                      <w:szCs w:val="21"/>
                    </w:rPr>
                  </w:pPr>
                  <w:r>
                    <w:rPr>
                      <w:color w:val="auto"/>
                      <w:kern w:val="0"/>
                      <w:sz w:val="21"/>
                      <w:szCs w:val="21"/>
                      <w:lang w:bidi="ar"/>
                    </w:rPr>
                    <w:t>项目建设不涉及占用自然保护区的核心区、</w:t>
                  </w:r>
                  <w:r>
                    <w:rPr>
                      <w:color w:val="auto"/>
                      <w:sz w:val="21"/>
                      <w:szCs w:val="21"/>
                    </w:rPr>
                    <w:t>缓冲区、实验区</w:t>
                  </w:r>
                  <w:r>
                    <w:rPr>
                      <w:rFonts w:hint="eastAsia"/>
                      <w:color w:val="0000FF"/>
                      <w:sz w:val="21"/>
                      <w:szCs w:val="21"/>
                    </w:rPr>
                    <w:t>。</w:t>
                  </w:r>
                </w:p>
              </w:tc>
              <w:tc>
                <w:tcPr>
                  <w:tcW w:w="367" w:type="pct"/>
                  <w:tcBorders>
                    <w:tl2br w:val="nil"/>
                    <w:tr2bl w:val="nil"/>
                  </w:tcBorders>
                  <w:vAlign w:val="center"/>
                </w:tcPr>
                <w:p w14:paraId="0629D5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符合</w:t>
                  </w:r>
                </w:p>
              </w:tc>
            </w:tr>
            <w:tr w14:paraId="44B34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296" w:type="pct"/>
                  <w:tcBorders>
                    <w:tl2br w:val="nil"/>
                    <w:tr2bl w:val="nil"/>
                  </w:tcBorders>
                  <w:vAlign w:val="center"/>
                </w:tcPr>
                <w:p w14:paraId="196BBA18">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1335" w:type="pct"/>
                  <w:tcBorders>
                    <w:tl2br w:val="nil"/>
                    <w:tr2bl w:val="nil"/>
                  </w:tcBorders>
                  <w:vAlign w:val="center"/>
                </w:tcPr>
                <w:p w14:paraId="664C836F">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sz w:val="21"/>
                      <w:szCs w:val="21"/>
                    </w:rPr>
                  </w:pPr>
                  <w:r>
                    <w:rPr>
                      <w:color w:val="auto"/>
                      <w:kern w:val="0"/>
                      <w:sz w:val="21"/>
                      <w:szCs w:val="21"/>
                      <w:lang w:bidi="ar"/>
                    </w:rPr>
                    <w:t>项目建设不涉及</w:t>
                  </w:r>
                  <w:r>
                    <w:rPr>
                      <w:rFonts w:hint="eastAsia"/>
                      <w:color w:val="auto"/>
                      <w:kern w:val="0"/>
                      <w:sz w:val="21"/>
                      <w:szCs w:val="21"/>
                      <w:lang w:bidi="ar"/>
                    </w:rPr>
                    <w:t>占用</w:t>
                  </w:r>
                  <w:r>
                    <w:rPr>
                      <w:color w:val="auto"/>
                      <w:kern w:val="0"/>
                      <w:sz w:val="21"/>
                      <w:szCs w:val="21"/>
                      <w:lang w:bidi="ar"/>
                    </w:rPr>
                    <w:t>风景名胜区。</w:t>
                  </w:r>
                </w:p>
              </w:tc>
              <w:tc>
                <w:tcPr>
                  <w:tcW w:w="367" w:type="pct"/>
                  <w:tcBorders>
                    <w:tl2br w:val="nil"/>
                    <w:tr2bl w:val="nil"/>
                  </w:tcBorders>
                  <w:vAlign w:val="center"/>
                </w:tcPr>
                <w:p w14:paraId="3651B6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符合</w:t>
                  </w:r>
                </w:p>
              </w:tc>
            </w:tr>
            <w:tr w14:paraId="7C602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3296" w:type="pct"/>
                  <w:tcBorders>
                    <w:tl2br w:val="nil"/>
                    <w:tr2bl w:val="nil"/>
                  </w:tcBorders>
                  <w:vAlign w:val="center"/>
                </w:tcPr>
                <w:p w14:paraId="2E076762">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1335" w:type="pct"/>
                  <w:tcBorders>
                    <w:tl2br w:val="nil"/>
                    <w:tr2bl w:val="nil"/>
                  </w:tcBorders>
                  <w:vAlign w:val="center"/>
                </w:tcPr>
                <w:p w14:paraId="3E57135E">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sz w:val="21"/>
                      <w:szCs w:val="21"/>
                    </w:rPr>
                  </w:pPr>
                  <w:r>
                    <w:rPr>
                      <w:color w:val="auto"/>
                      <w:sz w:val="21"/>
                      <w:szCs w:val="21"/>
                    </w:rPr>
                    <w:t>项目不涉及征收、占用国家湿地公园的土地。</w:t>
                  </w:r>
                </w:p>
              </w:tc>
              <w:tc>
                <w:tcPr>
                  <w:tcW w:w="367" w:type="pct"/>
                  <w:tcBorders>
                    <w:tl2br w:val="nil"/>
                    <w:tr2bl w:val="nil"/>
                  </w:tcBorders>
                  <w:vAlign w:val="center"/>
                </w:tcPr>
                <w:p w14:paraId="2158C8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r w14:paraId="0CE3B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3296" w:type="pct"/>
                  <w:tcBorders>
                    <w:tl2br w:val="nil"/>
                    <w:tr2bl w:val="nil"/>
                  </w:tcBorders>
                  <w:vAlign w:val="center"/>
                </w:tcPr>
                <w:p w14:paraId="1C387CED">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auto"/>
                      <w:sz w:val="21"/>
                      <w:szCs w:val="21"/>
                    </w:rPr>
                  </w:pPr>
                  <w:r>
                    <w:rPr>
                      <w:color w:val="auto"/>
                      <w:sz w:val="21"/>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1335" w:type="pct"/>
                  <w:tcBorders>
                    <w:tl2br w:val="nil"/>
                    <w:tr2bl w:val="nil"/>
                  </w:tcBorders>
                  <w:vAlign w:val="center"/>
                </w:tcPr>
                <w:p w14:paraId="351A068B">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auto"/>
                      <w:sz w:val="21"/>
                      <w:szCs w:val="21"/>
                    </w:rPr>
                  </w:pPr>
                  <w:r>
                    <w:rPr>
                      <w:rFonts w:hint="eastAsia"/>
                      <w:color w:val="auto"/>
                      <w:sz w:val="21"/>
                      <w:szCs w:val="21"/>
                    </w:rPr>
                    <w:t>项目用地范围不涉及饮用水水源一级保护区、二级保护区。</w:t>
                  </w:r>
                </w:p>
              </w:tc>
              <w:tc>
                <w:tcPr>
                  <w:tcW w:w="367" w:type="pct"/>
                  <w:tcBorders>
                    <w:tl2br w:val="nil"/>
                    <w:tr2bl w:val="nil"/>
                  </w:tcBorders>
                  <w:vAlign w:val="center"/>
                </w:tcPr>
                <w:p w14:paraId="2BD594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r w14:paraId="2DD5B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3296" w:type="pct"/>
                  <w:tcBorders>
                    <w:tl2br w:val="nil"/>
                    <w:tr2bl w:val="nil"/>
                  </w:tcBorders>
                  <w:vAlign w:val="center"/>
                </w:tcPr>
                <w:p w14:paraId="5BA417F0">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rFonts w:hint="eastAsia"/>
                      <w:sz w:val="21"/>
                      <w:szCs w:val="21"/>
                    </w:rPr>
                    <w:t>，</w:t>
                  </w:r>
                  <w:r>
                    <w:rPr>
                      <w:sz w:val="21"/>
                      <w:szCs w:val="21"/>
                    </w:rPr>
                    <w:t>禁止在永久基本农田范围内投资建设项目。重大建设项目选址确实难以避让永久基本农田的，需在可行性研究阶段，对占用的必要性、合理性和补划方案的可行性进行严格论证，按照</w:t>
                  </w:r>
                  <w:r>
                    <w:rPr>
                      <w:rFonts w:hint="eastAsia"/>
                      <w:sz w:val="21"/>
                      <w:szCs w:val="21"/>
                    </w:rPr>
                    <w:t>“</w:t>
                  </w:r>
                  <w:r>
                    <w:rPr>
                      <w:sz w:val="21"/>
                      <w:szCs w:val="21"/>
                    </w:rPr>
                    <w:t>数量不减、质量不降、布局稳定</w:t>
                  </w:r>
                  <w:r>
                    <w:rPr>
                      <w:rFonts w:hint="eastAsia"/>
                      <w:sz w:val="21"/>
                      <w:szCs w:val="21"/>
                    </w:rPr>
                    <w:t>”</w:t>
                  </w:r>
                  <w:r>
                    <w:rPr>
                      <w:sz w:val="21"/>
                      <w:szCs w:val="21"/>
                    </w:rPr>
                    <w:t>的要求进行补划，报自然资源部用地预审，依法依规办理农用地转用和土地征收，和法定程序修改相应的国土空间规划用途。</w:t>
                  </w:r>
                </w:p>
              </w:tc>
              <w:tc>
                <w:tcPr>
                  <w:tcW w:w="1335" w:type="pct"/>
                  <w:tcBorders>
                    <w:tl2br w:val="nil"/>
                    <w:tr2bl w:val="nil"/>
                  </w:tcBorders>
                  <w:vAlign w:val="center"/>
                </w:tcPr>
                <w:p w14:paraId="56013CFF">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rFonts w:hint="eastAsia" w:eastAsia="宋体"/>
                      <w:color w:val="0000FF"/>
                      <w:sz w:val="21"/>
                      <w:szCs w:val="21"/>
                      <w:lang w:eastAsia="zh-CN"/>
                    </w:rPr>
                  </w:pPr>
                  <w:r>
                    <w:rPr>
                      <w:rFonts w:hint="eastAsia"/>
                      <w:color w:val="auto"/>
                      <w:sz w:val="21"/>
                      <w:szCs w:val="21"/>
                      <w:lang w:eastAsia="zh-CN"/>
                    </w:rPr>
                    <w:t>项目</w:t>
                  </w:r>
                  <w:r>
                    <w:rPr>
                      <w:rFonts w:hint="eastAsia"/>
                      <w:color w:val="auto"/>
                      <w:sz w:val="21"/>
                      <w:szCs w:val="21"/>
                    </w:rPr>
                    <w:t>不涉及利用、占用长江流域河湖岸线</w:t>
                  </w:r>
                  <w:r>
                    <w:rPr>
                      <w:rFonts w:hint="eastAsia"/>
                      <w:color w:val="auto"/>
                      <w:sz w:val="21"/>
                      <w:szCs w:val="21"/>
                      <w:lang w:eastAsia="zh-CN"/>
                    </w:rPr>
                    <w:t>，不涉及占</w:t>
                  </w:r>
                  <w:r>
                    <w:rPr>
                      <w:rFonts w:hint="eastAsia"/>
                      <w:color w:val="auto"/>
                      <w:sz w:val="21"/>
                      <w:szCs w:val="21"/>
                    </w:rPr>
                    <w:t>用永久基本农田、生态保护红线。</w:t>
                  </w:r>
                  <w:r>
                    <w:rPr>
                      <w:rFonts w:hint="eastAsia"/>
                      <w:color w:val="auto"/>
                      <w:sz w:val="21"/>
                      <w:szCs w:val="21"/>
                      <w:lang w:eastAsia="zh-CN"/>
                    </w:rPr>
                    <w:t>项目不涉及永久占地，</w:t>
                  </w:r>
                  <w:r>
                    <w:rPr>
                      <w:rFonts w:hint="eastAsia"/>
                      <w:color w:val="auto"/>
                      <w:sz w:val="21"/>
                      <w:szCs w:val="21"/>
                      <w:lang w:val="en-US" w:eastAsia="zh-CN"/>
                    </w:rPr>
                    <w:t>项目占地仅为临时占地包括旱地0.94hm</w:t>
                  </w:r>
                  <w:r>
                    <w:rPr>
                      <w:rFonts w:hint="eastAsia"/>
                      <w:color w:val="auto"/>
                      <w:sz w:val="21"/>
                      <w:szCs w:val="21"/>
                      <w:vertAlign w:val="superscript"/>
                      <w:lang w:val="en-US" w:eastAsia="zh-CN"/>
                    </w:rPr>
                    <w:t>2</w:t>
                  </w:r>
                  <w:r>
                    <w:rPr>
                      <w:rFonts w:hint="eastAsia"/>
                      <w:color w:val="auto"/>
                      <w:sz w:val="21"/>
                      <w:szCs w:val="21"/>
                      <w:lang w:val="en-US" w:eastAsia="zh-CN"/>
                    </w:rPr>
                    <w:t>、园地0.42hm</w:t>
                  </w:r>
                  <w:r>
                    <w:rPr>
                      <w:rFonts w:hint="eastAsia"/>
                      <w:color w:val="auto"/>
                      <w:sz w:val="21"/>
                      <w:szCs w:val="21"/>
                      <w:vertAlign w:val="superscript"/>
                      <w:lang w:val="en-US" w:eastAsia="zh-CN"/>
                    </w:rPr>
                    <w:t>2</w:t>
                  </w:r>
                  <w:r>
                    <w:rPr>
                      <w:rFonts w:hint="eastAsia"/>
                      <w:color w:val="auto"/>
                      <w:sz w:val="21"/>
                      <w:szCs w:val="21"/>
                      <w:lang w:val="en-US" w:eastAsia="zh-CN"/>
                    </w:rPr>
                    <w:t>、水田0.78hm</w:t>
                  </w:r>
                  <w:r>
                    <w:rPr>
                      <w:rFonts w:hint="eastAsia"/>
                      <w:color w:val="auto"/>
                      <w:sz w:val="21"/>
                      <w:szCs w:val="21"/>
                      <w:vertAlign w:val="superscript"/>
                      <w:lang w:val="en-US" w:eastAsia="zh-CN"/>
                    </w:rPr>
                    <w:t>2</w:t>
                  </w:r>
                  <w:r>
                    <w:rPr>
                      <w:rFonts w:hint="eastAsia"/>
                      <w:color w:val="auto"/>
                      <w:sz w:val="21"/>
                      <w:szCs w:val="21"/>
                      <w:lang w:val="en-US" w:eastAsia="zh-CN"/>
                    </w:rPr>
                    <w:t>。工程结束后，及时对临时用地恢复原有的使用功能，项目不涉及</w:t>
                  </w:r>
                  <w:r>
                    <w:rPr>
                      <w:sz w:val="21"/>
                      <w:szCs w:val="21"/>
                    </w:rPr>
                    <w:t>农用地转用和土地征收</w:t>
                  </w:r>
                  <w:r>
                    <w:rPr>
                      <w:rFonts w:hint="eastAsia"/>
                      <w:sz w:val="21"/>
                      <w:szCs w:val="21"/>
                      <w:lang w:eastAsia="zh-CN"/>
                    </w:rPr>
                    <w:t>。</w:t>
                  </w:r>
                </w:p>
              </w:tc>
              <w:tc>
                <w:tcPr>
                  <w:tcW w:w="367" w:type="pct"/>
                  <w:tcBorders>
                    <w:tl2br w:val="nil"/>
                    <w:tr2bl w:val="nil"/>
                  </w:tcBorders>
                  <w:vAlign w:val="center"/>
                </w:tcPr>
                <w:p w14:paraId="2FC566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r w14:paraId="4306D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3296" w:type="pct"/>
                  <w:tcBorders>
                    <w:tl2br w:val="nil"/>
                    <w:tr2bl w:val="nil"/>
                  </w:tcBorders>
                  <w:vAlign w:val="center"/>
                </w:tcPr>
                <w:p w14:paraId="4BBF1425">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w:t>
                  </w:r>
                  <w:r>
                    <w:rPr>
                      <w:rFonts w:hint="eastAsia"/>
                      <w:sz w:val="21"/>
                      <w:szCs w:val="21"/>
                    </w:rPr>
                    <w:t>“</w:t>
                  </w:r>
                  <w:r>
                    <w:rPr>
                      <w:sz w:val="21"/>
                      <w:szCs w:val="21"/>
                    </w:rPr>
                    <w:t>其他排口</w:t>
                  </w:r>
                  <w:r>
                    <w:rPr>
                      <w:rFonts w:hint="eastAsia"/>
                      <w:sz w:val="21"/>
                      <w:szCs w:val="21"/>
                    </w:rPr>
                    <w:t>”</w:t>
                  </w:r>
                  <w:r>
                    <w:rPr>
                      <w:sz w:val="21"/>
                      <w:szCs w:val="21"/>
                    </w:rPr>
                    <w:t>外。禁止在水产种质资源保护区内新建排污口，以及从事围湖造田、围湖造地或围填海工程。</w:t>
                  </w:r>
                </w:p>
              </w:tc>
              <w:tc>
                <w:tcPr>
                  <w:tcW w:w="1335" w:type="pct"/>
                  <w:tcBorders>
                    <w:tl2br w:val="nil"/>
                    <w:tr2bl w:val="nil"/>
                  </w:tcBorders>
                  <w:vAlign w:val="center"/>
                </w:tcPr>
                <w:p w14:paraId="39CD0F8D">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kern w:val="0"/>
                      <w:sz w:val="21"/>
                      <w:szCs w:val="21"/>
                      <w:lang w:bidi="ar"/>
                    </w:rPr>
                  </w:pPr>
                  <w:r>
                    <w:rPr>
                      <w:rFonts w:hint="eastAsia"/>
                      <w:color w:val="auto"/>
                      <w:sz w:val="21"/>
                      <w:szCs w:val="21"/>
                    </w:rPr>
                    <w:t>项目</w:t>
                  </w:r>
                  <w:r>
                    <w:rPr>
                      <w:color w:val="auto"/>
                      <w:sz w:val="21"/>
                      <w:szCs w:val="21"/>
                    </w:rPr>
                    <w:t>地表水体为</w:t>
                  </w:r>
                  <w:r>
                    <w:rPr>
                      <w:rFonts w:hint="eastAsia"/>
                      <w:color w:val="auto"/>
                      <w:sz w:val="21"/>
                      <w:szCs w:val="21"/>
                      <w:lang w:eastAsia="zh-CN"/>
                    </w:rPr>
                    <w:t>芒市大河，</w:t>
                  </w:r>
                  <w:r>
                    <w:rPr>
                      <w:color w:val="auto"/>
                      <w:kern w:val="0"/>
                      <w:sz w:val="21"/>
                      <w:szCs w:val="21"/>
                      <w:lang w:bidi="ar"/>
                    </w:rPr>
                    <w:t>本项目不涉及</w:t>
                  </w:r>
                  <w:r>
                    <w:rPr>
                      <w:color w:val="auto"/>
                      <w:sz w:val="21"/>
                      <w:szCs w:val="21"/>
                    </w:rPr>
                    <w:t>金沙江、长江一级支流，不涉及水产种质资源保护区。</w:t>
                  </w:r>
                </w:p>
              </w:tc>
              <w:tc>
                <w:tcPr>
                  <w:tcW w:w="367" w:type="pct"/>
                  <w:tcBorders>
                    <w:tl2br w:val="nil"/>
                    <w:tr2bl w:val="nil"/>
                  </w:tcBorders>
                  <w:vAlign w:val="center"/>
                </w:tcPr>
                <w:p w14:paraId="7C52A16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符合</w:t>
                  </w:r>
                </w:p>
              </w:tc>
            </w:tr>
            <w:tr w14:paraId="26EF8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3296" w:type="pct"/>
                  <w:tcBorders>
                    <w:tl2br w:val="nil"/>
                    <w:tr2bl w:val="nil"/>
                  </w:tcBorders>
                  <w:vAlign w:val="center"/>
                </w:tcPr>
                <w:p w14:paraId="206F6558">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金沙江、长江一级支流（详见附件1）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335" w:type="pct"/>
                  <w:tcBorders>
                    <w:tl2br w:val="nil"/>
                    <w:tr2bl w:val="nil"/>
                  </w:tcBorders>
                  <w:vAlign w:val="center"/>
                </w:tcPr>
                <w:p w14:paraId="3E050D2B">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kern w:val="0"/>
                      <w:sz w:val="21"/>
                      <w:szCs w:val="21"/>
                      <w:lang w:bidi="ar"/>
                    </w:rPr>
                  </w:pPr>
                  <w:r>
                    <w:rPr>
                      <w:color w:val="auto"/>
                      <w:kern w:val="0"/>
                      <w:sz w:val="21"/>
                      <w:szCs w:val="21"/>
                      <w:lang w:bidi="ar"/>
                    </w:rPr>
                    <w:t>本项目不涉及</w:t>
                  </w:r>
                  <w:r>
                    <w:rPr>
                      <w:color w:val="auto"/>
                      <w:sz w:val="21"/>
                      <w:szCs w:val="21"/>
                    </w:rPr>
                    <w:t>金沙江、长江一级支流。</w:t>
                  </w:r>
                </w:p>
              </w:tc>
              <w:tc>
                <w:tcPr>
                  <w:tcW w:w="367" w:type="pct"/>
                  <w:tcBorders>
                    <w:tl2br w:val="nil"/>
                    <w:tr2bl w:val="nil"/>
                  </w:tcBorders>
                  <w:vAlign w:val="center"/>
                </w:tcPr>
                <w:p w14:paraId="521F1C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r w14:paraId="2D23D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3296" w:type="pct"/>
                  <w:tcBorders>
                    <w:tl2br w:val="nil"/>
                    <w:tr2bl w:val="nil"/>
                  </w:tcBorders>
                  <w:vAlign w:val="center"/>
                </w:tcPr>
                <w:p w14:paraId="67E56C2A">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禁止在金沙江干流岸线3公里、长江（金沙江）一级支流岸线1公里范围内新建、改建、扩建尾矿库、冶炼渣库和磷石膏库，以提升安全、生态环境保护水平为目的的改建除外。</w:t>
                  </w:r>
                </w:p>
              </w:tc>
              <w:tc>
                <w:tcPr>
                  <w:tcW w:w="1335" w:type="pct"/>
                  <w:tcBorders>
                    <w:tl2br w:val="nil"/>
                    <w:tr2bl w:val="nil"/>
                  </w:tcBorders>
                  <w:vAlign w:val="center"/>
                </w:tcPr>
                <w:p w14:paraId="1B26788C">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kern w:val="0"/>
                      <w:sz w:val="21"/>
                      <w:szCs w:val="21"/>
                      <w:lang w:bidi="ar"/>
                    </w:rPr>
                  </w:pPr>
                  <w:r>
                    <w:rPr>
                      <w:color w:val="auto"/>
                      <w:kern w:val="0"/>
                      <w:sz w:val="21"/>
                      <w:szCs w:val="21"/>
                      <w:lang w:bidi="ar"/>
                    </w:rPr>
                    <w:t>本项目不属于</w:t>
                  </w:r>
                  <w:r>
                    <w:rPr>
                      <w:color w:val="auto"/>
                      <w:sz w:val="21"/>
                      <w:szCs w:val="21"/>
                    </w:rPr>
                    <w:t>尾矿库、冶炼渣库和磷石膏库。</w:t>
                  </w:r>
                  <w:r>
                    <w:rPr>
                      <w:color w:val="auto"/>
                      <w:kern w:val="0"/>
                      <w:sz w:val="21"/>
                      <w:szCs w:val="21"/>
                      <w:lang w:bidi="ar"/>
                    </w:rPr>
                    <w:t>项目不涉及</w:t>
                  </w:r>
                  <w:r>
                    <w:rPr>
                      <w:color w:val="auto"/>
                      <w:sz w:val="21"/>
                      <w:szCs w:val="21"/>
                    </w:rPr>
                    <w:t>金沙江、长江一级支流。</w:t>
                  </w:r>
                </w:p>
              </w:tc>
              <w:tc>
                <w:tcPr>
                  <w:tcW w:w="367" w:type="pct"/>
                  <w:tcBorders>
                    <w:tl2br w:val="nil"/>
                    <w:tr2bl w:val="nil"/>
                  </w:tcBorders>
                  <w:vAlign w:val="center"/>
                </w:tcPr>
                <w:p w14:paraId="400F4AC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符合</w:t>
                  </w:r>
                </w:p>
              </w:tc>
            </w:tr>
            <w:tr w14:paraId="48FA2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3296" w:type="pct"/>
                  <w:tcBorders>
                    <w:tl2br w:val="nil"/>
                    <w:tr2bl w:val="nil"/>
                  </w:tcBorders>
                  <w:vAlign w:val="center"/>
                </w:tcPr>
                <w:p w14:paraId="72707D6C">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sz w:val="21"/>
                      <w:szCs w:val="21"/>
                    </w:rPr>
                  </w:pPr>
                  <w:r>
                    <w:rPr>
                      <w:sz w:val="21"/>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335" w:type="pct"/>
                  <w:tcBorders>
                    <w:tl2br w:val="nil"/>
                    <w:tr2bl w:val="nil"/>
                  </w:tcBorders>
                  <w:vAlign w:val="center"/>
                </w:tcPr>
                <w:p w14:paraId="7BD56A8C">
                  <w:pPr>
                    <w:keepNext w:val="0"/>
                    <w:keepLines w:val="0"/>
                    <w:pageBreakBefore w:val="0"/>
                    <w:kinsoku/>
                    <w:wordWrap/>
                    <w:overflowPunct/>
                    <w:topLinePunct w:val="0"/>
                    <w:autoSpaceDE/>
                    <w:autoSpaceDN/>
                    <w:bidi w:val="0"/>
                    <w:adjustRightInd/>
                    <w:snapToGrid/>
                    <w:spacing w:line="240" w:lineRule="auto"/>
                    <w:ind w:firstLine="420" w:firstLineChars="200"/>
                    <w:jc w:val="both"/>
                    <w:textAlignment w:val="auto"/>
                    <w:rPr>
                      <w:color w:val="0000FF"/>
                      <w:kern w:val="0"/>
                      <w:sz w:val="21"/>
                      <w:szCs w:val="21"/>
                      <w:lang w:bidi="ar"/>
                    </w:rPr>
                  </w:pPr>
                  <w:r>
                    <w:rPr>
                      <w:rFonts w:hint="eastAsia"/>
                      <w:color w:val="auto"/>
                      <w:kern w:val="0"/>
                      <w:sz w:val="21"/>
                      <w:szCs w:val="21"/>
                      <w:lang w:bidi="ar"/>
                    </w:rPr>
                    <w:t>本项目为河道治理工程</w:t>
                  </w:r>
                  <w:r>
                    <w:rPr>
                      <w:rFonts w:hint="eastAsia"/>
                      <w:color w:val="auto"/>
                      <w:kern w:val="0"/>
                      <w:sz w:val="21"/>
                      <w:szCs w:val="21"/>
                      <w:lang w:eastAsia="zh-CN" w:bidi="ar"/>
                    </w:rPr>
                    <w:t>，</w:t>
                  </w:r>
                  <w:r>
                    <w:rPr>
                      <w:color w:val="auto"/>
                      <w:kern w:val="0"/>
                      <w:sz w:val="21"/>
                      <w:szCs w:val="21"/>
                      <w:lang w:bidi="ar"/>
                    </w:rPr>
                    <w:t>本项目不属于</w:t>
                  </w:r>
                  <w:r>
                    <w:rPr>
                      <w:color w:val="auto"/>
                      <w:sz w:val="21"/>
                      <w:szCs w:val="21"/>
                    </w:rPr>
                    <w:t>高耗能高排放项目</w:t>
                  </w:r>
                  <w:r>
                    <w:rPr>
                      <w:rFonts w:hint="eastAsia"/>
                      <w:color w:val="auto"/>
                      <w:sz w:val="21"/>
                      <w:szCs w:val="21"/>
                      <w:lang w:eastAsia="zh-CN"/>
                    </w:rPr>
                    <w:t>，</w:t>
                  </w:r>
                  <w:r>
                    <w:rPr>
                      <w:rFonts w:hint="eastAsia"/>
                      <w:color w:val="auto"/>
                      <w:sz w:val="21"/>
                      <w:szCs w:val="21"/>
                    </w:rPr>
                    <w:t>不涉及炼焦、制酸、复混肥及农药原药等的生产。</w:t>
                  </w:r>
                </w:p>
              </w:tc>
              <w:tc>
                <w:tcPr>
                  <w:tcW w:w="367" w:type="pct"/>
                  <w:tcBorders>
                    <w:tl2br w:val="nil"/>
                    <w:tr2bl w:val="nil"/>
                  </w:tcBorders>
                  <w:vAlign w:val="center"/>
                </w:tcPr>
                <w:p w14:paraId="3366EA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符合</w:t>
                  </w:r>
                </w:p>
              </w:tc>
            </w:tr>
          </w:tbl>
          <w:p w14:paraId="57CFD588">
            <w:pPr>
              <w:pStyle w:val="37"/>
              <w:bidi w:val="0"/>
              <w:ind w:left="0" w:leftChars="0" w:firstLine="482" w:firstLineChars="200"/>
              <w:rPr>
                <w:rFonts w:hint="eastAsia"/>
                <w:b/>
                <w:bCs/>
                <w:color w:val="auto"/>
                <w:lang w:eastAsia="zh-CN"/>
              </w:rPr>
            </w:pPr>
            <w:r>
              <w:rPr>
                <w:rFonts w:hint="eastAsia"/>
                <w:b/>
                <w:bCs/>
                <w:color w:val="auto"/>
                <w:lang w:val="en-US" w:eastAsia="zh-CN"/>
              </w:rPr>
              <w:t>5</w:t>
            </w:r>
            <w:r>
              <w:rPr>
                <w:rFonts w:hint="eastAsia"/>
                <w:b/>
                <w:bCs/>
                <w:color w:val="auto"/>
                <w:lang w:eastAsia="zh-CN"/>
              </w:rPr>
              <w:t>、项目与《中共云南省委云南省人民政府关于加快兴水润滇工程建设的决定》（下文简称《决定》）的符合性分析</w:t>
            </w:r>
          </w:p>
          <w:p w14:paraId="0B00FD5E">
            <w:pPr>
              <w:pStyle w:val="37"/>
              <w:bidi w:val="0"/>
              <w:rPr>
                <w:rFonts w:hint="eastAsia"/>
                <w:color w:val="auto"/>
                <w:lang w:eastAsia="zh-CN"/>
              </w:rPr>
            </w:pPr>
            <w:r>
              <w:rPr>
                <w:rFonts w:hint="eastAsia"/>
                <w:b/>
                <w:bCs/>
                <w:color w:val="auto"/>
                <w:lang w:eastAsia="zh-CN"/>
              </w:rPr>
              <w:t>主要内容：</w:t>
            </w:r>
            <w:r>
              <w:rPr>
                <w:rFonts w:hint="eastAsia"/>
                <w:color w:val="auto"/>
                <w:lang w:eastAsia="zh-CN"/>
              </w:rPr>
              <w:t>《中共云南省委云南省人民政府关于加快兴水润滇工程建设的决定》重点任务之一为：防洪能力提升工程。坚持人民至上、生命至上，逐步构建现代防洪抗旱减灾体系。完成跨界河流治理二期工程建设。推进金沙江白格堰塞湖灾后重建防洪工程建设。加快金沙江、珠江、红河、澜沧江、怒江、伊洛瓦底江等六大水系干流及主要支流、中小河流综合整治。积极推进山洪沟系统治理。对大中小型病险水库（水闸）实施除险加固。实施防洪能力提升工程2917件以上，规划项目总投资641亿元以上，“十四五”期间完成投资422亿元以上。</w:t>
            </w:r>
          </w:p>
          <w:p w14:paraId="3336C937">
            <w:pPr>
              <w:pStyle w:val="37"/>
              <w:bidi w:val="0"/>
              <w:rPr>
                <w:rFonts w:hint="eastAsia"/>
                <w:color w:val="auto"/>
                <w:lang w:eastAsia="zh-CN"/>
              </w:rPr>
            </w:pPr>
            <w:r>
              <w:rPr>
                <w:rFonts w:hint="eastAsia"/>
                <w:b/>
                <w:bCs/>
                <w:color w:val="auto"/>
                <w:lang w:eastAsia="zh-CN"/>
              </w:rPr>
              <w:t>符合性分析：</w:t>
            </w:r>
            <w:r>
              <w:rPr>
                <w:rFonts w:hint="eastAsia"/>
                <w:color w:val="auto"/>
                <w:lang w:eastAsia="zh-CN"/>
              </w:rPr>
              <w:t>本项目为</w:t>
            </w:r>
            <w:r>
              <w:rPr>
                <w:rFonts w:hint="eastAsia"/>
                <w:color w:val="auto"/>
                <w:lang w:val="en-US" w:eastAsia="zh-CN"/>
              </w:rPr>
              <w:t>芒市大河新桥电站至洞坎大桥段河道治理工程</w:t>
            </w:r>
            <w:r>
              <w:rPr>
                <w:rFonts w:hint="eastAsia"/>
                <w:color w:val="auto"/>
                <w:lang w:eastAsia="zh-CN"/>
              </w:rPr>
              <w:t>，芒市大河属</w:t>
            </w:r>
            <w:r>
              <w:rPr>
                <w:rFonts w:hint="eastAsia"/>
                <w:b w:val="0"/>
                <w:bCs w:val="0"/>
                <w:color w:val="auto"/>
                <w:lang w:eastAsia="zh-CN"/>
              </w:rPr>
              <w:t>于《决定》内</w:t>
            </w:r>
            <w:r>
              <w:rPr>
                <w:rFonts w:hint="eastAsia"/>
                <w:color w:val="auto"/>
                <w:lang w:eastAsia="zh-CN"/>
              </w:rPr>
              <w:t>金沙江、珠江、红河、澜沧江、怒江、伊洛瓦底江六大水系中的伊洛瓦底江主要支流，项目工程内容涉及芒市大河左岸及右岸新建护岸。</w:t>
            </w:r>
            <w:r>
              <w:rPr>
                <w:rFonts w:hint="eastAsia"/>
                <w:color w:val="auto"/>
                <w:lang w:val="en-US" w:eastAsia="zh-CN"/>
              </w:rPr>
              <w:t>本工程的实施可提高该治理河段防洪能力，结合现状已治理段、远期整合芒市大河其他河段防洪项目的实施，逐步形成芒市大河流域完备的防洪体系，减少防洪应急抢险的负担，确保沿河村寨居民的生命财产免受洪水危害</w:t>
            </w:r>
            <w:r>
              <w:rPr>
                <w:rFonts w:hint="eastAsia"/>
                <w:color w:val="auto"/>
                <w:lang w:eastAsia="zh-CN"/>
              </w:rPr>
              <w:t>。项目的建设符合中共云南省委云南省人民政府关于加快兴水润滇工程建设的决定。</w:t>
            </w:r>
          </w:p>
          <w:p w14:paraId="1BF3182E">
            <w:pPr>
              <w:pStyle w:val="37"/>
              <w:bidi w:val="0"/>
              <w:ind w:left="0" w:leftChars="0" w:firstLine="482" w:firstLineChars="200"/>
              <w:rPr>
                <w:rFonts w:hint="eastAsia"/>
                <w:b/>
                <w:bCs/>
                <w:color w:val="auto"/>
                <w:lang w:eastAsia="zh-CN"/>
              </w:rPr>
            </w:pPr>
            <w:r>
              <w:rPr>
                <w:rFonts w:hint="eastAsia"/>
                <w:b/>
                <w:bCs/>
                <w:color w:val="auto"/>
                <w:lang w:val="en-US" w:eastAsia="zh-CN"/>
              </w:rPr>
              <w:t>6</w:t>
            </w:r>
            <w:r>
              <w:rPr>
                <w:rFonts w:hint="eastAsia"/>
                <w:b/>
                <w:bCs/>
                <w:color w:val="auto"/>
                <w:lang w:eastAsia="zh-CN"/>
              </w:rPr>
              <w:t>、项目与《中华人民共和国河道管理条例》符合性分析</w:t>
            </w:r>
          </w:p>
          <w:p w14:paraId="21863BD7">
            <w:pPr>
              <w:pStyle w:val="32"/>
              <w:bidi w:val="0"/>
              <w:spacing w:line="240" w:lineRule="auto"/>
              <w:rPr>
                <w:rFonts w:hint="eastAsia"/>
                <w:color w:val="auto"/>
                <w:lang w:eastAsia="zh-CN"/>
              </w:rPr>
            </w:pPr>
            <w:r>
              <w:rPr>
                <w:rFonts w:hint="eastAsia"/>
                <w:color w:val="auto"/>
                <w:lang w:eastAsia="zh-CN"/>
              </w:rPr>
              <w:t>表1-</w:t>
            </w:r>
            <w:r>
              <w:rPr>
                <w:rFonts w:hint="eastAsia"/>
                <w:color w:val="auto"/>
                <w:lang w:val="en-US" w:eastAsia="zh-CN"/>
              </w:rPr>
              <w:t>5</w:t>
            </w:r>
            <w:r>
              <w:rPr>
                <w:rFonts w:hint="eastAsia"/>
                <w:color w:val="auto"/>
                <w:lang w:eastAsia="zh-CN"/>
              </w:rPr>
              <w:t>与《中华人民共和国河道管理条例》符合性分析</w:t>
            </w:r>
          </w:p>
          <w:tbl>
            <w:tblPr>
              <w:tblStyle w:val="24"/>
              <w:tblW w:w="492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3343"/>
              <w:gridCol w:w="2719"/>
              <w:gridCol w:w="990"/>
            </w:tblGrid>
            <w:tr w14:paraId="21463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7BD20F4B">
                  <w:pPr>
                    <w:pStyle w:val="35"/>
                    <w:bidi w:val="0"/>
                    <w:jc w:val="center"/>
                    <w:rPr>
                      <w:rFonts w:hint="eastAsia"/>
                      <w:b/>
                      <w:bCs/>
                      <w:color w:val="auto"/>
                      <w:lang w:eastAsia="zh-CN"/>
                    </w:rPr>
                  </w:pPr>
                  <w:r>
                    <w:rPr>
                      <w:b/>
                      <w:bCs/>
                      <w:color w:val="auto"/>
                    </w:rPr>
                    <w:t>序号</w:t>
                  </w:r>
                </w:p>
              </w:tc>
              <w:tc>
                <w:tcPr>
                  <w:tcW w:w="2184" w:type="pct"/>
                  <w:tcBorders>
                    <w:tl2br w:val="nil"/>
                    <w:tr2bl w:val="nil"/>
                  </w:tcBorders>
                  <w:vAlign w:val="center"/>
                </w:tcPr>
                <w:p w14:paraId="2AD5D087">
                  <w:pPr>
                    <w:pStyle w:val="35"/>
                    <w:bidi w:val="0"/>
                    <w:jc w:val="center"/>
                    <w:rPr>
                      <w:rFonts w:hint="eastAsia"/>
                      <w:b/>
                      <w:bCs/>
                      <w:color w:val="auto"/>
                      <w:lang w:eastAsia="zh-CN"/>
                    </w:rPr>
                  </w:pPr>
                  <w:r>
                    <w:rPr>
                      <w:b/>
                      <w:bCs/>
                      <w:color w:val="auto"/>
                    </w:rPr>
                    <w:t>河道管理条例</w:t>
                  </w:r>
                </w:p>
              </w:tc>
              <w:tc>
                <w:tcPr>
                  <w:tcW w:w="1776" w:type="pct"/>
                  <w:tcBorders>
                    <w:tl2br w:val="nil"/>
                    <w:tr2bl w:val="nil"/>
                  </w:tcBorders>
                  <w:vAlign w:val="center"/>
                </w:tcPr>
                <w:p w14:paraId="55F78B65">
                  <w:pPr>
                    <w:pStyle w:val="35"/>
                    <w:bidi w:val="0"/>
                    <w:jc w:val="center"/>
                    <w:rPr>
                      <w:rFonts w:hint="eastAsia"/>
                      <w:b/>
                      <w:bCs/>
                      <w:color w:val="0000FF"/>
                      <w:lang w:eastAsia="zh-CN"/>
                    </w:rPr>
                  </w:pPr>
                  <w:r>
                    <w:rPr>
                      <w:b/>
                      <w:bCs/>
                      <w:color w:val="auto"/>
                    </w:rPr>
                    <w:t>本项目</w:t>
                  </w:r>
                </w:p>
              </w:tc>
              <w:tc>
                <w:tcPr>
                  <w:tcW w:w="647" w:type="pct"/>
                  <w:tcBorders>
                    <w:tl2br w:val="nil"/>
                    <w:tr2bl w:val="nil"/>
                  </w:tcBorders>
                  <w:vAlign w:val="center"/>
                </w:tcPr>
                <w:p w14:paraId="07300956">
                  <w:pPr>
                    <w:pStyle w:val="35"/>
                    <w:bidi w:val="0"/>
                    <w:rPr>
                      <w:rFonts w:hint="eastAsia" w:eastAsia="宋体"/>
                      <w:b/>
                      <w:bCs/>
                      <w:color w:val="auto"/>
                      <w:lang w:eastAsia="zh-CN"/>
                    </w:rPr>
                  </w:pPr>
                  <w:r>
                    <w:rPr>
                      <w:b/>
                      <w:bCs/>
                      <w:color w:val="auto"/>
                    </w:rPr>
                    <w:t>符合</w:t>
                  </w:r>
                  <w:r>
                    <w:rPr>
                      <w:rFonts w:hint="eastAsia"/>
                      <w:b/>
                      <w:bCs/>
                      <w:color w:val="auto"/>
                      <w:lang w:eastAsia="zh-CN"/>
                    </w:rPr>
                    <w:t>性</w:t>
                  </w:r>
                </w:p>
              </w:tc>
            </w:tr>
            <w:tr w14:paraId="535AA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20D4E497">
                  <w:pPr>
                    <w:pStyle w:val="35"/>
                    <w:bidi w:val="0"/>
                    <w:rPr>
                      <w:rFonts w:hint="eastAsia"/>
                      <w:color w:val="auto"/>
                      <w:lang w:eastAsia="zh-CN"/>
                    </w:rPr>
                  </w:pPr>
                  <w:r>
                    <w:rPr>
                      <w:color w:val="auto"/>
                    </w:rPr>
                    <w:t>1</w:t>
                  </w:r>
                </w:p>
              </w:tc>
              <w:tc>
                <w:tcPr>
                  <w:tcW w:w="2184" w:type="pct"/>
                  <w:tcBorders>
                    <w:tl2br w:val="nil"/>
                    <w:tr2bl w:val="nil"/>
                  </w:tcBorders>
                  <w:vAlign w:val="center"/>
                </w:tcPr>
                <w:p w14:paraId="518C6A22">
                  <w:pPr>
                    <w:pStyle w:val="35"/>
                    <w:bidi w:val="0"/>
                    <w:ind w:firstLine="420" w:firstLineChars="200"/>
                    <w:jc w:val="both"/>
                    <w:rPr>
                      <w:rFonts w:hint="eastAsia"/>
                      <w:color w:val="auto"/>
                      <w:lang w:eastAsia="zh-CN"/>
                    </w:rPr>
                  </w:pPr>
                  <w:r>
                    <w:rPr>
                      <w:color w:val="auto"/>
                    </w:rPr>
                    <w:t>第十条：河道的整治与建设，应当服从流域综合规划，符合国</w:t>
                  </w:r>
                  <w:r>
                    <w:rPr>
                      <w:rFonts w:hint="eastAsia"/>
                      <w:color w:val="auto"/>
                      <w:lang w:eastAsia="zh-CN"/>
                    </w:rPr>
                    <w:t>家</w:t>
                  </w:r>
                  <w:r>
                    <w:rPr>
                      <w:color w:val="auto"/>
                    </w:rPr>
                    <w:t>规定的防洪标准、通航标准和其他有关技术要求，维护堤防安全，保持河势稳定和行洪、航运通畅。</w:t>
                  </w:r>
                </w:p>
              </w:tc>
              <w:tc>
                <w:tcPr>
                  <w:tcW w:w="1776" w:type="pct"/>
                  <w:tcBorders>
                    <w:tl2br w:val="nil"/>
                    <w:tr2bl w:val="nil"/>
                  </w:tcBorders>
                  <w:vAlign w:val="center"/>
                </w:tcPr>
                <w:p w14:paraId="7F48F175">
                  <w:pPr>
                    <w:pStyle w:val="35"/>
                    <w:bidi w:val="0"/>
                    <w:ind w:firstLine="420" w:firstLineChars="200"/>
                    <w:jc w:val="both"/>
                    <w:rPr>
                      <w:rFonts w:hint="eastAsia"/>
                      <w:color w:val="auto"/>
                      <w:lang w:eastAsia="zh-CN"/>
                    </w:rPr>
                  </w:pPr>
                  <w:r>
                    <w:rPr>
                      <w:rFonts w:hint="eastAsia"/>
                      <w:color w:val="auto"/>
                      <w:lang w:val="en-US" w:eastAsia="zh-CN"/>
                    </w:rPr>
                    <w:t>芒市大河新桥电站至洞坎大桥段河道治理工程已列入《“十四五”解决水利防洪排涝薄弱环节实施方案》云南省200—3000平方公里中小河流治理项目清单中。2016年7月德宏州水利局编制完成《德宏州水利发展“十三五”规划》 和2016年8月德宏州水利电力勘察设计院编制完成《加快水利薄弱环节建设德宏州水利实施方案（2016-2019 年）》中，芒市大河新桥电站至洞坎大桥段河道治理工程已列入规划范围内</w:t>
                  </w:r>
                  <w:r>
                    <w:rPr>
                      <w:rFonts w:hint="eastAsia"/>
                      <w:color w:val="auto"/>
                    </w:rPr>
                    <w:t>。</w:t>
                  </w:r>
                  <w:r>
                    <w:rPr>
                      <w:rFonts w:hint="default" w:ascii="Times New Roman" w:hAnsi="Times New Roman" w:eastAsia="宋体" w:cs="Times New Roman"/>
                      <w:color w:val="000000"/>
                      <w:kern w:val="2"/>
                      <w:sz w:val="21"/>
                      <w:szCs w:val="21"/>
                      <w:lang w:val="en-US" w:eastAsia="zh-CN" w:bidi="ar"/>
                    </w:rPr>
                    <w:t>项目防洪标准为10年一遇，符合《防洪标准》GB50201-2014标准要求。</w:t>
                  </w:r>
                </w:p>
              </w:tc>
              <w:tc>
                <w:tcPr>
                  <w:tcW w:w="647" w:type="pct"/>
                  <w:tcBorders>
                    <w:tl2br w:val="nil"/>
                    <w:tr2bl w:val="nil"/>
                  </w:tcBorders>
                  <w:vAlign w:val="center"/>
                </w:tcPr>
                <w:p w14:paraId="650EBE2A">
                  <w:pPr>
                    <w:pStyle w:val="35"/>
                    <w:bidi w:val="0"/>
                    <w:rPr>
                      <w:rFonts w:hint="eastAsia"/>
                      <w:color w:val="auto"/>
                      <w:lang w:eastAsia="zh-CN"/>
                    </w:rPr>
                  </w:pPr>
                  <w:r>
                    <w:rPr>
                      <w:color w:val="auto"/>
                    </w:rPr>
                    <w:t>符合</w:t>
                  </w:r>
                </w:p>
              </w:tc>
            </w:tr>
            <w:tr w14:paraId="1C52E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3DA85046">
                  <w:pPr>
                    <w:pStyle w:val="35"/>
                    <w:bidi w:val="0"/>
                    <w:rPr>
                      <w:rFonts w:hint="eastAsia"/>
                      <w:color w:val="auto"/>
                      <w:lang w:val="en-US" w:eastAsia="zh-CN"/>
                    </w:rPr>
                  </w:pPr>
                  <w:r>
                    <w:rPr>
                      <w:rFonts w:hint="eastAsia"/>
                      <w:color w:val="auto"/>
                      <w:lang w:val="en-US" w:eastAsia="zh-CN"/>
                    </w:rPr>
                    <w:t>2</w:t>
                  </w:r>
                </w:p>
              </w:tc>
              <w:tc>
                <w:tcPr>
                  <w:tcW w:w="2184" w:type="pct"/>
                  <w:tcBorders>
                    <w:tl2br w:val="nil"/>
                    <w:tr2bl w:val="nil"/>
                  </w:tcBorders>
                  <w:vAlign w:val="center"/>
                </w:tcPr>
                <w:p w14:paraId="5250CC5D">
                  <w:pPr>
                    <w:pStyle w:val="35"/>
                    <w:bidi w:val="0"/>
                    <w:ind w:firstLine="420" w:firstLineChars="200"/>
                    <w:jc w:val="both"/>
                    <w:rPr>
                      <w:rFonts w:hint="eastAsia"/>
                      <w:color w:val="auto"/>
                    </w:rPr>
                  </w:pPr>
                  <w:r>
                    <w:rPr>
                      <w:rFonts w:hint="eastAsia"/>
                      <w:color w:val="auto"/>
                    </w:rPr>
                    <w:t>第十一条</w:t>
                  </w:r>
                  <w:r>
                    <w:rPr>
                      <w:rFonts w:hint="eastAsia"/>
                      <w:color w:val="auto"/>
                      <w:lang w:eastAsia="zh-CN"/>
                    </w:rPr>
                    <w:t>：</w:t>
                  </w:r>
                  <w:r>
                    <w:rPr>
                      <w:rFonts w:hint="eastAsia"/>
                      <w:color w:val="auto"/>
                    </w:rPr>
                    <w:t>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14:paraId="58100F29">
                  <w:pPr>
                    <w:pStyle w:val="35"/>
                    <w:bidi w:val="0"/>
                    <w:rPr>
                      <w:color w:val="auto"/>
                    </w:rPr>
                  </w:pPr>
                  <w:r>
                    <w:rPr>
                      <w:rFonts w:hint="eastAsia"/>
                      <w:color w:val="auto"/>
                    </w:rPr>
                    <w:t>建设项目经批准后，建设单位应当将施工安排告知河道主管机关。</w:t>
                  </w:r>
                </w:p>
              </w:tc>
              <w:tc>
                <w:tcPr>
                  <w:tcW w:w="1776" w:type="pct"/>
                  <w:tcBorders>
                    <w:tl2br w:val="nil"/>
                    <w:tr2bl w:val="nil"/>
                  </w:tcBorders>
                  <w:vAlign w:val="center"/>
                </w:tcPr>
                <w:p w14:paraId="0FC5A7B3">
                  <w:pPr>
                    <w:pStyle w:val="35"/>
                    <w:bidi w:val="0"/>
                    <w:ind w:firstLine="420" w:firstLineChars="200"/>
                    <w:jc w:val="both"/>
                    <w:rPr>
                      <w:color w:val="auto"/>
                    </w:rPr>
                  </w:pPr>
                  <w:r>
                    <w:rPr>
                      <w:rFonts w:hint="eastAsia"/>
                      <w:color w:val="auto"/>
                      <w:lang w:val="en-US" w:eastAsia="zh-CN"/>
                    </w:rPr>
                    <w:t>本项目为河道治理工程，取得了德宏州水利局</w:t>
                  </w:r>
                  <w:r>
                    <w:rPr>
                      <w:rFonts w:hint="eastAsia"/>
                      <w:color w:val="auto"/>
                    </w:rPr>
                    <w:t>《德宏州水利局关于准予</w:t>
                  </w:r>
                  <w:r>
                    <w:rPr>
                      <w:rFonts w:hint="eastAsia"/>
                      <w:color w:val="auto"/>
                      <w:lang w:val="en-US" w:eastAsia="zh-CN"/>
                    </w:rPr>
                    <w:t>芒市大河新桥电站至洞坎大桥段河道治理工程</w:t>
                  </w:r>
                  <w:r>
                    <w:rPr>
                      <w:rFonts w:hint="eastAsia"/>
                      <w:color w:val="auto"/>
                    </w:rPr>
                    <w:t>初步设计报告的行政许可决定书</w:t>
                  </w:r>
                  <w:r>
                    <w:rPr>
                      <w:rFonts w:hint="eastAsia"/>
                      <w:color w:val="auto"/>
                      <w:lang w:eastAsia="zh-CN"/>
                    </w:rPr>
                    <w:t>》</w:t>
                  </w:r>
                  <w:r>
                    <w:rPr>
                      <w:rFonts w:hint="eastAsia"/>
                      <w:color w:val="auto"/>
                    </w:rPr>
                    <w:t>，</w:t>
                  </w:r>
                  <w:r>
                    <w:rPr>
                      <w:rFonts w:hint="eastAsia"/>
                      <w:color w:val="auto"/>
                      <w:lang w:val="en-US" w:eastAsia="zh-CN"/>
                    </w:rPr>
                    <w:t>见附件2。后期取得河道主管机关审查同意，即可开工建设。</w:t>
                  </w:r>
                </w:p>
              </w:tc>
              <w:tc>
                <w:tcPr>
                  <w:tcW w:w="647" w:type="pct"/>
                  <w:tcBorders>
                    <w:tl2br w:val="nil"/>
                    <w:tr2bl w:val="nil"/>
                  </w:tcBorders>
                  <w:vAlign w:val="center"/>
                </w:tcPr>
                <w:p w14:paraId="1C34AEC6">
                  <w:pPr>
                    <w:pStyle w:val="35"/>
                    <w:bidi w:val="0"/>
                    <w:rPr>
                      <w:rFonts w:hint="eastAsia"/>
                      <w:color w:val="auto"/>
                      <w:lang w:val="en-US" w:eastAsia="zh-CN"/>
                    </w:rPr>
                  </w:pPr>
                  <w:r>
                    <w:rPr>
                      <w:rFonts w:hint="eastAsia"/>
                      <w:color w:val="auto"/>
                      <w:lang w:val="en-US" w:eastAsia="zh-CN"/>
                    </w:rPr>
                    <w:t>符合</w:t>
                  </w:r>
                </w:p>
              </w:tc>
            </w:tr>
            <w:tr w14:paraId="7A4A6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5EB32532">
                  <w:pPr>
                    <w:pStyle w:val="35"/>
                    <w:bidi w:val="0"/>
                    <w:rPr>
                      <w:rFonts w:hint="default"/>
                      <w:color w:val="auto"/>
                      <w:lang w:val="en-US" w:eastAsia="zh-CN"/>
                    </w:rPr>
                  </w:pPr>
                  <w:r>
                    <w:rPr>
                      <w:rFonts w:hint="eastAsia"/>
                      <w:color w:val="auto"/>
                      <w:lang w:val="en-US" w:eastAsia="zh-CN"/>
                    </w:rPr>
                    <w:t>3</w:t>
                  </w:r>
                </w:p>
              </w:tc>
              <w:tc>
                <w:tcPr>
                  <w:tcW w:w="2184" w:type="pct"/>
                  <w:tcBorders>
                    <w:tl2br w:val="nil"/>
                    <w:tr2bl w:val="nil"/>
                  </w:tcBorders>
                  <w:vAlign w:val="center"/>
                </w:tcPr>
                <w:p w14:paraId="21385DE6">
                  <w:pPr>
                    <w:pStyle w:val="20"/>
                    <w:keepNext w:val="0"/>
                    <w:keepLines w:val="0"/>
                    <w:widowControl w:val="0"/>
                    <w:suppressLineNumbers w:val="0"/>
                    <w:spacing w:before="0" w:beforeAutospacing="0" w:after="0" w:afterAutospacing="0" w:line="240" w:lineRule="auto"/>
                    <w:ind w:left="0" w:leftChars="0" w:right="0" w:rightChars="0" w:firstLine="420" w:firstLineChars="200"/>
                    <w:jc w:val="both"/>
                    <w:rPr>
                      <w:rFonts w:hint="eastAsia"/>
                      <w:color w:val="auto"/>
                      <w:sz w:val="21"/>
                      <w:szCs w:val="21"/>
                    </w:rPr>
                  </w:pPr>
                  <w:r>
                    <w:rPr>
                      <w:rFonts w:hint="default" w:ascii="Times New Roman" w:hAnsi="Times New Roman" w:eastAsia="宋体" w:cs="Times New Roman"/>
                      <w:color w:val="000000"/>
                      <w:kern w:val="2"/>
                      <w:sz w:val="21"/>
                      <w:szCs w:val="21"/>
                      <w:lang w:val="en-US" w:eastAsia="zh-CN" w:bidi="ar"/>
                    </w:rPr>
                    <w:t>第十二条：修建桥梁、码头和其他设施，必须按照国家规定的防洪标准所确定的河宽进行，不得缩窄行洪通道。桥梁和栈桥的梁底必须高于设计洪水位，并按照防洪和航运的要求，留有一定的超高。设计洪水位由河道主管机关根据防洪规划确定。跨越河道的管道、线路的净空高度必须符合防洪和航运的要求。</w:t>
                  </w:r>
                </w:p>
              </w:tc>
              <w:tc>
                <w:tcPr>
                  <w:tcW w:w="1776" w:type="pct"/>
                  <w:tcBorders>
                    <w:tl2br w:val="nil"/>
                    <w:tr2bl w:val="nil"/>
                  </w:tcBorders>
                  <w:vAlign w:val="center"/>
                </w:tcPr>
                <w:p w14:paraId="506D23CC">
                  <w:pPr>
                    <w:pStyle w:val="20"/>
                    <w:keepNext w:val="0"/>
                    <w:keepLines w:val="0"/>
                    <w:widowControl w:val="0"/>
                    <w:suppressLineNumbers w:val="0"/>
                    <w:spacing w:before="0" w:beforeAutospacing="0" w:after="0" w:afterAutospacing="0" w:line="240" w:lineRule="auto"/>
                    <w:ind w:left="0" w:leftChars="0" w:right="0" w:rightChars="0" w:firstLine="420" w:firstLineChars="200"/>
                    <w:jc w:val="both"/>
                    <w:rPr>
                      <w:rFonts w:hint="eastAsia"/>
                      <w:color w:val="auto"/>
                      <w:sz w:val="21"/>
                      <w:szCs w:val="21"/>
                      <w:lang w:val="en-US" w:eastAsia="zh-CN"/>
                    </w:rPr>
                  </w:pPr>
                  <w:r>
                    <w:rPr>
                      <w:rFonts w:hint="default" w:ascii="Times New Roman" w:hAnsi="Times New Roman" w:eastAsia="宋体" w:cs="Times New Roman"/>
                      <w:color w:val="000000"/>
                      <w:kern w:val="2"/>
                      <w:sz w:val="21"/>
                      <w:szCs w:val="21"/>
                      <w:lang w:val="en-US" w:eastAsia="zh-CN" w:bidi="ar"/>
                    </w:rPr>
                    <w:t>本项目</w:t>
                  </w:r>
                  <w:r>
                    <w:rPr>
                      <w:rFonts w:hint="eastAsia" w:ascii="Times New Roman" w:hAnsi="Times New Roman" w:cs="Times New Roman"/>
                      <w:color w:val="000000"/>
                      <w:kern w:val="2"/>
                      <w:sz w:val="21"/>
                      <w:szCs w:val="21"/>
                      <w:lang w:val="en-US" w:eastAsia="zh-CN" w:bidi="ar"/>
                    </w:rPr>
                    <w:t>仅涉及护岸工程，采用钢筋石笼护岸工艺</w:t>
                  </w:r>
                  <w:r>
                    <w:rPr>
                      <w:rFonts w:hint="default" w:ascii="Times New Roman" w:hAnsi="Times New Roman" w:eastAsia="宋体" w:cs="Times New Roman"/>
                      <w:color w:val="000000"/>
                      <w:kern w:val="2"/>
                      <w:sz w:val="21"/>
                      <w:szCs w:val="21"/>
                      <w:lang w:val="en-US" w:eastAsia="zh-CN" w:bidi="ar"/>
                    </w:rPr>
                    <w:t>。通过河道治理，治理段防洪标准提高到10年一遇，项目满足防洪标准要求。项目不涉及桥梁和码头建设，不涉及航运。</w:t>
                  </w:r>
                </w:p>
              </w:tc>
              <w:tc>
                <w:tcPr>
                  <w:tcW w:w="647" w:type="pct"/>
                  <w:tcBorders>
                    <w:tl2br w:val="nil"/>
                    <w:tr2bl w:val="nil"/>
                  </w:tcBorders>
                  <w:vAlign w:val="center"/>
                </w:tcPr>
                <w:p w14:paraId="0B781728">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color w:val="auto"/>
                      <w:sz w:val="21"/>
                      <w:szCs w:val="21"/>
                      <w:lang w:val="en-US" w:eastAsia="zh-CN"/>
                    </w:rPr>
                    <w:t>符合</w:t>
                  </w:r>
                </w:p>
              </w:tc>
            </w:tr>
            <w:tr w14:paraId="02149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665E9D5C">
                  <w:pPr>
                    <w:pStyle w:val="35"/>
                    <w:bidi w:val="0"/>
                    <w:rPr>
                      <w:rFonts w:hint="default"/>
                      <w:color w:val="auto"/>
                      <w:lang w:val="en-US" w:eastAsia="zh-CN"/>
                    </w:rPr>
                  </w:pPr>
                  <w:r>
                    <w:rPr>
                      <w:rFonts w:hint="eastAsia"/>
                      <w:color w:val="auto"/>
                      <w:lang w:val="en-US" w:eastAsia="zh-CN"/>
                    </w:rPr>
                    <w:t>4</w:t>
                  </w:r>
                </w:p>
              </w:tc>
              <w:tc>
                <w:tcPr>
                  <w:tcW w:w="2184" w:type="pct"/>
                  <w:tcBorders>
                    <w:tl2br w:val="nil"/>
                    <w:tr2bl w:val="nil"/>
                  </w:tcBorders>
                  <w:vAlign w:val="center"/>
                </w:tcPr>
                <w:p w14:paraId="05E7FAA5">
                  <w:pPr>
                    <w:pStyle w:val="20"/>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第十三条：交通部门进行航道整治，应当符合防洪安全要求，并事先征求河道主管机关对有关设计和计划的意见。水利部门进行河道整治，涉及航道的，应当兼顾航运的需要，并事先征求交通部门对有关设计和计划的意</w:t>
                  </w:r>
                </w:p>
                <w:p w14:paraId="6A575F10">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eastAsia"/>
                      <w:color w:val="auto"/>
                      <w:sz w:val="21"/>
                      <w:szCs w:val="21"/>
                    </w:rPr>
                  </w:pPr>
                  <w:r>
                    <w:rPr>
                      <w:rFonts w:hint="default" w:ascii="Times New Roman" w:hAnsi="Times New Roman" w:eastAsia="宋体" w:cs="Times New Roman"/>
                      <w:color w:val="000000"/>
                      <w:kern w:val="2"/>
                      <w:sz w:val="21"/>
                      <w:szCs w:val="21"/>
                      <w:lang w:val="en-US" w:eastAsia="zh-CN" w:bidi="ar"/>
                    </w:rPr>
                    <w:t>见。在国家规定可以流竹木的河流和重要的渔业水域进行河道、航道整治，建设单位应当兼顾竹木水运和渔业发展的需要，并事先将有关设计和计划送同级林业、渔业主管部门征求意见。</w:t>
                  </w:r>
                </w:p>
              </w:tc>
              <w:tc>
                <w:tcPr>
                  <w:tcW w:w="1776" w:type="pct"/>
                  <w:tcBorders>
                    <w:tl2br w:val="nil"/>
                    <w:tr2bl w:val="nil"/>
                  </w:tcBorders>
                  <w:vAlign w:val="center"/>
                </w:tcPr>
                <w:p w14:paraId="2939FD60">
                  <w:pPr>
                    <w:pStyle w:val="20"/>
                    <w:keepNext w:val="0"/>
                    <w:keepLines w:val="0"/>
                    <w:widowControl w:val="0"/>
                    <w:suppressLineNumbers w:val="0"/>
                    <w:spacing w:before="0" w:beforeAutospacing="0" w:after="0" w:afterAutospacing="0" w:line="240" w:lineRule="auto"/>
                    <w:ind w:left="0" w:leftChars="0" w:right="0" w:rightChars="0" w:firstLine="420" w:firstLineChars="200"/>
                    <w:jc w:val="both"/>
                    <w:rPr>
                      <w:rFonts w:hint="eastAsia"/>
                      <w:color w:val="auto"/>
                      <w:sz w:val="21"/>
                      <w:szCs w:val="21"/>
                      <w:lang w:val="en-US" w:eastAsia="zh-CN"/>
                    </w:rPr>
                  </w:pPr>
                  <w:r>
                    <w:rPr>
                      <w:rFonts w:hint="default" w:ascii="Times New Roman" w:hAnsi="Times New Roman" w:eastAsia="宋体" w:cs="Times New Roman"/>
                      <w:color w:val="000000"/>
                      <w:kern w:val="2"/>
                      <w:sz w:val="21"/>
                      <w:szCs w:val="21"/>
                      <w:lang w:val="en-US" w:eastAsia="zh-CN" w:bidi="ar"/>
                    </w:rPr>
                    <w:t>项目建设单位为芒市人民政府水利局，为水利部门进行河道整治，不涉及航道。</w:t>
                  </w:r>
                </w:p>
              </w:tc>
              <w:tc>
                <w:tcPr>
                  <w:tcW w:w="647" w:type="pct"/>
                  <w:tcBorders>
                    <w:tl2br w:val="nil"/>
                    <w:tr2bl w:val="nil"/>
                  </w:tcBorders>
                  <w:vAlign w:val="center"/>
                </w:tcPr>
                <w:p w14:paraId="68650002">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eastAsia"/>
                      <w:color w:val="auto"/>
                      <w:sz w:val="21"/>
                      <w:szCs w:val="21"/>
                      <w:lang w:val="en-US" w:eastAsia="zh-CN"/>
                    </w:rPr>
                  </w:pPr>
                  <w:r>
                    <w:rPr>
                      <w:rFonts w:hint="eastAsia"/>
                      <w:color w:val="auto"/>
                      <w:sz w:val="21"/>
                      <w:szCs w:val="21"/>
                      <w:lang w:val="en-US" w:eastAsia="zh-CN"/>
                    </w:rPr>
                    <w:t>符合</w:t>
                  </w:r>
                </w:p>
              </w:tc>
            </w:tr>
            <w:tr w14:paraId="555585F0">
              <w:tblPrEx>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5F03A009">
                  <w:pPr>
                    <w:pStyle w:val="35"/>
                    <w:bidi w:val="0"/>
                    <w:rPr>
                      <w:rFonts w:hint="default"/>
                      <w:color w:val="auto"/>
                      <w:lang w:val="en-US" w:eastAsia="zh-CN"/>
                    </w:rPr>
                  </w:pPr>
                  <w:r>
                    <w:rPr>
                      <w:rFonts w:hint="eastAsia"/>
                      <w:color w:val="auto"/>
                      <w:lang w:val="en-US" w:eastAsia="zh-CN"/>
                    </w:rPr>
                    <w:t>5</w:t>
                  </w:r>
                </w:p>
              </w:tc>
              <w:tc>
                <w:tcPr>
                  <w:tcW w:w="2184" w:type="pct"/>
                  <w:tcBorders>
                    <w:tl2br w:val="nil"/>
                    <w:tr2bl w:val="nil"/>
                  </w:tcBorders>
                  <w:vAlign w:val="center"/>
                </w:tcPr>
                <w:p w14:paraId="7E218674">
                  <w:pPr>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第十八条  河道清淤和加固堤防取土以及按照防洪规划进行河道整治需要占用的土地，由当地人民政府调剂解决。因修建水库、整治河道所增加的可利用土地，属于国家所有，可以由县级以上人民政府用于移民安置和河道整治工程。</w:t>
                  </w:r>
                </w:p>
              </w:tc>
              <w:tc>
                <w:tcPr>
                  <w:tcW w:w="1776" w:type="pct"/>
                  <w:tcBorders>
                    <w:tl2br w:val="nil"/>
                    <w:tr2bl w:val="nil"/>
                  </w:tcBorders>
                  <w:vAlign w:val="center"/>
                </w:tcPr>
                <w:p w14:paraId="7C680E63">
                  <w:pPr>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本项目不涉及河道清淤，主要工程为</w:t>
                  </w:r>
                  <w:r>
                    <w:rPr>
                      <w:rFonts w:hint="eastAsia" w:cs="Times New Roman"/>
                      <w:color w:val="auto"/>
                      <w:sz w:val="21"/>
                      <w:szCs w:val="21"/>
                      <w:highlight w:val="none"/>
                      <w:lang w:val="en-US" w:eastAsia="zh-CN"/>
                    </w:rPr>
                    <w:t>护岸</w:t>
                  </w:r>
                  <w:r>
                    <w:rPr>
                      <w:rFonts w:hint="default" w:ascii="Times New Roman" w:hAnsi="Times New Roman" w:eastAsia="宋体"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 w:val="0"/>
                      <w:bCs w:val="0"/>
                      <w:color w:val="auto"/>
                      <w:sz w:val="21"/>
                      <w:szCs w:val="21"/>
                      <w:highlight w:val="none"/>
                    </w:rPr>
                    <w:t>亲水平台</w:t>
                  </w:r>
                  <w:r>
                    <w:rPr>
                      <w:rFonts w:hint="default" w:ascii="Times New Roman" w:hAnsi="Times New Roman" w:eastAsia="宋体" w:cs="Times New Roman"/>
                      <w:b w:val="0"/>
                      <w:bCs w:val="0"/>
                      <w:color w:val="auto"/>
                      <w:sz w:val="21"/>
                      <w:szCs w:val="21"/>
                      <w:highlight w:val="none"/>
                      <w:lang w:val="en-US" w:eastAsia="zh-CN"/>
                    </w:rPr>
                    <w:t>工程</w:t>
                  </w:r>
                  <w:r>
                    <w:rPr>
                      <w:rFonts w:hint="default" w:ascii="Times New Roman" w:hAnsi="Times New Roman" w:eastAsia="宋体" w:cs="Times New Roman"/>
                      <w:color w:val="auto"/>
                      <w:sz w:val="21"/>
                      <w:szCs w:val="21"/>
                      <w:highlight w:val="none"/>
                    </w:rPr>
                    <w:t>，未涉及移民安置，主要是在河道范围内进行工程施工。</w:t>
                  </w:r>
                </w:p>
              </w:tc>
              <w:tc>
                <w:tcPr>
                  <w:tcW w:w="647" w:type="pct"/>
                  <w:tcBorders>
                    <w:tl2br w:val="nil"/>
                    <w:tr2bl w:val="nil"/>
                  </w:tcBorders>
                  <w:vAlign w:val="center"/>
                </w:tcPr>
                <w:p w14:paraId="45FCFA1A">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符合</w:t>
                  </w:r>
                </w:p>
              </w:tc>
            </w:tr>
            <w:tr w14:paraId="1DD5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639A1A25">
                  <w:pPr>
                    <w:pStyle w:val="35"/>
                    <w:bidi w:val="0"/>
                    <w:rPr>
                      <w:rFonts w:hint="default"/>
                      <w:color w:val="auto"/>
                      <w:lang w:val="en-US" w:eastAsia="zh-CN"/>
                    </w:rPr>
                  </w:pPr>
                  <w:r>
                    <w:rPr>
                      <w:rFonts w:hint="eastAsia"/>
                      <w:color w:val="auto"/>
                      <w:lang w:val="en-US" w:eastAsia="zh-CN"/>
                    </w:rPr>
                    <w:t>6</w:t>
                  </w:r>
                </w:p>
              </w:tc>
              <w:tc>
                <w:tcPr>
                  <w:tcW w:w="2184" w:type="pct"/>
                  <w:tcBorders>
                    <w:tl2br w:val="nil"/>
                    <w:tr2bl w:val="nil"/>
                  </w:tcBorders>
                  <w:vAlign w:val="center"/>
                </w:tcPr>
                <w:p w14:paraId="1E0F87F3">
                  <w:pPr>
                    <w:spacing w:line="24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第十九条  省、自治区、直辖市以河道为边界的，在河道两岸外侧各10公里之内，以及跨省、自治区、直辖市的河道，未经有关各方达成协议或者国务院水利行政主管部门批准，禁止单方面修建排水、阻水、引水、蓄水工程以及河道整治工程。</w:t>
                  </w:r>
                </w:p>
              </w:tc>
              <w:tc>
                <w:tcPr>
                  <w:tcW w:w="1776" w:type="pct"/>
                  <w:tcBorders>
                    <w:tl2br w:val="nil"/>
                    <w:tr2bl w:val="nil"/>
                  </w:tcBorders>
                  <w:vAlign w:val="center"/>
                </w:tcPr>
                <w:p w14:paraId="4E6F52E0">
                  <w:pPr>
                    <w:spacing w:line="240" w:lineRule="auto"/>
                    <w:ind w:firstLine="420" w:firstLineChars="200"/>
                    <w:jc w:val="both"/>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lang w:val="en-US" w:eastAsia="zh-CN"/>
                    </w:rPr>
                    <w:t>取得了德宏州水利局</w:t>
                  </w:r>
                  <w:r>
                    <w:rPr>
                      <w:rFonts w:hint="eastAsia"/>
                      <w:color w:val="auto"/>
                      <w:sz w:val="21"/>
                      <w:szCs w:val="21"/>
                    </w:rPr>
                    <w:t>《德宏州水利局关于准予</w:t>
                  </w:r>
                  <w:r>
                    <w:rPr>
                      <w:rFonts w:hint="eastAsia"/>
                      <w:color w:val="auto"/>
                      <w:sz w:val="21"/>
                      <w:szCs w:val="21"/>
                      <w:lang w:val="en-US" w:eastAsia="zh-CN"/>
                    </w:rPr>
                    <w:t>芒市大河新桥电站至洞坎大桥段河道治理工程</w:t>
                  </w:r>
                  <w:r>
                    <w:rPr>
                      <w:rFonts w:hint="eastAsia"/>
                      <w:color w:val="auto"/>
                      <w:sz w:val="21"/>
                      <w:szCs w:val="21"/>
                    </w:rPr>
                    <w:t>初步设计报告的行政许可决定书</w:t>
                  </w:r>
                  <w:r>
                    <w:rPr>
                      <w:rFonts w:hint="eastAsia"/>
                      <w:color w:val="auto"/>
                      <w:sz w:val="21"/>
                      <w:szCs w:val="21"/>
                      <w:lang w:eastAsia="zh-CN"/>
                    </w:rPr>
                    <w:t>》</w:t>
                  </w:r>
                  <w:r>
                    <w:rPr>
                      <w:rFonts w:hint="eastAsia"/>
                      <w:color w:val="auto"/>
                      <w:sz w:val="21"/>
                      <w:szCs w:val="21"/>
                    </w:rPr>
                    <w:t>，</w:t>
                  </w:r>
                  <w:r>
                    <w:rPr>
                      <w:rFonts w:hint="default" w:ascii="Times New Roman" w:hAnsi="Times New Roman" w:eastAsia="宋体" w:cs="Times New Roman"/>
                      <w:color w:val="auto"/>
                      <w:sz w:val="21"/>
                      <w:szCs w:val="21"/>
                      <w:lang w:eastAsia="zh-CN"/>
                    </w:rPr>
                    <w:t>见附件</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eastAsia="zh-CN"/>
                    </w:rPr>
                    <w:t>芒市人民政府水利局</w:t>
                  </w:r>
                  <w:r>
                    <w:rPr>
                      <w:rFonts w:hint="default" w:ascii="Times New Roman" w:hAnsi="Times New Roman" w:eastAsia="宋体" w:cs="Times New Roman"/>
                      <w:color w:val="auto"/>
                      <w:sz w:val="21"/>
                      <w:szCs w:val="21"/>
                      <w:highlight w:val="none"/>
                    </w:rPr>
                    <w:t>作为建设方对河道进行整治工程。</w:t>
                  </w:r>
                </w:p>
              </w:tc>
              <w:tc>
                <w:tcPr>
                  <w:tcW w:w="647" w:type="pct"/>
                  <w:tcBorders>
                    <w:tl2br w:val="nil"/>
                    <w:tr2bl w:val="nil"/>
                  </w:tcBorders>
                  <w:vAlign w:val="center"/>
                </w:tcPr>
                <w:p w14:paraId="6D0494F5">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4FD37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253B4782">
                  <w:pPr>
                    <w:pStyle w:val="35"/>
                    <w:bidi w:val="0"/>
                    <w:rPr>
                      <w:rFonts w:hint="default"/>
                      <w:color w:val="auto"/>
                      <w:lang w:val="en-US" w:eastAsia="zh-CN"/>
                    </w:rPr>
                  </w:pPr>
                  <w:r>
                    <w:rPr>
                      <w:rFonts w:hint="eastAsia"/>
                      <w:color w:val="auto"/>
                      <w:lang w:val="en-US" w:eastAsia="zh-CN"/>
                    </w:rPr>
                    <w:t>7</w:t>
                  </w:r>
                </w:p>
              </w:tc>
              <w:tc>
                <w:tcPr>
                  <w:tcW w:w="2184" w:type="pct"/>
                  <w:tcBorders>
                    <w:tl2br w:val="nil"/>
                    <w:tr2bl w:val="nil"/>
                  </w:tcBorders>
                  <w:vAlign w:val="center"/>
                </w:tcPr>
                <w:p w14:paraId="7F0B1D0B">
                  <w:pPr>
                    <w:spacing w:line="240" w:lineRule="auto"/>
                    <w:ind w:firstLine="420"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第二十五条  在河道管理范围内进行下列活动，必须报经河道主管机关批准，涉及其他部门的，由河道主管机关会同有关部门批准：</w:t>
                  </w:r>
                </w:p>
                <w:p w14:paraId="7B38B4F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采砂、取土、淘金、弃置砂石或者淤泥；</w:t>
                  </w:r>
                </w:p>
                <w:p w14:paraId="30C522A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二</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爆破、钻探、挖筑鱼塘；</w:t>
                  </w:r>
                </w:p>
                <w:p w14:paraId="37A4963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在河道滩地存放物料、修建厂房或者其他建筑设施；</w:t>
                  </w:r>
                </w:p>
                <w:p w14:paraId="25180C6A">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四</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在河道滩地开采地下资源及进行考古发掘。</w:t>
                  </w:r>
                </w:p>
              </w:tc>
              <w:tc>
                <w:tcPr>
                  <w:tcW w:w="1776" w:type="pct"/>
                  <w:tcBorders>
                    <w:tl2br w:val="nil"/>
                    <w:tr2bl w:val="nil"/>
                  </w:tcBorders>
                  <w:vAlign w:val="center"/>
                </w:tcPr>
                <w:p w14:paraId="1C14EA21">
                  <w:pPr>
                    <w:spacing w:line="240" w:lineRule="auto"/>
                    <w:ind w:firstLine="0" w:firstLineChars="0"/>
                    <w:jc w:val="center"/>
                    <w:rPr>
                      <w:rFonts w:hint="default" w:ascii="Times New Roman" w:hAnsi="Times New Roman" w:eastAsia="宋体" w:cs="Times New Roman"/>
                      <w:color w:val="0000FF"/>
                      <w:kern w:val="2"/>
                      <w:sz w:val="21"/>
                      <w:szCs w:val="21"/>
                      <w:highlight w:val="none"/>
                      <w:lang w:val="en-US" w:eastAsia="zh-CN" w:bidi="ar-SA"/>
                    </w:rPr>
                  </w:pP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eastAsia="zh-CN"/>
                    </w:rPr>
                    <w:t>河道治理工程</w:t>
                  </w:r>
                  <w:r>
                    <w:rPr>
                      <w:rFonts w:hint="default" w:ascii="Times New Roman" w:hAnsi="Times New Roman" w:eastAsia="宋体" w:cs="Times New Roman"/>
                      <w:color w:val="auto"/>
                      <w:sz w:val="21"/>
                      <w:szCs w:val="21"/>
                      <w:highlight w:val="none"/>
                    </w:rPr>
                    <w:t>，不涉及采砂、取土、淘金、弃置砂石或者淤泥、爆破、钻探、挖筑鱼塘、在河道滩地开采地下资源及进行考古发掘。项目施工过程中会在河滩内堆放材料，但施工结束后对堆放区进行</w:t>
                  </w:r>
                  <w:r>
                    <w:rPr>
                      <w:rFonts w:hint="default" w:ascii="Times New Roman" w:hAnsi="Times New Roman" w:eastAsia="宋体" w:cs="Times New Roman"/>
                      <w:color w:val="auto"/>
                      <w:sz w:val="21"/>
                      <w:szCs w:val="21"/>
                      <w:highlight w:val="none"/>
                      <w:lang w:eastAsia="zh-CN"/>
                    </w:rPr>
                    <w:t>生态恢复</w:t>
                  </w:r>
                  <w:r>
                    <w:rPr>
                      <w:rFonts w:hint="default" w:ascii="Times New Roman" w:hAnsi="Times New Roman" w:eastAsia="宋体" w:cs="Times New Roman"/>
                      <w:color w:val="auto"/>
                      <w:sz w:val="21"/>
                      <w:szCs w:val="21"/>
                      <w:highlight w:val="none"/>
                    </w:rPr>
                    <w:t>。</w:t>
                  </w:r>
                </w:p>
              </w:tc>
              <w:tc>
                <w:tcPr>
                  <w:tcW w:w="647" w:type="pct"/>
                  <w:tcBorders>
                    <w:tl2br w:val="nil"/>
                    <w:tr2bl w:val="nil"/>
                  </w:tcBorders>
                  <w:vAlign w:val="center"/>
                </w:tcPr>
                <w:p w14:paraId="465A2C72">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r w14:paraId="47AFD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90" w:type="pct"/>
                  <w:tcBorders>
                    <w:tl2br w:val="nil"/>
                    <w:tr2bl w:val="nil"/>
                  </w:tcBorders>
                  <w:vAlign w:val="center"/>
                </w:tcPr>
                <w:p w14:paraId="51A18A68">
                  <w:pPr>
                    <w:pStyle w:val="35"/>
                    <w:bidi w:val="0"/>
                    <w:rPr>
                      <w:rFonts w:hint="default"/>
                      <w:color w:val="auto"/>
                      <w:lang w:val="en-US" w:eastAsia="zh-CN"/>
                    </w:rPr>
                  </w:pPr>
                  <w:r>
                    <w:rPr>
                      <w:rFonts w:hint="eastAsia"/>
                      <w:color w:val="auto"/>
                      <w:lang w:val="en-US" w:eastAsia="zh-CN"/>
                    </w:rPr>
                    <w:t>8</w:t>
                  </w:r>
                </w:p>
              </w:tc>
              <w:tc>
                <w:tcPr>
                  <w:tcW w:w="2184" w:type="pct"/>
                  <w:tcBorders>
                    <w:tl2br w:val="nil"/>
                    <w:tr2bl w:val="nil"/>
                  </w:tcBorders>
                  <w:vAlign w:val="center"/>
                </w:tcPr>
                <w:p w14:paraId="42E51B21">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第二十六条  根据堤防的重要程度、堤基土质条件等，河道主管机关报经县级以上人民政府批准，可以在河道管理范围的相连地域划定堤防安全保护区。在堤防安全保护区内，禁止进行打井、钻探、爆破、挖筑鱼塘、采石、取土等危害堤防安全的活动。</w:t>
                  </w:r>
                </w:p>
              </w:tc>
              <w:tc>
                <w:tcPr>
                  <w:tcW w:w="1776" w:type="pct"/>
                  <w:tcBorders>
                    <w:tl2br w:val="nil"/>
                    <w:tr2bl w:val="nil"/>
                  </w:tcBorders>
                  <w:vAlign w:val="center"/>
                </w:tcPr>
                <w:p w14:paraId="3D7A2B0C">
                  <w:pPr>
                    <w:spacing w:line="240" w:lineRule="auto"/>
                    <w:ind w:firstLine="420" w:firstLineChars="200"/>
                    <w:jc w:val="both"/>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eastAsia="zh-CN"/>
                    </w:rPr>
                    <w:t>河道治理工程</w:t>
                  </w:r>
                  <w:r>
                    <w:rPr>
                      <w:rFonts w:hint="default" w:ascii="Times New Roman" w:hAnsi="Times New Roman" w:eastAsia="宋体" w:cs="Times New Roman"/>
                      <w:color w:val="auto"/>
                      <w:sz w:val="21"/>
                      <w:szCs w:val="21"/>
                      <w:highlight w:val="none"/>
                    </w:rPr>
                    <w:t>，已经取得</w:t>
                  </w:r>
                  <w:r>
                    <w:rPr>
                      <w:rFonts w:hint="default" w:ascii="Times New Roman" w:hAnsi="Times New Roman" w:eastAsia="宋体" w:cs="Times New Roman"/>
                      <w:color w:val="auto"/>
                      <w:sz w:val="21"/>
                      <w:szCs w:val="21"/>
                      <w:lang w:val="en-US" w:eastAsia="zh-CN"/>
                    </w:rPr>
                    <w:t>德宏州水利局</w:t>
                  </w:r>
                  <w:r>
                    <w:rPr>
                      <w:rFonts w:hint="default" w:ascii="Times New Roman" w:hAnsi="Times New Roman" w:eastAsia="宋体" w:cs="Times New Roman"/>
                      <w:color w:val="auto"/>
                      <w:sz w:val="21"/>
                      <w:szCs w:val="21"/>
                      <w:highlight w:val="none"/>
                    </w:rPr>
                    <w:t>的批准，在施工过程中不存在打井、钻探、爆破、挖筑鱼塘、采石、取土等危害堤防安全的活动。</w:t>
                  </w:r>
                </w:p>
              </w:tc>
              <w:tc>
                <w:tcPr>
                  <w:tcW w:w="647" w:type="pct"/>
                  <w:tcBorders>
                    <w:tl2br w:val="nil"/>
                    <w:tr2bl w:val="nil"/>
                  </w:tcBorders>
                  <w:vAlign w:val="center"/>
                </w:tcPr>
                <w:p w14:paraId="3AF3FFCB">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符合</w:t>
                  </w:r>
                </w:p>
              </w:tc>
            </w:tr>
          </w:tbl>
          <w:p w14:paraId="1325F989">
            <w:pPr>
              <w:pStyle w:val="37"/>
              <w:bidi w:val="0"/>
              <w:rPr>
                <w:rFonts w:hint="eastAsia"/>
                <w:color w:val="auto"/>
                <w:lang w:eastAsia="zh-CN"/>
              </w:rPr>
            </w:pPr>
            <w:r>
              <w:rPr>
                <w:rFonts w:hint="eastAsia"/>
                <w:color w:val="auto"/>
                <w:lang w:eastAsia="zh-CN"/>
              </w:rPr>
              <w:t>根据上表可知，项目的建设符合《中华人民共和国河道管理条例》要求。</w:t>
            </w:r>
          </w:p>
          <w:p w14:paraId="693DC85B">
            <w:pPr>
              <w:pStyle w:val="37"/>
              <w:bidi w:val="0"/>
              <w:rPr>
                <w:rFonts w:hint="eastAsia"/>
                <w:b/>
                <w:bCs/>
                <w:color w:val="auto"/>
                <w:lang w:eastAsia="zh-CN"/>
              </w:rPr>
            </w:pPr>
            <w:r>
              <w:rPr>
                <w:rFonts w:hint="eastAsia"/>
                <w:b/>
                <w:bCs/>
                <w:color w:val="auto"/>
                <w:lang w:val="en-US" w:eastAsia="zh-CN"/>
              </w:rPr>
              <w:t>7</w:t>
            </w:r>
            <w:r>
              <w:rPr>
                <w:rFonts w:hint="eastAsia"/>
                <w:b/>
                <w:bCs/>
                <w:color w:val="auto"/>
                <w:lang w:eastAsia="zh-CN"/>
              </w:rPr>
              <w:t>、项目与《关于印发机场、港口、水利（河湖整治与防洪除涝工程）三个行业建设项目环境影响评价文件审批原则的通知》（环办环评〔2018〕2号）符合性分析</w:t>
            </w:r>
          </w:p>
          <w:p w14:paraId="158EEAEB">
            <w:pPr>
              <w:pStyle w:val="32"/>
              <w:bidi w:val="0"/>
              <w:spacing w:line="240" w:lineRule="auto"/>
              <w:rPr>
                <w:rFonts w:hint="eastAsia"/>
                <w:color w:val="auto"/>
                <w:lang w:eastAsia="zh-CN"/>
              </w:rPr>
            </w:pPr>
            <w:r>
              <w:rPr>
                <w:rFonts w:hint="eastAsia"/>
                <w:color w:val="auto"/>
                <w:lang w:eastAsia="zh-CN"/>
              </w:rPr>
              <w:t>表1-</w:t>
            </w:r>
            <w:r>
              <w:rPr>
                <w:rFonts w:hint="eastAsia"/>
                <w:color w:val="auto"/>
                <w:lang w:val="en-US" w:eastAsia="zh-CN"/>
              </w:rPr>
              <w:t xml:space="preserve">6 </w:t>
            </w:r>
            <w:r>
              <w:rPr>
                <w:rFonts w:hint="eastAsia"/>
                <w:color w:val="auto"/>
                <w:lang w:eastAsia="zh-CN"/>
              </w:rPr>
              <w:t>项目与（环办环评〔2018〕2号）符合性分析</w:t>
            </w:r>
          </w:p>
          <w:tbl>
            <w:tblPr>
              <w:tblStyle w:val="24"/>
              <w:tblW w:w="49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170"/>
              <w:gridCol w:w="2848"/>
              <w:gridCol w:w="939"/>
            </w:tblGrid>
            <w:tr w14:paraId="5AFD0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7C06C866">
                  <w:pPr>
                    <w:pStyle w:val="35"/>
                    <w:bidi w:val="0"/>
                    <w:rPr>
                      <w:rFonts w:hint="eastAsia"/>
                      <w:b/>
                      <w:bCs/>
                      <w:color w:val="auto"/>
                      <w:lang w:eastAsia="zh-CN"/>
                    </w:rPr>
                  </w:pPr>
                  <w:r>
                    <w:rPr>
                      <w:b/>
                      <w:bCs/>
                      <w:color w:val="auto"/>
                    </w:rPr>
                    <w:t>序号</w:t>
                  </w:r>
                </w:p>
              </w:tc>
              <w:tc>
                <w:tcPr>
                  <w:tcW w:w="2081" w:type="pct"/>
                  <w:tcBorders>
                    <w:tl2br w:val="nil"/>
                    <w:tr2bl w:val="nil"/>
                  </w:tcBorders>
                  <w:vAlign w:val="center"/>
                </w:tcPr>
                <w:p w14:paraId="22FD5232">
                  <w:pPr>
                    <w:pStyle w:val="35"/>
                    <w:bidi w:val="0"/>
                    <w:rPr>
                      <w:rFonts w:hint="eastAsia"/>
                      <w:b/>
                      <w:bCs/>
                      <w:color w:val="auto"/>
                      <w:lang w:eastAsia="zh-CN"/>
                    </w:rPr>
                  </w:pPr>
                  <w:r>
                    <w:rPr>
                      <w:b/>
                      <w:bCs/>
                      <w:color w:val="auto"/>
                    </w:rPr>
                    <w:t>（环办环评〔2018〕2号）文件</w:t>
                  </w:r>
                </w:p>
              </w:tc>
              <w:tc>
                <w:tcPr>
                  <w:tcW w:w="1869" w:type="pct"/>
                  <w:tcBorders>
                    <w:tl2br w:val="nil"/>
                    <w:tr2bl w:val="nil"/>
                  </w:tcBorders>
                  <w:vAlign w:val="center"/>
                </w:tcPr>
                <w:p w14:paraId="46B31B51">
                  <w:pPr>
                    <w:pStyle w:val="35"/>
                    <w:bidi w:val="0"/>
                    <w:rPr>
                      <w:rFonts w:hint="eastAsia"/>
                      <w:b/>
                      <w:bCs/>
                      <w:color w:val="0000FF"/>
                      <w:lang w:eastAsia="zh-CN"/>
                    </w:rPr>
                  </w:pPr>
                  <w:r>
                    <w:rPr>
                      <w:b/>
                      <w:bCs/>
                      <w:color w:val="auto"/>
                    </w:rPr>
                    <w:t>本项目</w:t>
                  </w:r>
                </w:p>
              </w:tc>
              <w:tc>
                <w:tcPr>
                  <w:tcW w:w="616" w:type="pct"/>
                  <w:tcBorders>
                    <w:tl2br w:val="nil"/>
                    <w:tr2bl w:val="nil"/>
                  </w:tcBorders>
                  <w:vAlign w:val="center"/>
                </w:tcPr>
                <w:p w14:paraId="06896284">
                  <w:pPr>
                    <w:pStyle w:val="35"/>
                    <w:bidi w:val="0"/>
                    <w:rPr>
                      <w:rFonts w:hint="eastAsia" w:eastAsia="宋体"/>
                      <w:b/>
                      <w:bCs/>
                      <w:color w:val="auto"/>
                      <w:lang w:eastAsia="zh-CN"/>
                    </w:rPr>
                  </w:pPr>
                  <w:r>
                    <w:rPr>
                      <w:b/>
                      <w:bCs/>
                      <w:color w:val="auto"/>
                    </w:rPr>
                    <w:t>符合</w:t>
                  </w:r>
                  <w:r>
                    <w:rPr>
                      <w:rFonts w:hint="eastAsia"/>
                      <w:b/>
                      <w:bCs/>
                      <w:color w:val="auto"/>
                      <w:lang w:eastAsia="zh-CN"/>
                    </w:rPr>
                    <w:t>性</w:t>
                  </w:r>
                </w:p>
              </w:tc>
            </w:tr>
            <w:tr w14:paraId="269D9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6F651E96">
                  <w:pPr>
                    <w:pStyle w:val="35"/>
                    <w:bidi w:val="0"/>
                    <w:rPr>
                      <w:rFonts w:hint="eastAsia"/>
                      <w:color w:val="auto"/>
                      <w:lang w:eastAsia="zh-CN"/>
                    </w:rPr>
                  </w:pPr>
                  <w:r>
                    <w:rPr>
                      <w:color w:val="auto"/>
                    </w:rPr>
                    <w:t>1</w:t>
                  </w:r>
                </w:p>
              </w:tc>
              <w:tc>
                <w:tcPr>
                  <w:tcW w:w="2081" w:type="pct"/>
                  <w:tcBorders>
                    <w:tl2br w:val="nil"/>
                    <w:tr2bl w:val="nil"/>
                  </w:tcBorders>
                  <w:vAlign w:val="center"/>
                </w:tcPr>
                <w:p w14:paraId="73320AB5">
                  <w:pPr>
                    <w:pStyle w:val="35"/>
                    <w:bidi w:val="0"/>
                    <w:jc w:val="both"/>
                    <w:rPr>
                      <w:rFonts w:hint="eastAsia" w:eastAsia="宋体"/>
                      <w:color w:val="auto"/>
                      <w:lang w:eastAsia="zh-CN"/>
                    </w:rPr>
                  </w:pPr>
                  <w:r>
                    <w:rPr>
                      <w:color w:val="auto"/>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r>
                    <w:rPr>
                      <w:rFonts w:hint="eastAsia"/>
                      <w:color w:val="auto"/>
                      <w:lang w:eastAsia="zh-CN"/>
                    </w:rPr>
                    <w:t>。</w:t>
                  </w:r>
                </w:p>
              </w:tc>
              <w:tc>
                <w:tcPr>
                  <w:tcW w:w="1869" w:type="pct"/>
                  <w:tcBorders>
                    <w:tl2br w:val="nil"/>
                    <w:tr2bl w:val="nil"/>
                  </w:tcBorders>
                  <w:vAlign w:val="center"/>
                </w:tcPr>
                <w:p w14:paraId="2CA5D8A0">
                  <w:pPr>
                    <w:pStyle w:val="35"/>
                    <w:bidi w:val="0"/>
                    <w:ind w:firstLine="420" w:firstLineChars="200"/>
                    <w:jc w:val="both"/>
                    <w:rPr>
                      <w:rFonts w:hint="eastAsia"/>
                      <w:color w:val="auto"/>
                      <w:lang w:val="en-US" w:eastAsia="zh-CN"/>
                    </w:rPr>
                  </w:pPr>
                  <w:r>
                    <w:rPr>
                      <w:color w:val="auto"/>
                    </w:rPr>
                    <w:t>项目符合环境保护相关法律法规和政策要求，项目符合云南省主体功能区规划、云南省生态功能区划</w:t>
                  </w:r>
                  <w:r>
                    <w:rPr>
                      <w:rFonts w:hint="eastAsia"/>
                      <w:color w:val="auto"/>
                      <w:lang w:eastAsia="zh-CN"/>
                    </w:rPr>
                    <w:t>。</w:t>
                  </w:r>
                  <w:r>
                    <w:rPr>
                      <w:rFonts w:hint="eastAsia"/>
                      <w:color w:val="auto"/>
                      <w:lang w:val="en-US" w:eastAsia="zh-CN"/>
                    </w:rPr>
                    <w:t xml:space="preserve">  </w:t>
                  </w:r>
                </w:p>
                <w:p w14:paraId="3FD55DDA">
                  <w:pPr>
                    <w:pStyle w:val="35"/>
                    <w:bidi w:val="0"/>
                    <w:ind w:firstLine="420" w:firstLineChars="200"/>
                    <w:jc w:val="both"/>
                    <w:rPr>
                      <w:rFonts w:hint="eastAsia"/>
                      <w:color w:val="0000FF"/>
                      <w:lang w:eastAsia="zh-CN"/>
                    </w:rPr>
                  </w:pPr>
                  <w:r>
                    <w:rPr>
                      <w:color w:val="auto"/>
                    </w:rPr>
                    <w:t>本项目堤线布置遵循河道的自然属性，不改变现状河道走势，基本沿现状河坎线布置，既保留了原河道凹岸、凸岸、河湾和浅滩，最大程度保持了河湖自然形态，最大限度维护了河湖健康、生态系统功能和生物多样性。</w:t>
                  </w:r>
                </w:p>
              </w:tc>
              <w:tc>
                <w:tcPr>
                  <w:tcW w:w="616" w:type="pct"/>
                  <w:tcBorders>
                    <w:tl2br w:val="nil"/>
                    <w:tr2bl w:val="nil"/>
                  </w:tcBorders>
                  <w:vAlign w:val="center"/>
                </w:tcPr>
                <w:p w14:paraId="42B84C0A">
                  <w:pPr>
                    <w:pStyle w:val="35"/>
                    <w:bidi w:val="0"/>
                    <w:rPr>
                      <w:rFonts w:hint="eastAsia"/>
                      <w:color w:val="auto"/>
                      <w:lang w:eastAsia="zh-CN"/>
                    </w:rPr>
                  </w:pPr>
                  <w:r>
                    <w:rPr>
                      <w:color w:val="auto"/>
                    </w:rPr>
                    <w:t>符合</w:t>
                  </w:r>
                </w:p>
              </w:tc>
            </w:tr>
            <w:tr w14:paraId="1A767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291B29EC">
                  <w:pPr>
                    <w:pStyle w:val="35"/>
                    <w:bidi w:val="0"/>
                    <w:rPr>
                      <w:rFonts w:hint="eastAsia"/>
                      <w:color w:val="auto"/>
                      <w:lang w:eastAsia="zh-CN"/>
                    </w:rPr>
                  </w:pPr>
                  <w:r>
                    <w:rPr>
                      <w:rFonts w:hint="eastAsia"/>
                      <w:color w:val="auto"/>
                      <w:lang w:val="en-US" w:eastAsia="zh-CN"/>
                    </w:rPr>
                    <w:t>2</w:t>
                  </w:r>
                </w:p>
              </w:tc>
              <w:tc>
                <w:tcPr>
                  <w:tcW w:w="2081" w:type="pct"/>
                  <w:tcBorders>
                    <w:tl2br w:val="nil"/>
                    <w:tr2bl w:val="nil"/>
                  </w:tcBorders>
                  <w:vAlign w:val="center"/>
                </w:tcPr>
                <w:p w14:paraId="5385698E">
                  <w:pPr>
                    <w:pStyle w:val="35"/>
                    <w:bidi w:val="0"/>
                    <w:jc w:val="both"/>
                    <w:rPr>
                      <w:rFonts w:hint="eastAsia" w:eastAsia="宋体"/>
                      <w:color w:val="auto"/>
                      <w:lang w:eastAsia="zh-CN"/>
                    </w:rPr>
                  </w:pPr>
                  <w:r>
                    <w:rPr>
                      <w:color w:val="auto"/>
                    </w:rPr>
                    <w:t>第三条</w:t>
                  </w:r>
                  <w:r>
                    <w:rPr>
                      <w:rFonts w:hint="eastAsia"/>
                      <w:color w:val="auto"/>
                      <w:lang w:eastAsia="zh-CN"/>
                    </w:rPr>
                    <w:t>：</w:t>
                  </w:r>
                  <w:r>
                    <w:rPr>
                      <w:color w:val="auto"/>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r>
                    <w:rPr>
                      <w:rFonts w:hint="eastAsia"/>
                      <w:color w:val="auto"/>
                      <w:lang w:eastAsia="zh-CN"/>
                    </w:rPr>
                    <w:t>。</w:t>
                  </w:r>
                </w:p>
              </w:tc>
              <w:tc>
                <w:tcPr>
                  <w:tcW w:w="1869" w:type="pct"/>
                  <w:tcBorders>
                    <w:tl2br w:val="nil"/>
                    <w:tr2bl w:val="nil"/>
                  </w:tcBorders>
                  <w:vAlign w:val="center"/>
                </w:tcPr>
                <w:p w14:paraId="42C1A403">
                  <w:pPr>
                    <w:pStyle w:val="35"/>
                    <w:bidi w:val="0"/>
                    <w:ind w:firstLine="420" w:firstLineChars="200"/>
                    <w:jc w:val="both"/>
                    <w:rPr>
                      <w:rFonts w:hint="eastAsia"/>
                      <w:color w:val="0000FF"/>
                      <w:lang w:eastAsia="zh-CN"/>
                    </w:rPr>
                  </w:pPr>
                  <w:r>
                    <w:rPr>
                      <w:color w:val="auto"/>
                    </w:rPr>
                    <w:t>项目工程选址选线、施工布置不占用自然保护区、风景名胜区、世界文化和自然遗产地，不涉及生态红线等环境敏感区中法律法规禁止占用的区域，项目建设未涉及饮用水水源保护区。</w:t>
                  </w:r>
                </w:p>
              </w:tc>
              <w:tc>
                <w:tcPr>
                  <w:tcW w:w="616" w:type="pct"/>
                  <w:tcBorders>
                    <w:tl2br w:val="nil"/>
                    <w:tr2bl w:val="nil"/>
                  </w:tcBorders>
                  <w:vAlign w:val="center"/>
                </w:tcPr>
                <w:p w14:paraId="227A89BB">
                  <w:pPr>
                    <w:pStyle w:val="35"/>
                    <w:bidi w:val="0"/>
                    <w:rPr>
                      <w:rFonts w:hint="default"/>
                      <w:color w:val="auto"/>
                      <w:lang w:val="en-US" w:eastAsia="zh-CN"/>
                    </w:rPr>
                  </w:pPr>
                  <w:r>
                    <w:rPr>
                      <w:rFonts w:hint="eastAsia"/>
                      <w:color w:val="auto"/>
                      <w:lang w:eastAsia="zh-CN"/>
                    </w:rPr>
                    <w:t>符合</w:t>
                  </w:r>
                </w:p>
              </w:tc>
            </w:tr>
            <w:tr w14:paraId="09396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21F3E755">
                  <w:pPr>
                    <w:pStyle w:val="35"/>
                    <w:bidi w:val="0"/>
                    <w:rPr>
                      <w:rFonts w:hint="eastAsia"/>
                      <w:color w:val="auto"/>
                      <w:lang w:eastAsia="zh-CN"/>
                    </w:rPr>
                  </w:pPr>
                  <w:r>
                    <w:rPr>
                      <w:color w:val="auto"/>
                    </w:rPr>
                    <w:t>3</w:t>
                  </w:r>
                </w:p>
              </w:tc>
              <w:tc>
                <w:tcPr>
                  <w:tcW w:w="2081" w:type="pct"/>
                  <w:tcBorders>
                    <w:tl2br w:val="nil"/>
                    <w:tr2bl w:val="nil"/>
                  </w:tcBorders>
                  <w:vAlign w:val="center"/>
                </w:tcPr>
                <w:p w14:paraId="147BB862">
                  <w:pPr>
                    <w:pStyle w:val="35"/>
                    <w:bidi w:val="0"/>
                    <w:rPr>
                      <w:rFonts w:hint="eastAsia"/>
                      <w:color w:val="auto"/>
                      <w:lang w:eastAsia="zh-CN"/>
                    </w:rPr>
                  </w:pPr>
                  <w:r>
                    <w:rPr>
                      <w:color w:val="auto"/>
                    </w:rPr>
                    <w:t>第五条：项目对鱼类等水生生物的洄游通道及</w:t>
                  </w:r>
                  <w:r>
                    <w:rPr>
                      <w:rFonts w:hint="eastAsia"/>
                      <w:color w:val="auto"/>
                      <w:lang w:eastAsia="zh-CN"/>
                    </w:rPr>
                    <w:t>“</w:t>
                  </w:r>
                  <w:r>
                    <w:rPr>
                      <w:color w:val="auto"/>
                    </w:rPr>
                    <w:t>三场</w:t>
                  </w:r>
                  <w:r>
                    <w:rPr>
                      <w:rFonts w:hint="eastAsia"/>
                      <w:color w:val="auto"/>
                      <w:lang w:eastAsia="zh-CN"/>
                    </w:rPr>
                    <w:t>”</w:t>
                  </w:r>
                  <w:r>
                    <w:rPr>
                      <w:color w:val="auto"/>
                    </w:rPr>
                    <w:t>等重要生境、物种多样性及资源量等产生不利影响的</w:t>
                  </w:r>
                  <w:r>
                    <w:rPr>
                      <w:rFonts w:hint="eastAsia"/>
                      <w:color w:val="auto"/>
                      <w:lang w:eastAsia="zh-CN"/>
                    </w:rPr>
                    <w:t>，</w:t>
                  </w:r>
                  <w:r>
                    <w:rPr>
                      <w:color w:val="auto"/>
                    </w:rPr>
                    <w:t>提出了下泄生态流量、恢复鱼类洄游通道、采用生态友好型护岸（坡、底）、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869" w:type="pct"/>
                  <w:tcBorders>
                    <w:tl2br w:val="nil"/>
                    <w:tr2bl w:val="nil"/>
                  </w:tcBorders>
                  <w:vAlign w:val="center"/>
                </w:tcPr>
                <w:p w14:paraId="6CEAF281">
                  <w:pPr>
                    <w:pStyle w:val="35"/>
                    <w:bidi w:val="0"/>
                    <w:ind w:firstLine="420" w:firstLineChars="200"/>
                    <w:jc w:val="both"/>
                    <w:rPr>
                      <w:rFonts w:hint="eastAsia" w:eastAsia="宋体"/>
                      <w:color w:val="auto"/>
                      <w:lang w:eastAsia="zh-CN"/>
                    </w:rPr>
                  </w:pPr>
                  <w:r>
                    <w:rPr>
                      <w:color w:val="auto"/>
                    </w:rPr>
                    <w:t>项目治理段范围内不涉及鱼类等水生生物的洄游通道及“三场</w:t>
                  </w:r>
                  <w:r>
                    <w:rPr>
                      <w:rFonts w:hint="eastAsia"/>
                      <w:color w:val="auto"/>
                      <w:lang w:eastAsia="zh-CN"/>
                    </w:rPr>
                    <w:t>”</w:t>
                  </w:r>
                  <w:r>
                    <w:rPr>
                      <w:color w:val="auto"/>
                    </w:rPr>
                    <w:t>等重要生境，项目的建设不会对水文情势造成影响。本次治理河段</w:t>
                  </w:r>
                  <w:r>
                    <w:rPr>
                      <w:rFonts w:hint="eastAsia"/>
                      <w:color w:val="auto"/>
                    </w:rPr>
                    <w:t>结合本工程实际情况，</w:t>
                  </w:r>
                  <w:r>
                    <w:rPr>
                      <w:rFonts w:hint="eastAsia"/>
                      <w:color w:val="auto"/>
                      <w:lang w:eastAsia="zh-CN"/>
                    </w:rPr>
                    <w:t>治理河段</w:t>
                  </w:r>
                  <w:r>
                    <w:rPr>
                      <w:rFonts w:hint="eastAsia"/>
                      <w:color w:val="auto"/>
                    </w:rPr>
                    <w:t>冲刷较为严重，一般材料抗冲性能较差，从开挖料利用、工程投资、河岸生态及景观性及施工便利条件等方面的因素综合考虑</w:t>
                  </w:r>
                  <w:r>
                    <w:rPr>
                      <w:rFonts w:hint="eastAsia"/>
                      <w:color w:val="auto"/>
                      <w:lang w:eastAsia="zh-CN"/>
                    </w:rPr>
                    <w:t>，</w:t>
                  </w:r>
                  <w:r>
                    <w:rPr>
                      <w:rFonts w:hint="eastAsia"/>
                      <w:color w:val="auto"/>
                      <w:lang w:val="en-US" w:eastAsia="zh-CN"/>
                    </w:rPr>
                    <w:t>满足防洪标准的河段保持原状。施工期通过采取相应的环保措施后，不会大面积破坏河流的生态。综上，</w:t>
                  </w:r>
                  <w:r>
                    <w:rPr>
                      <w:rFonts w:hint="eastAsia"/>
                      <w:color w:val="auto"/>
                      <w:lang w:eastAsia="zh-CN"/>
                    </w:rPr>
                    <w:t>本工程</w:t>
                  </w:r>
                  <w:r>
                    <w:rPr>
                      <w:color w:val="auto"/>
                    </w:rPr>
                    <w:t>不会造成原有珍稀濒危保护、区域特有或重要经济水生生物在相关河段消失，不会对相关河段水生生态系统造成重大不利影响</w:t>
                  </w:r>
                  <w:r>
                    <w:rPr>
                      <w:rFonts w:hint="eastAsia"/>
                      <w:color w:val="auto"/>
                      <w:lang w:eastAsia="zh-CN"/>
                    </w:rPr>
                    <w:t>。</w:t>
                  </w:r>
                </w:p>
              </w:tc>
              <w:tc>
                <w:tcPr>
                  <w:tcW w:w="616" w:type="pct"/>
                  <w:tcBorders>
                    <w:tl2br w:val="nil"/>
                    <w:tr2bl w:val="nil"/>
                  </w:tcBorders>
                  <w:vAlign w:val="center"/>
                </w:tcPr>
                <w:p w14:paraId="6F9FD14E">
                  <w:pPr>
                    <w:pStyle w:val="35"/>
                    <w:bidi w:val="0"/>
                    <w:rPr>
                      <w:rFonts w:hint="eastAsia"/>
                      <w:color w:val="auto"/>
                      <w:lang w:eastAsia="zh-CN"/>
                    </w:rPr>
                  </w:pPr>
                  <w:r>
                    <w:rPr>
                      <w:color w:val="auto"/>
                    </w:rPr>
                    <w:t>符合</w:t>
                  </w:r>
                </w:p>
              </w:tc>
            </w:tr>
            <w:tr w14:paraId="78F80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1E765AB2">
                  <w:pPr>
                    <w:pStyle w:val="35"/>
                    <w:bidi w:val="0"/>
                    <w:rPr>
                      <w:rFonts w:hint="eastAsia"/>
                      <w:color w:val="auto"/>
                      <w:lang w:eastAsia="zh-CN"/>
                    </w:rPr>
                  </w:pPr>
                  <w:r>
                    <w:rPr>
                      <w:color w:val="auto"/>
                    </w:rPr>
                    <w:t>4</w:t>
                  </w:r>
                </w:p>
              </w:tc>
              <w:tc>
                <w:tcPr>
                  <w:tcW w:w="2081" w:type="pct"/>
                  <w:tcBorders>
                    <w:tl2br w:val="nil"/>
                    <w:tr2bl w:val="nil"/>
                  </w:tcBorders>
                  <w:vAlign w:val="center"/>
                </w:tcPr>
                <w:p w14:paraId="7DDE3759">
                  <w:pPr>
                    <w:pStyle w:val="35"/>
                    <w:bidi w:val="0"/>
                    <w:rPr>
                      <w:rFonts w:hint="eastAsia"/>
                      <w:color w:val="auto"/>
                      <w:lang w:eastAsia="zh-CN"/>
                    </w:rPr>
                  </w:pPr>
                  <w:r>
                    <w:rPr>
                      <w:color w:val="auto"/>
                    </w:rPr>
                    <w:t>第七条：项目施工组织方案具有环境合理性，对料场、弃土（渣）场等施工场地提出了水土流失防治和生态修复等措施。根据环境保护相关标准和要求，对施工期各类废（污）水、扬尘、废气、噪声、固体废物等提出了防治或处置措施</w:t>
                  </w:r>
                  <w:r>
                    <w:rPr>
                      <w:rFonts w:hint="eastAsia"/>
                      <w:color w:val="auto"/>
                      <w:lang w:eastAsia="zh-CN"/>
                    </w:rPr>
                    <w:t>。</w:t>
                  </w:r>
                  <w:r>
                    <w:rPr>
                      <w:color w:val="auto"/>
                    </w:rPr>
                    <w:t>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在采取上述措施后</w:t>
                  </w:r>
                  <w:r>
                    <w:rPr>
                      <w:rFonts w:hint="eastAsia"/>
                      <w:color w:val="auto"/>
                      <w:lang w:eastAsia="zh-CN"/>
                    </w:rPr>
                    <w:t>，</w:t>
                  </w:r>
                  <w:r>
                    <w:rPr>
                      <w:color w:val="auto"/>
                    </w:rPr>
                    <w:t>施工期的不利环境影响能够得到缓解和控制，不会对周围环境和敏感保护目标造成重大不利影响。</w:t>
                  </w:r>
                </w:p>
              </w:tc>
              <w:tc>
                <w:tcPr>
                  <w:tcW w:w="1869" w:type="pct"/>
                  <w:tcBorders>
                    <w:tl2br w:val="nil"/>
                    <w:tr2bl w:val="nil"/>
                  </w:tcBorders>
                  <w:vAlign w:val="center"/>
                </w:tcPr>
                <w:p w14:paraId="3A870329">
                  <w:pPr>
                    <w:pStyle w:val="35"/>
                    <w:bidi w:val="0"/>
                    <w:ind w:firstLine="420" w:firstLineChars="200"/>
                    <w:jc w:val="both"/>
                    <w:rPr>
                      <w:rFonts w:hint="eastAsia"/>
                      <w:color w:val="auto"/>
                      <w:lang w:eastAsia="zh-CN"/>
                    </w:rPr>
                  </w:pPr>
                  <w:r>
                    <w:rPr>
                      <w:color w:val="auto"/>
                    </w:rPr>
                    <w:t>项目施工组织方案有环境合理性，在河堤建设过程中，避开丰水期，选在枯水期建设，能减少扰动水体对河流的影响，对河道治理主体工程、临时堆土场区等提出了水土流失防治和生态修复等措施。根据环境保护相关标准和要求，对施工期各类废（污）水、粉尘、废气、噪声、固体废物等提出了防治或处置措施。</w:t>
                  </w:r>
                  <w:r>
                    <w:rPr>
                      <w:rFonts w:hint="eastAsia"/>
                      <w:color w:val="auto"/>
                      <w:lang w:val="en-US" w:eastAsia="zh-CN"/>
                    </w:rPr>
                    <w:t>项目不涉及</w:t>
                  </w:r>
                  <w:r>
                    <w:rPr>
                      <w:rFonts w:hint="eastAsia"/>
                      <w:color w:val="auto"/>
                      <w:lang w:eastAsia="zh-CN"/>
                    </w:rPr>
                    <w:t>清淤、疏浚</w:t>
                  </w:r>
                  <w:r>
                    <w:rPr>
                      <w:rFonts w:hint="eastAsia"/>
                      <w:color w:val="auto"/>
                      <w:lang w:val="en-US" w:eastAsia="zh-CN"/>
                    </w:rPr>
                    <w:t>工程</w:t>
                  </w:r>
                  <w:r>
                    <w:rPr>
                      <w:rFonts w:hint="eastAsia"/>
                      <w:color w:val="auto"/>
                      <w:lang w:eastAsia="zh-CN"/>
                    </w:rPr>
                    <w:t>。在采取上述措施后，施工期的不利环境影响能够得到缓解和控制，不会对周围环境和敏感保护目标造成重大不利影响。</w:t>
                  </w:r>
                </w:p>
              </w:tc>
              <w:tc>
                <w:tcPr>
                  <w:tcW w:w="616" w:type="pct"/>
                  <w:tcBorders>
                    <w:tl2br w:val="nil"/>
                    <w:tr2bl w:val="nil"/>
                  </w:tcBorders>
                  <w:vAlign w:val="center"/>
                </w:tcPr>
                <w:p w14:paraId="419BDA4D">
                  <w:pPr>
                    <w:pStyle w:val="35"/>
                    <w:bidi w:val="0"/>
                    <w:rPr>
                      <w:rFonts w:hint="eastAsia"/>
                      <w:color w:val="auto"/>
                      <w:lang w:eastAsia="zh-CN"/>
                    </w:rPr>
                  </w:pPr>
                  <w:r>
                    <w:rPr>
                      <w:color w:val="auto"/>
                    </w:rPr>
                    <w:t>符合</w:t>
                  </w:r>
                </w:p>
              </w:tc>
            </w:tr>
            <w:tr w14:paraId="4FE2B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 w:type="pct"/>
                  <w:tcBorders>
                    <w:tl2br w:val="nil"/>
                    <w:tr2bl w:val="nil"/>
                  </w:tcBorders>
                  <w:vAlign w:val="center"/>
                </w:tcPr>
                <w:p w14:paraId="48DEC241">
                  <w:pPr>
                    <w:pStyle w:val="35"/>
                    <w:bidi w:val="0"/>
                    <w:rPr>
                      <w:rFonts w:hint="eastAsia"/>
                      <w:color w:val="auto"/>
                      <w:lang w:eastAsia="zh-CN"/>
                    </w:rPr>
                  </w:pPr>
                  <w:r>
                    <w:rPr>
                      <w:color w:val="auto"/>
                    </w:rPr>
                    <w:t>5</w:t>
                  </w:r>
                </w:p>
              </w:tc>
              <w:tc>
                <w:tcPr>
                  <w:tcW w:w="2081" w:type="pct"/>
                  <w:tcBorders>
                    <w:tl2br w:val="nil"/>
                    <w:tr2bl w:val="nil"/>
                  </w:tcBorders>
                  <w:vAlign w:val="center"/>
                </w:tcPr>
                <w:p w14:paraId="12440D15">
                  <w:pPr>
                    <w:pStyle w:val="35"/>
                    <w:bidi w:val="0"/>
                    <w:rPr>
                      <w:rFonts w:hint="eastAsia"/>
                      <w:color w:val="auto"/>
                      <w:lang w:eastAsia="zh-CN"/>
                    </w:rPr>
                  </w:pPr>
                  <w:r>
                    <w:rPr>
                      <w:color w:val="auto"/>
                    </w:rPr>
                    <w:t>第八条：项目移民安置的选址和建设方式具有环境合理性，提出了生态保护、污水处理、固体废物处置等措施。针对蓄滞洪区的环境污染、新增占地涉及污染场地等，提出了环境管理对策建议。</w:t>
                  </w:r>
                </w:p>
              </w:tc>
              <w:tc>
                <w:tcPr>
                  <w:tcW w:w="1869" w:type="pct"/>
                  <w:tcBorders>
                    <w:tl2br w:val="nil"/>
                    <w:tr2bl w:val="nil"/>
                  </w:tcBorders>
                  <w:vAlign w:val="center"/>
                </w:tcPr>
                <w:p w14:paraId="4047408C">
                  <w:pPr>
                    <w:pStyle w:val="35"/>
                    <w:bidi w:val="0"/>
                    <w:ind w:firstLine="420" w:firstLineChars="200"/>
                    <w:jc w:val="both"/>
                    <w:rPr>
                      <w:rFonts w:hint="eastAsia"/>
                      <w:color w:val="auto"/>
                      <w:lang w:eastAsia="zh-CN"/>
                    </w:rPr>
                  </w:pPr>
                  <w:r>
                    <w:rPr>
                      <w:color w:val="auto"/>
                    </w:rPr>
                    <w:t>本工程</w:t>
                  </w:r>
                  <w:r>
                    <w:rPr>
                      <w:rFonts w:hint="eastAsia"/>
                      <w:color w:val="auto"/>
                      <w:lang w:eastAsia="zh-CN"/>
                    </w:rPr>
                    <w:t>无新增永久占地，工程占地仅为</w:t>
                  </w:r>
                  <w:r>
                    <w:rPr>
                      <w:rFonts w:hint="eastAsia"/>
                      <w:color w:val="auto"/>
                      <w:lang w:val="en-US" w:eastAsia="zh-CN"/>
                    </w:rPr>
                    <w:t>临时占地，</w:t>
                  </w:r>
                  <w:r>
                    <w:rPr>
                      <w:rFonts w:hint="eastAsia"/>
                      <w:color w:val="auto"/>
                      <w:lang w:eastAsia="zh-CN"/>
                    </w:rPr>
                    <w:t>项目不涉及</w:t>
                  </w:r>
                  <w:r>
                    <w:rPr>
                      <w:color w:val="auto"/>
                    </w:rPr>
                    <w:t>移民生产、生活的安置问题。</w:t>
                  </w:r>
                </w:p>
              </w:tc>
              <w:tc>
                <w:tcPr>
                  <w:tcW w:w="616" w:type="pct"/>
                  <w:tcBorders>
                    <w:tl2br w:val="nil"/>
                    <w:tr2bl w:val="nil"/>
                  </w:tcBorders>
                  <w:vAlign w:val="center"/>
                </w:tcPr>
                <w:p w14:paraId="6F9FC632">
                  <w:pPr>
                    <w:pStyle w:val="35"/>
                    <w:bidi w:val="0"/>
                    <w:rPr>
                      <w:rFonts w:hint="eastAsia"/>
                      <w:color w:val="auto"/>
                      <w:lang w:eastAsia="zh-CN"/>
                    </w:rPr>
                  </w:pPr>
                  <w:r>
                    <w:rPr>
                      <w:color w:val="auto"/>
                    </w:rPr>
                    <w:t>符合</w:t>
                  </w:r>
                </w:p>
              </w:tc>
            </w:tr>
          </w:tbl>
          <w:p w14:paraId="36324C73">
            <w:pPr>
              <w:pStyle w:val="37"/>
              <w:bidi w:val="0"/>
              <w:rPr>
                <w:rFonts w:hint="eastAsia"/>
                <w:color w:val="auto"/>
                <w:lang w:eastAsia="zh-CN"/>
              </w:rPr>
            </w:pPr>
            <w:r>
              <w:rPr>
                <w:rFonts w:hint="eastAsia"/>
                <w:color w:val="auto"/>
                <w:lang w:eastAsia="zh-CN"/>
              </w:rPr>
              <w:t>根据上表可知，项目与《关于印发机场、港口、水利（河湖整治与防洪除涝工程）三个行业建设项目环境影响评价文件审批原则的通知》（环办环评〔2018〕2号）符合。</w:t>
            </w:r>
          </w:p>
          <w:p w14:paraId="5F91F1BC">
            <w:pPr>
              <w:pStyle w:val="20"/>
              <w:keepNext w:val="0"/>
              <w:keepLines w:val="0"/>
              <w:widowControl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b/>
                <w:bCs/>
                <w:color w:val="000000"/>
                <w:kern w:val="2"/>
                <w:sz w:val="24"/>
                <w:szCs w:val="24"/>
                <w:lang w:val="en-US" w:eastAsia="zh-CN" w:bidi="ar"/>
              </w:rPr>
              <w:t>8、项目与《中小河流治理建设管理办法》的相符性分析</w:t>
            </w:r>
          </w:p>
          <w:p w14:paraId="06FF5BAF">
            <w:pPr>
              <w:pStyle w:val="20"/>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color w:val="000000"/>
                <w:kern w:val="2"/>
                <w:sz w:val="24"/>
                <w:szCs w:val="24"/>
                <w:lang w:val="en-US" w:eastAsia="zh-CN" w:bidi="ar"/>
              </w:rPr>
              <w:t>《中小河流治理建设管理办法》自2023年7月1日起施行，项目与其相符性分析详见下表。</w:t>
            </w:r>
          </w:p>
          <w:p w14:paraId="5AA1D35E">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2"/>
                <w:sz w:val="21"/>
                <w:szCs w:val="21"/>
                <w:lang w:val="en-US" w:eastAsia="zh-CN" w:bidi="ar"/>
              </w:rPr>
              <w:t>表1</w:t>
            </w:r>
            <w:r>
              <w:rPr>
                <w:rFonts w:hint="eastAsia" w:ascii="Times New Roman" w:hAnsi="Times New Roman" w:eastAsia="宋体" w:cs="Times New Roman"/>
                <w:b/>
                <w:bCs/>
                <w:kern w:val="2"/>
                <w:sz w:val="21"/>
                <w:szCs w:val="21"/>
                <w:lang w:val="en-US" w:eastAsia="zh-CN" w:bidi="ar"/>
              </w:rPr>
              <w:t>-7</w:t>
            </w:r>
            <w:r>
              <w:rPr>
                <w:rFonts w:hint="default" w:ascii="Times New Roman" w:hAnsi="Times New Roman" w:eastAsia="宋体" w:cs="Times New Roman"/>
                <w:b/>
                <w:bCs/>
                <w:kern w:val="2"/>
                <w:sz w:val="21"/>
                <w:szCs w:val="21"/>
                <w:lang w:val="en-US" w:eastAsia="zh-CN" w:bidi="ar"/>
              </w:rPr>
              <w:t>本工程与《中小河流治理建设管理办法》相符性分析</w:t>
            </w:r>
          </w:p>
          <w:tbl>
            <w:tblPr>
              <w:tblStyle w:val="24"/>
              <w:tblW w:w="492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5"/>
              <w:gridCol w:w="3378"/>
              <w:gridCol w:w="3367"/>
              <w:gridCol w:w="486"/>
            </w:tblGrid>
            <w:tr w14:paraId="55363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1" w:type="pct"/>
                  <w:tcBorders>
                    <w:tl2br w:val="nil"/>
                    <w:tr2bl w:val="nil"/>
                  </w:tcBorders>
                  <w:noWrap w:val="0"/>
                  <w:vAlign w:val="center"/>
                </w:tcPr>
                <w:p w14:paraId="62437B12">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color w:val="000000"/>
                      <w:kern w:val="2"/>
                      <w:sz w:val="21"/>
                      <w:szCs w:val="21"/>
                      <w:lang w:val="en-US" w:eastAsia="zh-CN" w:bidi="ar"/>
                    </w:rPr>
                    <w:t>序号</w:t>
                  </w:r>
                </w:p>
              </w:tc>
              <w:tc>
                <w:tcPr>
                  <w:tcW w:w="2208" w:type="pct"/>
                  <w:tcBorders>
                    <w:tl2br w:val="nil"/>
                    <w:tr2bl w:val="nil"/>
                  </w:tcBorders>
                  <w:noWrap w:val="0"/>
                  <w:vAlign w:val="center"/>
                </w:tcPr>
                <w:p w14:paraId="031EBAA2">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kern w:val="2"/>
                      <w:sz w:val="21"/>
                      <w:szCs w:val="21"/>
                      <w:lang w:val="en-US" w:eastAsia="zh-CN" w:bidi="ar"/>
                    </w:rPr>
                  </w:pPr>
                  <w:r>
                    <w:rPr>
                      <w:rFonts w:hint="default" w:ascii="Times New Roman" w:hAnsi="Times New Roman" w:eastAsia="宋体" w:cs="Times New Roman"/>
                      <w:b/>
                      <w:bCs/>
                      <w:color w:val="000000"/>
                      <w:kern w:val="2"/>
                      <w:sz w:val="21"/>
                      <w:szCs w:val="21"/>
                      <w:lang w:val="en-US" w:eastAsia="zh-CN" w:bidi="ar"/>
                    </w:rPr>
                    <w:t>第三条</w:t>
                  </w:r>
                </w:p>
                <w:p w14:paraId="1CD37743">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color w:val="000000"/>
                      <w:kern w:val="2"/>
                      <w:sz w:val="21"/>
                      <w:szCs w:val="21"/>
                      <w:lang w:val="en-US" w:eastAsia="zh-CN" w:bidi="ar"/>
                    </w:rPr>
                    <w:t>中小河流治理应遵循以下原则</w:t>
                  </w:r>
                </w:p>
              </w:tc>
              <w:tc>
                <w:tcPr>
                  <w:tcW w:w="2201" w:type="pct"/>
                  <w:tcBorders>
                    <w:tl2br w:val="nil"/>
                    <w:tr2bl w:val="nil"/>
                  </w:tcBorders>
                  <w:noWrap w:val="0"/>
                  <w:vAlign w:val="center"/>
                </w:tcPr>
                <w:p w14:paraId="16BAEEFD">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color w:val="000000"/>
                      <w:kern w:val="2"/>
                      <w:sz w:val="21"/>
                      <w:szCs w:val="21"/>
                      <w:lang w:val="en-US" w:eastAsia="zh-CN" w:bidi="ar"/>
                    </w:rPr>
                    <w:t>项目情况</w:t>
                  </w:r>
                </w:p>
              </w:tc>
              <w:tc>
                <w:tcPr>
                  <w:tcW w:w="318" w:type="pct"/>
                  <w:tcBorders>
                    <w:tl2br w:val="nil"/>
                    <w:tr2bl w:val="nil"/>
                  </w:tcBorders>
                  <w:noWrap w:val="0"/>
                  <w:vAlign w:val="center"/>
                </w:tcPr>
                <w:p w14:paraId="610EEDDF">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b/>
                      <w:bCs/>
                      <w:color w:val="000000"/>
                      <w:kern w:val="2"/>
                      <w:sz w:val="21"/>
                      <w:szCs w:val="21"/>
                      <w:lang w:val="en-US" w:eastAsia="zh-CN" w:bidi="ar"/>
                    </w:rPr>
                    <w:t>相符性</w:t>
                  </w:r>
                </w:p>
              </w:tc>
            </w:tr>
            <w:tr w14:paraId="2725C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1" w:type="pct"/>
                  <w:tcBorders>
                    <w:tl2br w:val="nil"/>
                    <w:tr2bl w:val="nil"/>
                  </w:tcBorders>
                  <w:noWrap w:val="0"/>
                  <w:vAlign w:val="center"/>
                </w:tcPr>
                <w:p w14:paraId="73E0217A">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1</w:t>
                  </w:r>
                </w:p>
              </w:tc>
              <w:tc>
                <w:tcPr>
                  <w:tcW w:w="2208" w:type="pct"/>
                  <w:tcBorders>
                    <w:tl2br w:val="nil"/>
                    <w:tr2bl w:val="nil"/>
                  </w:tcBorders>
                  <w:noWrap w:val="0"/>
                  <w:vAlign w:val="center"/>
                </w:tcPr>
                <w:p w14:paraId="14CD9DE5">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1 、坚持人民至上</w:t>
                  </w:r>
                  <w:r>
                    <w:rPr>
                      <w:rFonts w:hint="eastAsia" w:ascii="Times New Roman" w:hAnsi="Times New Roman"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生命至上。 统筹发展和安全，把保护人民生 命财产安全放在系统治理的首 要位置，切实提升中小河流行洪和防洪能力。</w:t>
                  </w:r>
                </w:p>
              </w:tc>
              <w:tc>
                <w:tcPr>
                  <w:tcW w:w="2201" w:type="pct"/>
                  <w:tcBorders>
                    <w:tl2br w:val="nil"/>
                    <w:tr2bl w:val="nil"/>
                  </w:tcBorders>
                  <w:noWrap w:val="0"/>
                  <w:vAlign w:val="center"/>
                </w:tcPr>
                <w:p w14:paraId="4087EF18">
                  <w:pPr>
                    <w:pStyle w:val="20"/>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本项目属于防洪除涝工程，本工程的实施可提高该治理河段防洪能力，结合现状已治理段、远期整合芒市大河其他河段防洪项目的实施，逐步形成芒市大河流域完备的防洪体系，减少防洪应急抢险的负担，确保沿河村寨居民的生命财产免受洪水危害</w:t>
                  </w:r>
                </w:p>
              </w:tc>
              <w:tc>
                <w:tcPr>
                  <w:tcW w:w="318" w:type="pct"/>
                  <w:tcBorders>
                    <w:tl2br w:val="nil"/>
                    <w:tr2bl w:val="nil"/>
                  </w:tcBorders>
                  <w:noWrap w:val="0"/>
                  <w:vAlign w:val="center"/>
                </w:tcPr>
                <w:p w14:paraId="0550D02D">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符合</w:t>
                  </w:r>
                </w:p>
              </w:tc>
            </w:tr>
            <w:tr w14:paraId="5C4BB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271" w:type="pct"/>
                  <w:tcBorders>
                    <w:tl2br w:val="nil"/>
                    <w:tr2bl w:val="nil"/>
                  </w:tcBorders>
                  <w:noWrap w:val="0"/>
                  <w:vAlign w:val="center"/>
                </w:tcPr>
                <w:p w14:paraId="2ECD5888">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2</w:t>
                  </w:r>
                </w:p>
              </w:tc>
              <w:tc>
                <w:tcPr>
                  <w:tcW w:w="2208" w:type="pct"/>
                  <w:tcBorders>
                    <w:tl2br w:val="nil"/>
                    <w:tr2bl w:val="nil"/>
                  </w:tcBorders>
                  <w:noWrap w:val="0"/>
                  <w:vAlign w:val="center"/>
                </w:tcPr>
                <w:p w14:paraId="101A0407">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2 、坚持系统治理，整体规划。 以流域为单元，统筹上下游、左右岸、干支流，与流域综合规划、 防洪规划和区域规划相协调，逐 流域规划、逐流域治理，治理一 条，见效一条。</w:t>
                  </w:r>
                </w:p>
              </w:tc>
              <w:tc>
                <w:tcPr>
                  <w:tcW w:w="2201" w:type="pct"/>
                  <w:tcBorders>
                    <w:tl2br w:val="nil"/>
                    <w:tr2bl w:val="nil"/>
                  </w:tcBorders>
                  <w:noWrap w:val="0"/>
                  <w:vAlign w:val="center"/>
                </w:tcPr>
                <w:p w14:paraId="7D9634A1">
                  <w:pPr>
                    <w:pStyle w:val="20"/>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kern w:val="2"/>
                      <w:sz w:val="21"/>
                      <w:szCs w:val="21"/>
                    </w:rPr>
                  </w:pPr>
                  <w:r>
                    <w:rPr>
                      <w:rFonts w:hint="eastAsia" w:ascii="Times New Roman" w:hAnsi="Times New Roman" w:eastAsia="宋体" w:cs="Times New Roman"/>
                      <w:color w:val="000000"/>
                      <w:kern w:val="2"/>
                      <w:sz w:val="21"/>
                      <w:szCs w:val="21"/>
                      <w:lang w:val="en-US" w:eastAsia="zh-CN" w:bidi="ar"/>
                    </w:rPr>
                    <w:t>本项目</w:t>
                  </w:r>
                  <w:r>
                    <w:rPr>
                      <w:rFonts w:hint="default" w:ascii="Times New Roman" w:hAnsi="Times New Roman" w:eastAsia="宋体" w:cs="Times New Roman"/>
                      <w:color w:val="000000"/>
                      <w:kern w:val="2"/>
                      <w:sz w:val="21"/>
                      <w:szCs w:val="21"/>
                      <w:lang w:val="en-US" w:eastAsia="zh-CN" w:bidi="ar"/>
                    </w:rPr>
                    <w:t>坚持系统治理，整体规划</w:t>
                  </w:r>
                  <w:r>
                    <w:rPr>
                      <w:rFonts w:hint="eastAsia"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通过工程措施满足两岸的防洪要求，确保岸线及河势稳定，工程主要以保护农田为主，治理段河道长3.83km，治理河段设计防洪标准为10年一遇，保护人口0.6万人，保护耕地0.4万亩。</w:t>
                  </w:r>
                </w:p>
              </w:tc>
              <w:tc>
                <w:tcPr>
                  <w:tcW w:w="318" w:type="pct"/>
                  <w:tcBorders>
                    <w:tl2br w:val="nil"/>
                    <w:tr2bl w:val="nil"/>
                  </w:tcBorders>
                  <w:noWrap w:val="0"/>
                  <w:vAlign w:val="center"/>
                </w:tcPr>
                <w:p w14:paraId="2C1F87B3">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符合</w:t>
                  </w:r>
                </w:p>
              </w:tc>
            </w:tr>
            <w:tr w14:paraId="16E94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271" w:type="pct"/>
                  <w:tcBorders>
                    <w:tl2br w:val="nil"/>
                    <w:tr2bl w:val="nil"/>
                  </w:tcBorders>
                  <w:noWrap w:val="0"/>
                  <w:vAlign w:val="center"/>
                </w:tcPr>
                <w:p w14:paraId="1DE76CEB">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rPr>
                  </w:pPr>
                </w:p>
                <w:p w14:paraId="026619DC">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3</w:t>
                  </w:r>
                </w:p>
              </w:tc>
              <w:tc>
                <w:tcPr>
                  <w:tcW w:w="2208" w:type="pct"/>
                  <w:tcBorders>
                    <w:tl2br w:val="nil"/>
                    <w:tr2bl w:val="nil"/>
                  </w:tcBorders>
                  <w:noWrap w:val="0"/>
                  <w:vAlign w:val="center"/>
                </w:tcPr>
                <w:p w14:paraId="0763EB59">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3.坚持因地制宜，生态安全。尊重河流自然属性，科学确定治理标准和治理方案，处理好河流治理与生态保护的关系，实现人水和谐。</w:t>
                  </w:r>
                </w:p>
              </w:tc>
              <w:tc>
                <w:tcPr>
                  <w:tcW w:w="2201" w:type="pct"/>
                  <w:tcBorders>
                    <w:tl2br w:val="nil"/>
                    <w:tr2bl w:val="nil"/>
                  </w:tcBorders>
                  <w:noWrap w:val="0"/>
                  <w:vAlign w:val="center"/>
                </w:tcPr>
                <w:p w14:paraId="55ED1921">
                  <w:pPr>
                    <w:pStyle w:val="20"/>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项目</w:t>
                  </w:r>
                  <w:r>
                    <w:rPr>
                      <w:rFonts w:hint="eastAsia" w:ascii="Times New Roman" w:hAnsi="Times New Roman" w:eastAsia="宋体" w:cs="Times New Roman"/>
                      <w:color w:val="000000"/>
                      <w:kern w:val="2"/>
                      <w:sz w:val="21"/>
                      <w:szCs w:val="21"/>
                      <w:lang w:val="en-US" w:eastAsia="zh-CN" w:bidi="ar"/>
                    </w:rPr>
                    <w:t>因地制宜，尊重河流自然属性，防洪</w:t>
                  </w:r>
                  <w:r>
                    <w:rPr>
                      <w:rFonts w:hint="default" w:ascii="Times New Roman" w:hAnsi="Times New Roman" w:eastAsia="宋体" w:cs="Times New Roman"/>
                      <w:color w:val="000000"/>
                      <w:kern w:val="2"/>
                      <w:sz w:val="21"/>
                      <w:szCs w:val="21"/>
                      <w:lang w:val="en-US" w:eastAsia="zh-CN" w:bidi="ar"/>
                    </w:rPr>
                    <w:t>标准为10年一遇，符合《防洪标准》GB50201-2014标准要求</w:t>
                  </w:r>
                  <w:r>
                    <w:rPr>
                      <w:rFonts w:hint="eastAsia"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治理方案</w:t>
                  </w:r>
                  <w:r>
                    <w:rPr>
                      <w:rFonts w:hint="eastAsia" w:ascii="Times New Roman" w:hAnsi="Times New Roman" w:eastAsia="宋体" w:cs="Times New Roman"/>
                      <w:color w:val="000000"/>
                      <w:kern w:val="2"/>
                      <w:sz w:val="21"/>
                      <w:szCs w:val="21"/>
                      <w:lang w:val="en-US" w:eastAsia="zh-CN" w:bidi="ar"/>
                    </w:rPr>
                    <w:t>合理，</w:t>
                  </w:r>
                  <w:r>
                    <w:rPr>
                      <w:rFonts w:hint="default" w:ascii="Times New Roman" w:hAnsi="Times New Roman" w:eastAsia="宋体" w:cs="Times New Roman"/>
                      <w:color w:val="000000"/>
                      <w:kern w:val="2"/>
                      <w:sz w:val="21"/>
                      <w:szCs w:val="21"/>
                      <w:lang w:val="en-US" w:eastAsia="zh-CN" w:bidi="ar"/>
                    </w:rPr>
                    <w:t>保护项目区人口约</w:t>
                  </w:r>
                  <w:r>
                    <w:rPr>
                      <w:rFonts w:hint="eastAsia" w:ascii="Times New Roman" w:hAnsi="Times New Roman" w:eastAsia="宋体" w:cs="Times New Roman"/>
                      <w:color w:val="000000"/>
                      <w:kern w:val="2"/>
                      <w:sz w:val="21"/>
                      <w:szCs w:val="21"/>
                      <w:lang w:val="en-US" w:eastAsia="zh-CN" w:bidi="ar"/>
                    </w:rPr>
                    <w:t>0.6</w:t>
                  </w:r>
                  <w:r>
                    <w:rPr>
                      <w:rFonts w:hint="default" w:ascii="Times New Roman" w:hAnsi="Times New Roman" w:eastAsia="宋体" w:cs="Times New Roman"/>
                      <w:color w:val="000000"/>
                      <w:kern w:val="2"/>
                      <w:sz w:val="21"/>
                      <w:szCs w:val="21"/>
                      <w:lang w:val="en-US" w:eastAsia="zh-CN" w:bidi="ar"/>
                    </w:rPr>
                    <w:t>万人</w:t>
                  </w:r>
                  <w:r>
                    <w:rPr>
                      <w:rFonts w:hint="eastAsia"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实现人水和谐。</w:t>
                  </w:r>
                </w:p>
              </w:tc>
              <w:tc>
                <w:tcPr>
                  <w:tcW w:w="318" w:type="pct"/>
                  <w:tcBorders>
                    <w:tl2br w:val="nil"/>
                    <w:tr2bl w:val="nil"/>
                  </w:tcBorders>
                  <w:noWrap w:val="0"/>
                  <w:vAlign w:val="center"/>
                </w:tcPr>
                <w:p w14:paraId="49C7BBE0">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kern w:val="2"/>
                      <w:sz w:val="21"/>
                      <w:szCs w:val="21"/>
                    </w:rPr>
                  </w:pPr>
                </w:p>
                <w:p w14:paraId="5564E257">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符合</w:t>
                  </w:r>
                </w:p>
              </w:tc>
            </w:tr>
            <w:tr w14:paraId="426D3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1" w:type="pct"/>
                  <w:tcBorders>
                    <w:tl2br w:val="nil"/>
                    <w:tr2bl w:val="nil"/>
                  </w:tcBorders>
                  <w:noWrap w:val="0"/>
                  <w:vAlign w:val="center"/>
                </w:tcPr>
                <w:p w14:paraId="2A1A9C50">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4</w:t>
                  </w:r>
                </w:p>
              </w:tc>
              <w:tc>
                <w:tcPr>
                  <w:tcW w:w="2208" w:type="pct"/>
                  <w:tcBorders>
                    <w:tl2br w:val="nil"/>
                    <w:tr2bl w:val="nil"/>
                  </w:tcBorders>
                  <w:noWrap w:val="0"/>
                  <w:vAlign w:val="center"/>
                </w:tcPr>
                <w:p w14:paraId="7AEB61AF">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4.坚持数字赋能，智慧管理。逐 流域、逐河流、逐项目建档立卡， 实现中小河流治理全过程信息化管理，提升治理管理数字化、 网络化、智能化水平。</w:t>
                  </w:r>
                </w:p>
              </w:tc>
              <w:tc>
                <w:tcPr>
                  <w:tcW w:w="2201" w:type="pct"/>
                  <w:tcBorders>
                    <w:tl2br w:val="nil"/>
                    <w:tr2bl w:val="nil"/>
                  </w:tcBorders>
                  <w:noWrap w:val="0"/>
                  <w:vAlign w:val="center"/>
                </w:tcPr>
                <w:p w14:paraId="6DCB8951">
                  <w:pPr>
                    <w:pStyle w:val="20"/>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项目实施后，建设单位按照要 求运行管理。</w:t>
                  </w:r>
                </w:p>
              </w:tc>
              <w:tc>
                <w:tcPr>
                  <w:tcW w:w="318" w:type="pct"/>
                  <w:tcBorders>
                    <w:tl2br w:val="nil"/>
                    <w:tr2bl w:val="nil"/>
                  </w:tcBorders>
                  <w:noWrap w:val="0"/>
                  <w:vAlign w:val="center"/>
                </w:tcPr>
                <w:p w14:paraId="366B9A6A">
                  <w:pPr>
                    <w:pStyle w:val="20"/>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lang w:val="en-US" w:eastAsia="zh-CN" w:bidi="ar"/>
                    </w:rPr>
                    <w:t>符合</w:t>
                  </w:r>
                </w:p>
              </w:tc>
            </w:tr>
          </w:tbl>
          <w:p w14:paraId="2E8374D6">
            <w:pPr>
              <w:pStyle w:val="20"/>
              <w:keepNext w:val="0"/>
              <w:keepLines w:val="0"/>
              <w:widowControl w:val="0"/>
              <w:numPr>
                <w:ilvl w:val="0"/>
                <w:numId w:val="0"/>
              </w:numPr>
              <w:suppressLineNumbers w:val="0"/>
              <w:spacing w:before="0" w:beforeAutospacing="0" w:after="0" w:afterAutospacing="0" w:line="360" w:lineRule="auto"/>
              <w:ind w:right="0" w:rightChars="0" w:firstLine="482" w:firstLineChars="200"/>
              <w:jc w:val="left"/>
              <w:rPr>
                <w:rFonts w:hint="default" w:ascii="Times New Roman" w:hAnsi="Times New Roman" w:eastAsia="宋体" w:cs="Times New Roman"/>
                <w:b/>
                <w:bCs/>
                <w:kern w:val="0"/>
                <w:sz w:val="24"/>
                <w:szCs w:val="24"/>
                <w:lang w:val="en-US" w:eastAsia="zh-CN" w:bidi="ar"/>
              </w:rPr>
            </w:pPr>
            <w:r>
              <w:rPr>
                <w:rFonts w:hint="eastAsia" w:ascii="Times New Roman" w:hAnsi="Times New Roman" w:eastAsia="宋体" w:cs="Times New Roman"/>
                <w:b/>
                <w:bCs/>
                <w:kern w:val="0"/>
                <w:sz w:val="24"/>
                <w:szCs w:val="24"/>
                <w:lang w:val="en-US" w:eastAsia="zh-CN" w:bidi="ar"/>
              </w:rPr>
              <w:t>9</w:t>
            </w:r>
            <w:r>
              <w:rPr>
                <w:rFonts w:hint="default" w:ascii="Times New Roman" w:hAnsi="Times New Roman" w:eastAsia="宋体" w:cs="Times New Roman"/>
                <w:b/>
                <w:bCs/>
                <w:kern w:val="0"/>
                <w:sz w:val="24"/>
                <w:szCs w:val="24"/>
                <w:lang w:val="en-US" w:eastAsia="zh-CN" w:bidi="ar"/>
              </w:rPr>
              <w:t>、与《水利建设项目（河湖整治与防洪除涝工程）环境影响评价文件审批原则（试行）》（</w:t>
            </w:r>
            <w:r>
              <w:rPr>
                <w:rFonts w:hint="default" w:ascii="Times New Roman" w:hAnsi="Times New Roman" w:eastAsia="宋体" w:cs="Times New Roman"/>
                <w:b/>
                <w:bCs/>
                <w:spacing w:val="10"/>
                <w:kern w:val="0"/>
                <w:sz w:val="24"/>
                <w:szCs w:val="24"/>
                <w:lang w:val="en-US" w:eastAsia="zh-CN" w:bidi="ar"/>
              </w:rPr>
              <w:t>环境保护部办公厅发</w:t>
            </w:r>
            <w:r>
              <w:rPr>
                <w:rFonts w:hint="eastAsia" w:ascii="Times New Roman" w:hAnsi="Times New Roman" w:cs="Times New Roman"/>
                <w:b/>
                <w:bCs/>
                <w:spacing w:val="10"/>
                <w:kern w:val="0"/>
                <w:sz w:val="24"/>
                <w:szCs w:val="24"/>
                <w:lang w:val="en-US" w:eastAsia="zh-CN" w:bidi="ar"/>
              </w:rPr>
              <w:t>〔</w:t>
            </w:r>
            <w:r>
              <w:rPr>
                <w:rFonts w:hint="default" w:ascii="Times New Roman" w:hAnsi="Times New Roman" w:eastAsia="宋体" w:cs="Times New Roman"/>
                <w:b/>
                <w:bCs/>
                <w:spacing w:val="10"/>
                <w:kern w:val="0"/>
                <w:sz w:val="24"/>
                <w:szCs w:val="24"/>
                <w:lang w:val="en-US" w:eastAsia="zh-CN" w:bidi="ar"/>
              </w:rPr>
              <w:t>2018</w:t>
            </w:r>
            <w:r>
              <w:rPr>
                <w:rFonts w:hint="eastAsia" w:ascii="Times New Roman" w:hAnsi="Times New Roman" w:cs="Times New Roman"/>
                <w:b/>
                <w:bCs/>
                <w:spacing w:val="10"/>
                <w:kern w:val="0"/>
                <w:sz w:val="24"/>
                <w:szCs w:val="24"/>
                <w:lang w:val="en-US" w:eastAsia="zh-CN" w:bidi="ar"/>
              </w:rPr>
              <w:t>〕</w:t>
            </w:r>
            <w:r>
              <w:rPr>
                <w:rFonts w:hint="default" w:ascii="Times New Roman" w:hAnsi="Times New Roman" w:eastAsia="宋体" w:cs="Times New Roman"/>
                <w:b/>
                <w:bCs/>
                <w:spacing w:val="10"/>
                <w:kern w:val="0"/>
                <w:sz w:val="24"/>
                <w:szCs w:val="24"/>
                <w:lang w:val="en-US" w:eastAsia="zh-CN" w:bidi="ar"/>
              </w:rPr>
              <w:t>2号，2018年1月4日</w:t>
            </w:r>
            <w:r>
              <w:rPr>
                <w:rFonts w:hint="default" w:ascii="Times New Roman" w:hAnsi="Times New Roman" w:eastAsia="宋体" w:cs="Times New Roman"/>
                <w:b/>
                <w:bCs/>
                <w:kern w:val="0"/>
                <w:sz w:val="24"/>
                <w:szCs w:val="24"/>
                <w:lang w:val="en-US" w:eastAsia="zh-CN" w:bidi="ar"/>
              </w:rPr>
              <w:t>）的相符性分析</w:t>
            </w:r>
          </w:p>
          <w:p w14:paraId="309C1867">
            <w:pPr>
              <w:keepNext w:val="0"/>
              <w:keepLines w:val="0"/>
              <w:widowControl w:val="0"/>
              <w:suppressLineNumbers w:val="0"/>
              <w:spacing w:before="0" w:beforeAutospacing="0" w:after="0" w:afterAutospacing="0" w:line="360" w:lineRule="auto"/>
              <w:ind w:left="0" w:right="0" w:firstLine="444" w:firstLineChars="200"/>
              <w:jc w:val="both"/>
              <w:rPr>
                <w:rFonts w:hint="default" w:ascii="Times New Roman" w:hAnsi="Times New Roman" w:eastAsia="宋体" w:cs="Times New Roman"/>
                <w:b/>
                <w:bCs/>
                <w:kern w:val="0"/>
                <w:sz w:val="24"/>
                <w:szCs w:val="24"/>
              </w:rPr>
            </w:pPr>
            <w:r>
              <w:rPr>
                <w:rFonts w:hint="default" w:ascii="Times New Roman" w:hAnsi="Times New Roman" w:eastAsia="宋体" w:cs="Times New Roman"/>
                <w:spacing w:val="-9"/>
                <w:kern w:val="2"/>
                <w:sz w:val="24"/>
                <w:szCs w:val="24"/>
                <w:lang w:val="en-US" w:eastAsia="zh-CN" w:bidi="ar"/>
              </w:rPr>
              <w:t>本工程与《水利建设项目</w:t>
            </w:r>
            <w:r>
              <w:rPr>
                <w:rFonts w:hint="default" w:ascii="Times New Roman" w:hAnsi="Times New Roman" w:eastAsia="宋体" w:cs="Times New Roman"/>
                <w:kern w:val="2"/>
                <w:sz w:val="24"/>
                <w:szCs w:val="24"/>
                <w:lang w:val="en-US" w:eastAsia="zh-CN" w:bidi="ar"/>
              </w:rPr>
              <w:t>（河湖整治与防洪除涝工程</w:t>
            </w:r>
            <w:r>
              <w:rPr>
                <w:rFonts w:hint="default" w:ascii="Times New Roman" w:hAnsi="Times New Roman" w:eastAsia="宋体" w:cs="Times New Roman"/>
                <w:spacing w:val="-32"/>
                <w:kern w:val="2"/>
                <w:sz w:val="24"/>
                <w:szCs w:val="24"/>
                <w:lang w:val="en-US" w:eastAsia="zh-CN" w:bidi="ar"/>
              </w:rPr>
              <w:t>）</w:t>
            </w:r>
            <w:r>
              <w:rPr>
                <w:rFonts w:hint="default" w:ascii="Times New Roman" w:hAnsi="Times New Roman" w:eastAsia="宋体" w:cs="Times New Roman"/>
                <w:spacing w:val="-2"/>
                <w:kern w:val="2"/>
                <w:sz w:val="24"/>
                <w:szCs w:val="24"/>
                <w:lang w:val="en-US" w:eastAsia="zh-CN" w:bidi="ar"/>
              </w:rPr>
              <w:t>环境影响评价文件审</w:t>
            </w:r>
            <w:r>
              <w:rPr>
                <w:rFonts w:hint="default" w:ascii="Times New Roman" w:hAnsi="Times New Roman" w:eastAsia="宋体" w:cs="Times New Roman"/>
                <w:kern w:val="2"/>
                <w:sz w:val="24"/>
                <w:szCs w:val="24"/>
                <w:lang w:val="en-US" w:eastAsia="zh-CN" w:bidi="ar"/>
              </w:rPr>
              <w:t>批原则（试行）》符合性详见表1-</w:t>
            </w:r>
            <w:r>
              <w:rPr>
                <w:rFonts w:hint="eastAsia" w:ascii="Times New Roman" w:hAnsi="Times New Roman" w:eastAsia="宋体" w:cs="Times New Roman"/>
                <w:kern w:val="2"/>
                <w:sz w:val="24"/>
                <w:szCs w:val="24"/>
                <w:lang w:val="en-US" w:eastAsia="zh-CN" w:bidi="ar"/>
              </w:rPr>
              <w:t>8</w:t>
            </w:r>
            <w:r>
              <w:rPr>
                <w:rFonts w:hint="default" w:ascii="Times New Roman" w:hAnsi="Times New Roman" w:eastAsia="宋体" w:cs="Times New Roman"/>
                <w:kern w:val="2"/>
                <w:sz w:val="24"/>
                <w:szCs w:val="24"/>
                <w:lang w:val="en-US" w:eastAsia="zh-CN" w:bidi="ar"/>
              </w:rPr>
              <w:t>。</w:t>
            </w:r>
          </w:p>
          <w:p w14:paraId="23958F95">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2"/>
                <w:sz w:val="21"/>
                <w:szCs w:val="21"/>
                <w:lang w:val="en-US" w:eastAsia="zh-CN" w:bidi="ar"/>
              </w:rPr>
              <w:t>表1-</w:t>
            </w:r>
            <w:r>
              <w:rPr>
                <w:rFonts w:hint="eastAsia" w:ascii="Times New Roman" w:hAnsi="Times New Roman" w:eastAsia="宋体" w:cs="Times New Roman"/>
                <w:b/>
                <w:bCs/>
                <w:kern w:val="2"/>
                <w:sz w:val="21"/>
                <w:szCs w:val="21"/>
                <w:lang w:val="en-US" w:eastAsia="zh-CN" w:bidi="ar"/>
              </w:rPr>
              <w:t>8</w:t>
            </w:r>
            <w:r>
              <w:rPr>
                <w:rFonts w:hint="default" w:ascii="Times New Roman" w:hAnsi="Times New Roman" w:eastAsia="宋体" w:cs="Times New Roman"/>
                <w:b/>
                <w:bCs/>
                <w:spacing w:val="59"/>
                <w:kern w:val="2"/>
                <w:sz w:val="21"/>
                <w:szCs w:val="21"/>
                <w:lang w:val="en-US" w:eastAsia="zh-CN" w:bidi="ar"/>
              </w:rPr>
              <w:t xml:space="preserve"> </w:t>
            </w:r>
            <w:r>
              <w:rPr>
                <w:rFonts w:hint="default" w:ascii="Times New Roman" w:hAnsi="Times New Roman" w:eastAsia="宋体" w:cs="Times New Roman"/>
                <w:b/>
                <w:bCs/>
                <w:kern w:val="2"/>
                <w:sz w:val="21"/>
                <w:szCs w:val="21"/>
                <w:lang w:val="en-US" w:eastAsia="zh-CN" w:bidi="ar"/>
              </w:rPr>
              <w:t>本工程与审批原则相符性分析</w:t>
            </w:r>
          </w:p>
          <w:tbl>
            <w:tblPr>
              <w:tblStyle w:val="23"/>
              <w:tblW w:w="48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2999"/>
              <w:gridCol w:w="719"/>
            </w:tblGrid>
            <w:tr w14:paraId="45FE8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10B93115">
                  <w:pPr>
                    <w:pStyle w:val="20"/>
                    <w:keepNext w:val="0"/>
                    <w:keepLines w:val="0"/>
                    <w:widowControl w:val="0"/>
                    <w:suppressLineNumbers w:val="0"/>
                    <w:spacing w:before="34" w:beforeAutospacing="0" w:after="100" w:afterAutospacing="1" w:line="240" w:lineRule="auto"/>
                    <w:ind w:left="11"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val="0"/>
                      <w:kern w:val="2"/>
                      <w:sz w:val="21"/>
                      <w:szCs w:val="21"/>
                      <w:lang w:val="en-US" w:eastAsia="zh-CN" w:bidi="ar"/>
                    </w:rPr>
                    <w:t>审批原则要求</w:t>
                  </w:r>
                </w:p>
              </w:tc>
              <w:tc>
                <w:tcPr>
                  <w:tcW w:w="1985" w:type="pct"/>
                  <w:tcBorders>
                    <w:tl2br w:val="nil"/>
                    <w:tr2bl w:val="nil"/>
                  </w:tcBorders>
                  <w:noWrap w:val="0"/>
                  <w:vAlign w:val="center"/>
                </w:tcPr>
                <w:p w14:paraId="30FCBF79">
                  <w:pPr>
                    <w:pStyle w:val="20"/>
                    <w:keepNext w:val="0"/>
                    <w:keepLines w:val="0"/>
                    <w:widowControl w:val="0"/>
                    <w:suppressLineNumbers w:val="0"/>
                    <w:spacing w:before="34" w:beforeAutospacing="0" w:after="100" w:afterAutospacing="1" w:line="240" w:lineRule="auto"/>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b/>
                      <w:bCs w:val="0"/>
                      <w:kern w:val="2"/>
                      <w:sz w:val="21"/>
                      <w:szCs w:val="21"/>
                      <w:lang w:val="en-US" w:eastAsia="zh-CN" w:bidi="ar"/>
                    </w:rPr>
                    <w:t>相符性分析</w:t>
                  </w:r>
                </w:p>
              </w:tc>
              <w:tc>
                <w:tcPr>
                  <w:tcW w:w="475" w:type="pct"/>
                  <w:tcBorders>
                    <w:tl2br w:val="nil"/>
                    <w:tr2bl w:val="nil"/>
                  </w:tcBorders>
                  <w:noWrap w:val="0"/>
                  <w:vAlign w:val="center"/>
                </w:tcPr>
                <w:p w14:paraId="296A4ACD">
                  <w:pPr>
                    <w:pStyle w:val="20"/>
                    <w:keepNext w:val="0"/>
                    <w:keepLines w:val="0"/>
                    <w:widowControl w:val="0"/>
                    <w:suppressLineNumbers w:val="0"/>
                    <w:spacing w:before="34" w:beforeAutospacing="0" w:after="100" w:afterAutospacing="1" w:line="240" w:lineRule="auto"/>
                    <w:ind w:left="0" w:leftChars="0" w:right="94" w:firstLine="0" w:firstLineChars="0"/>
                    <w:jc w:val="both"/>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1"/>
                      <w:szCs w:val="21"/>
                      <w:lang w:val="en-US" w:eastAsia="zh-CN" w:bidi="ar"/>
                    </w:rPr>
                    <w:t>相符性</w:t>
                  </w:r>
                </w:p>
              </w:tc>
            </w:tr>
            <w:tr w14:paraId="22882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3BC95F63">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kern w:val="0"/>
                      <w:sz w:val="24"/>
                      <w:szCs w:val="24"/>
                    </w:rPr>
                  </w:pPr>
                  <w:r>
                    <w:rPr>
                      <w:rFonts w:hint="default" w:ascii="Times New Roman" w:hAnsi="Times New Roman" w:eastAsia="宋体" w:cs="Times New Roman"/>
                      <w:spacing w:val="-4"/>
                      <w:kern w:val="2"/>
                      <w:sz w:val="21"/>
                      <w:szCs w:val="21"/>
                      <w:lang w:val="en-US" w:eastAsia="zh-CN" w:bidi="ar"/>
                    </w:rPr>
                    <w:t>第一条 本原则适用于河湖整治与防洪除涝工程环境影响评价文件的审批，工程建设内容包括疏浚、堤防建设、闸坝闸站建设、岸线治理、水系连通、蓄（滞）洪区建设、排涝治理等（引调水、防洪水库等水利枢纽工程除外）。其他类似工程可参照执行。</w:t>
                  </w:r>
                </w:p>
              </w:tc>
              <w:tc>
                <w:tcPr>
                  <w:tcW w:w="1985" w:type="pct"/>
                  <w:tcBorders>
                    <w:tl2br w:val="nil"/>
                    <w:tr2bl w:val="nil"/>
                  </w:tcBorders>
                  <w:noWrap w:val="0"/>
                  <w:vAlign w:val="center"/>
                </w:tcPr>
                <w:p w14:paraId="197BB3BD">
                  <w:pPr>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2"/>
                      <w:sz w:val="21"/>
                      <w:szCs w:val="21"/>
                      <w:lang w:val="en-US" w:eastAsia="zh-CN" w:bidi="ar"/>
                    </w:rPr>
                    <w:t>本工程</w:t>
                  </w:r>
                  <w:r>
                    <w:rPr>
                      <w:rFonts w:hint="default" w:ascii="Times New Roman" w:hAnsi="Times New Roman" w:eastAsia="宋体" w:cs="Times New Roman"/>
                      <w:spacing w:val="-4"/>
                      <w:kern w:val="2"/>
                      <w:sz w:val="21"/>
                      <w:szCs w:val="21"/>
                      <w:lang w:val="en-US" w:eastAsia="zh-CN" w:bidi="ar"/>
                    </w:rPr>
                    <w:t>为防洪除涝工程，</w:t>
                  </w:r>
                  <w:r>
                    <w:rPr>
                      <w:rFonts w:hint="default" w:ascii="Times New Roman" w:hAnsi="Times New Roman" w:eastAsia="宋体" w:cs="Times New Roman"/>
                      <w:kern w:val="2"/>
                      <w:sz w:val="21"/>
                      <w:szCs w:val="21"/>
                      <w:lang w:val="en-US" w:eastAsia="zh-CN" w:bidi="ar"/>
                    </w:rPr>
                    <w:t>建设内容主要为堤防建设。</w:t>
                  </w:r>
                </w:p>
              </w:tc>
              <w:tc>
                <w:tcPr>
                  <w:tcW w:w="475" w:type="pct"/>
                  <w:tcBorders>
                    <w:tl2br w:val="nil"/>
                    <w:tr2bl w:val="nil"/>
                  </w:tcBorders>
                  <w:noWrap w:val="0"/>
                  <w:vAlign w:val="center"/>
                </w:tcPr>
                <w:p w14:paraId="6B5F9AAF">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08DA4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2FD69951">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kern w:val="0"/>
                      <w:sz w:val="24"/>
                      <w:szCs w:val="24"/>
                    </w:rPr>
                  </w:pPr>
                  <w:r>
                    <w:rPr>
                      <w:rFonts w:hint="default" w:ascii="Times New Roman" w:hAnsi="Times New Roman" w:eastAsia="宋体" w:cs="Times New Roman"/>
                      <w:spacing w:val="-4"/>
                      <w:kern w:val="2"/>
                      <w:sz w:val="21"/>
                      <w:szCs w:val="21"/>
                      <w:lang w:val="en-US" w:eastAsia="zh-CN" w:bidi="ar"/>
                    </w:rPr>
                    <w:t>第二条 项目符合环境保护相关法律法规和政</w:t>
                  </w:r>
                  <w:r>
                    <w:rPr>
                      <w:rFonts w:hint="default" w:ascii="Times New Roman" w:hAnsi="Times New Roman" w:eastAsia="宋体" w:cs="Times New Roman"/>
                      <w:spacing w:val="-6"/>
                      <w:kern w:val="2"/>
                      <w:sz w:val="21"/>
                      <w:szCs w:val="21"/>
                      <w:lang w:val="en-US" w:eastAsia="zh-CN" w:bidi="ar"/>
                    </w:rPr>
                    <w:t>策要求，与主体功能区规划、生态功能区划、水环境功能区划、水功能区划、生态环境保</w:t>
                  </w:r>
                  <w:r>
                    <w:rPr>
                      <w:rFonts w:hint="default" w:ascii="Times New Roman" w:hAnsi="Times New Roman" w:eastAsia="宋体" w:cs="Times New Roman"/>
                      <w:spacing w:val="-4"/>
                      <w:kern w:val="2"/>
                      <w:sz w:val="21"/>
                      <w:szCs w:val="21"/>
                      <w:lang w:val="en-US" w:eastAsia="zh-CN" w:bidi="ar"/>
                    </w:rPr>
                    <w:t xml:space="preserve">护规划、流域综合规划、防洪规划等相协调， </w:t>
                  </w:r>
                  <w:r>
                    <w:rPr>
                      <w:rFonts w:hint="default" w:ascii="Times New Roman" w:hAnsi="Times New Roman" w:eastAsia="宋体" w:cs="Times New Roman"/>
                      <w:spacing w:val="-3"/>
                      <w:kern w:val="2"/>
                      <w:sz w:val="21"/>
                      <w:szCs w:val="21"/>
                      <w:lang w:val="en-US" w:eastAsia="zh-CN" w:bidi="ar"/>
                    </w:rPr>
                    <w:t>满足相关规划环评要求。工程涉及岸线调整</w:t>
                  </w:r>
                  <w:r>
                    <w:rPr>
                      <w:rFonts w:hint="default" w:ascii="Times New Roman" w:hAnsi="Times New Roman" w:eastAsia="宋体" w:cs="Times New Roman"/>
                      <w:kern w:val="2"/>
                      <w:sz w:val="21"/>
                      <w:szCs w:val="21"/>
                      <w:lang w:val="en-US" w:eastAsia="zh-CN" w:bidi="ar"/>
                    </w:rPr>
                    <w:t>（</w:t>
                  </w:r>
                  <w:r>
                    <w:rPr>
                      <w:rFonts w:hint="default" w:ascii="Times New Roman" w:hAnsi="Times New Roman" w:eastAsia="宋体" w:cs="Times New Roman"/>
                      <w:spacing w:val="-3"/>
                      <w:kern w:val="2"/>
                      <w:sz w:val="21"/>
                      <w:szCs w:val="21"/>
                      <w:lang w:val="en-US" w:eastAsia="zh-CN" w:bidi="ar"/>
                    </w:rPr>
                    <w:t>治导线变化）、截弯取直、围垦水面和占</w:t>
                  </w:r>
                  <w:r>
                    <w:rPr>
                      <w:rFonts w:hint="default" w:ascii="Times New Roman" w:hAnsi="Times New Roman" w:eastAsia="宋体" w:cs="Times New Roman"/>
                      <w:spacing w:val="-7"/>
                      <w:kern w:val="2"/>
                      <w:sz w:val="21"/>
                      <w:szCs w:val="21"/>
                      <w:lang w:val="en-US" w:eastAsia="zh-CN" w:bidi="ar"/>
                    </w:rPr>
                    <w:t>用河湖滩地等建设内容的，充分论证了方案环</w:t>
                  </w:r>
                  <w:r>
                    <w:rPr>
                      <w:rFonts w:hint="default" w:ascii="Times New Roman" w:hAnsi="Times New Roman" w:eastAsia="宋体" w:cs="Times New Roman"/>
                      <w:spacing w:val="-6"/>
                      <w:kern w:val="2"/>
                      <w:sz w:val="21"/>
                      <w:szCs w:val="21"/>
                      <w:lang w:val="en-US" w:eastAsia="zh-CN" w:bidi="ar"/>
                    </w:rPr>
                    <w:t>境可行性，最大程度保持了河湖自然形态，</w:t>
                  </w:r>
                  <w:r>
                    <w:rPr>
                      <w:rFonts w:hint="default" w:ascii="Times New Roman" w:hAnsi="Times New Roman" w:eastAsia="宋体" w:cs="Times New Roman"/>
                      <w:kern w:val="2"/>
                      <w:sz w:val="21"/>
                      <w:szCs w:val="21"/>
                      <w:lang w:val="en-US" w:eastAsia="zh-CN" w:bidi="ar"/>
                    </w:rPr>
                    <w:t>最大限度维护了河湖健康、生态系统功能和生物多样性。</w:t>
                  </w:r>
                </w:p>
              </w:tc>
              <w:tc>
                <w:tcPr>
                  <w:tcW w:w="1985" w:type="pct"/>
                  <w:tcBorders>
                    <w:tl2br w:val="nil"/>
                    <w:tr2bl w:val="nil"/>
                  </w:tcBorders>
                  <w:noWrap w:val="0"/>
                  <w:vAlign w:val="center"/>
                </w:tcPr>
                <w:p w14:paraId="7069FE9B">
                  <w:pPr>
                    <w:keepNext w:val="0"/>
                    <w:keepLines w:val="0"/>
                    <w:widowControl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kern w:val="0"/>
                      <w:sz w:val="24"/>
                      <w:szCs w:val="24"/>
                    </w:rPr>
                  </w:pPr>
                  <w:r>
                    <w:rPr>
                      <w:rFonts w:hint="default" w:ascii="Times New Roman" w:hAnsi="Times New Roman" w:eastAsia="宋体" w:cs="Times New Roman"/>
                      <w:spacing w:val="-5"/>
                      <w:kern w:val="2"/>
                      <w:sz w:val="21"/>
                      <w:szCs w:val="21"/>
                      <w:lang w:val="en-US" w:eastAsia="zh-CN" w:bidi="ar"/>
                    </w:rPr>
                    <w:t>工程为水利工程，</w:t>
                  </w:r>
                  <w:r>
                    <w:rPr>
                      <w:rFonts w:hint="default" w:ascii="Times New Roman" w:hAnsi="Times New Roman" w:eastAsia="宋体" w:cs="Times New Roman"/>
                      <w:spacing w:val="-4"/>
                      <w:kern w:val="2"/>
                      <w:sz w:val="21"/>
                      <w:szCs w:val="21"/>
                      <w:lang w:val="en-US" w:eastAsia="zh-CN" w:bidi="ar"/>
                    </w:rPr>
                    <w:t>符合环境保护相关法律法规和政</w:t>
                  </w:r>
                  <w:r>
                    <w:rPr>
                      <w:rFonts w:hint="default" w:ascii="Times New Roman" w:hAnsi="Times New Roman" w:eastAsia="宋体" w:cs="Times New Roman"/>
                      <w:spacing w:val="-6"/>
                      <w:kern w:val="2"/>
                      <w:sz w:val="21"/>
                      <w:szCs w:val="21"/>
                      <w:lang w:val="en-US" w:eastAsia="zh-CN" w:bidi="ar"/>
                    </w:rPr>
                    <w:t>策要求，</w:t>
                  </w:r>
                  <w:r>
                    <w:rPr>
                      <w:rFonts w:hint="default" w:ascii="Times New Roman" w:hAnsi="Times New Roman" w:eastAsia="宋体" w:cs="Times New Roman"/>
                      <w:spacing w:val="-5"/>
                      <w:kern w:val="2"/>
                      <w:sz w:val="21"/>
                      <w:szCs w:val="21"/>
                      <w:lang w:val="en-US" w:eastAsia="zh-CN" w:bidi="ar"/>
                    </w:rPr>
                    <w:t>与主体功能区规划、生态功能区划、水环境功能区划、水功能区划、生态环境保护规划相协调，本工程不涉</w:t>
                  </w:r>
                  <w:r>
                    <w:rPr>
                      <w:rFonts w:hint="default" w:ascii="Times New Roman" w:hAnsi="Times New Roman" w:eastAsia="宋体" w:cs="Times New Roman"/>
                      <w:spacing w:val="-2"/>
                      <w:kern w:val="2"/>
                      <w:sz w:val="21"/>
                      <w:szCs w:val="21"/>
                      <w:lang w:val="en-US" w:eastAsia="zh-CN" w:bidi="ar"/>
                    </w:rPr>
                    <w:t>及岸线调整</w:t>
                  </w:r>
                  <w:r>
                    <w:rPr>
                      <w:rFonts w:hint="default" w:ascii="Times New Roman" w:hAnsi="Times New Roman" w:eastAsia="宋体" w:cs="Times New Roman"/>
                      <w:kern w:val="2"/>
                      <w:sz w:val="21"/>
                      <w:szCs w:val="21"/>
                      <w:lang w:val="en-US" w:eastAsia="zh-CN" w:bidi="ar"/>
                    </w:rPr>
                    <w:t>（</w:t>
                  </w:r>
                  <w:r>
                    <w:rPr>
                      <w:rFonts w:hint="default" w:ascii="Times New Roman" w:hAnsi="Times New Roman" w:eastAsia="宋体" w:cs="Times New Roman"/>
                      <w:spacing w:val="-3"/>
                      <w:kern w:val="2"/>
                      <w:sz w:val="21"/>
                      <w:szCs w:val="21"/>
                      <w:lang w:val="en-US" w:eastAsia="zh-CN" w:bidi="ar"/>
                    </w:rPr>
                    <w:t>治导线变化）</w:t>
                  </w:r>
                  <w:r>
                    <w:rPr>
                      <w:rFonts w:hint="default" w:ascii="Times New Roman" w:hAnsi="Times New Roman" w:eastAsia="宋体" w:cs="Times New Roman"/>
                      <w:spacing w:val="-5"/>
                      <w:kern w:val="2"/>
                      <w:sz w:val="21"/>
                      <w:szCs w:val="21"/>
                      <w:lang w:val="en-US" w:eastAsia="zh-CN" w:bidi="ar"/>
                    </w:rPr>
                    <w:t>、截弯取直、围垦水面和占用河湖滩地等建设</w:t>
                  </w:r>
                  <w:r>
                    <w:rPr>
                      <w:rFonts w:hint="default" w:ascii="Times New Roman" w:hAnsi="Times New Roman" w:eastAsia="宋体" w:cs="Times New Roman"/>
                      <w:kern w:val="2"/>
                      <w:sz w:val="21"/>
                      <w:szCs w:val="21"/>
                      <w:lang w:val="en-US" w:eastAsia="zh-CN" w:bidi="ar"/>
                    </w:rPr>
                    <w:t>内容。</w:t>
                  </w:r>
                </w:p>
              </w:tc>
              <w:tc>
                <w:tcPr>
                  <w:tcW w:w="475" w:type="pct"/>
                  <w:tcBorders>
                    <w:tl2br w:val="nil"/>
                    <w:tr2bl w:val="nil"/>
                  </w:tcBorders>
                  <w:noWrap w:val="0"/>
                  <w:vAlign w:val="center"/>
                </w:tcPr>
                <w:p w14:paraId="759CADC6">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7DC16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54C153C0">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第三条  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985" w:type="pct"/>
                  <w:tcBorders>
                    <w:tl2br w:val="nil"/>
                    <w:tr2bl w:val="nil"/>
                  </w:tcBorders>
                  <w:noWrap w:val="0"/>
                  <w:vAlign w:val="center"/>
                </w:tcPr>
                <w:p w14:paraId="571DB34F">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本工程选址、施工布置不占用自然保护区、世界文化和自然遗产地以及其他生态保护红线等环境敏感区中法律法规禁止占用的区域。</w:t>
                  </w:r>
                </w:p>
              </w:tc>
              <w:tc>
                <w:tcPr>
                  <w:tcW w:w="475" w:type="pct"/>
                  <w:tcBorders>
                    <w:tl2br w:val="nil"/>
                    <w:tr2bl w:val="nil"/>
                  </w:tcBorders>
                  <w:noWrap w:val="0"/>
                  <w:vAlign w:val="center"/>
                </w:tcPr>
                <w:p w14:paraId="23DFE0AE">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0BBF8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5AD373E1">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第四条</w:t>
                  </w:r>
                  <w:r>
                    <w:rPr>
                      <w:rFonts w:hint="default" w:ascii="Times New Roman" w:hAnsi="Times New Roman" w:eastAsia="宋体" w:cs="Times New Roman"/>
                      <w:spacing w:val="-4"/>
                      <w:kern w:val="2"/>
                      <w:sz w:val="21"/>
                      <w:szCs w:val="21"/>
                      <w:lang w:val="en-US" w:eastAsia="zh-CN" w:bidi="ar"/>
                    </w:rPr>
                    <w:tab/>
                  </w:r>
                  <w:r>
                    <w:rPr>
                      <w:rFonts w:hint="default" w:ascii="Times New Roman" w:hAnsi="Times New Roman" w:eastAsia="宋体" w:cs="Times New Roman"/>
                      <w:spacing w:val="-4"/>
                      <w:kern w:val="2"/>
                      <w:sz w:val="21"/>
                      <w:szCs w:val="21"/>
                      <w:lang w:val="en-US" w:eastAsia="zh-CN" w:bidi="ar"/>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在采取上述措施后，对水环境的不利影响能够得到缓解和控制，居民用水安全能够得到保障，相关区域不会出现显著的土壤潜育化、沼泽化、盐碱化等次生环境问题。</w:t>
                  </w:r>
                </w:p>
              </w:tc>
              <w:tc>
                <w:tcPr>
                  <w:tcW w:w="1985" w:type="pct"/>
                  <w:tcBorders>
                    <w:tl2br w:val="nil"/>
                    <w:tr2bl w:val="nil"/>
                  </w:tcBorders>
                  <w:noWrap w:val="0"/>
                  <w:vAlign w:val="center"/>
                </w:tcPr>
                <w:p w14:paraId="23A486FC">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本工程为防洪除涝工程且属于新建工程，在正常时期对</w:t>
                  </w:r>
                  <w:r>
                    <w:rPr>
                      <w:rFonts w:hint="eastAsia" w:ascii="Times New Roman" w:hAnsi="Times New Roman" w:eastAsia="宋体" w:cs="Times New Roman"/>
                      <w:spacing w:val="-4"/>
                      <w:kern w:val="2"/>
                      <w:sz w:val="21"/>
                      <w:szCs w:val="21"/>
                      <w:lang w:val="en-US" w:eastAsia="zh-CN" w:bidi="ar"/>
                    </w:rPr>
                    <w:t>芒市大河</w:t>
                  </w:r>
                  <w:r>
                    <w:rPr>
                      <w:rFonts w:hint="default" w:ascii="Times New Roman" w:hAnsi="Times New Roman" w:eastAsia="宋体" w:cs="Times New Roman"/>
                      <w:spacing w:val="-4"/>
                      <w:kern w:val="2"/>
                      <w:sz w:val="21"/>
                      <w:szCs w:val="21"/>
                      <w:lang w:val="en-US" w:eastAsia="zh-CN" w:bidi="ar"/>
                    </w:rPr>
                    <w:t>的水动力条件或水文过程、水质不产生大的改变，对河流水域影响较小，本工程对地下水环境影响很小。</w:t>
                  </w:r>
                </w:p>
              </w:tc>
              <w:tc>
                <w:tcPr>
                  <w:tcW w:w="475" w:type="pct"/>
                  <w:tcBorders>
                    <w:tl2br w:val="nil"/>
                    <w:tr2bl w:val="nil"/>
                  </w:tcBorders>
                  <w:noWrap w:val="0"/>
                  <w:vAlign w:val="center"/>
                </w:tcPr>
                <w:p w14:paraId="7EE16653">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60B57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5C8258EF">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第五条</w:t>
                  </w:r>
                  <w:r>
                    <w:rPr>
                      <w:rFonts w:hint="default" w:ascii="Times New Roman" w:hAnsi="Times New Roman" w:eastAsia="宋体" w:cs="Times New Roman"/>
                      <w:spacing w:val="-4"/>
                      <w:kern w:val="2"/>
                      <w:sz w:val="21"/>
                      <w:szCs w:val="21"/>
                      <w:lang w:val="en-US" w:eastAsia="zh-CN" w:bidi="ar"/>
                    </w:rPr>
                    <w:tab/>
                  </w:r>
                  <w:r>
                    <w:rPr>
                      <w:rFonts w:hint="default" w:ascii="Times New Roman" w:hAnsi="Times New Roman" w:eastAsia="宋体" w:cs="Times New Roman"/>
                      <w:spacing w:val="-4"/>
                      <w:kern w:val="2"/>
                      <w:sz w:val="21"/>
                      <w:szCs w:val="21"/>
                      <w:lang w:val="en-US" w:eastAsia="zh-CN" w:bidi="ar"/>
                    </w:rPr>
                    <w:t>项目对鱼类等水生生物的洄游通道及“三场”等重要生境、物种多样性及资源量等产生不利影响的，提出了下泄生态流量、恢复鱼类洄游通道、采用生态友好型护岸（坡、底）、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985" w:type="pct"/>
                  <w:tcBorders>
                    <w:tl2br w:val="nil"/>
                    <w:tr2bl w:val="nil"/>
                  </w:tcBorders>
                  <w:noWrap w:val="0"/>
                  <w:vAlign w:val="center"/>
                </w:tcPr>
                <w:p w14:paraId="4F08C8C8">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本工程不涉及鱼类等水生生物的洄游通道等重要生境，本次评价范围内未发现较大规模产卵场、索饵场和越冬场。本工程为防洪治涝工程，对物种多样性及资源量等产生的影响轻微。</w:t>
                  </w:r>
                </w:p>
              </w:tc>
              <w:tc>
                <w:tcPr>
                  <w:tcW w:w="475" w:type="pct"/>
                  <w:tcBorders>
                    <w:tl2br w:val="nil"/>
                    <w:tr2bl w:val="nil"/>
                  </w:tcBorders>
                  <w:noWrap w:val="0"/>
                  <w:vAlign w:val="center"/>
                </w:tcPr>
                <w:p w14:paraId="754126F8">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67D79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tcBorders>
                    <w:tl2br w:val="nil"/>
                    <w:tr2bl w:val="nil"/>
                  </w:tcBorders>
                  <w:noWrap w:val="0"/>
                  <w:vAlign w:val="center"/>
                </w:tcPr>
                <w:p w14:paraId="3F5B2248">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第六条</w:t>
                  </w:r>
                  <w:r>
                    <w:rPr>
                      <w:rFonts w:hint="default" w:ascii="Times New Roman" w:hAnsi="Times New Roman" w:eastAsia="宋体" w:cs="Times New Roman"/>
                      <w:spacing w:val="-4"/>
                      <w:kern w:val="2"/>
                      <w:sz w:val="21"/>
                      <w:szCs w:val="21"/>
                      <w:lang w:val="en-US" w:eastAsia="zh-CN" w:bidi="ar"/>
                    </w:rPr>
                    <w:tab/>
                  </w:r>
                  <w:r>
                    <w:rPr>
                      <w:rFonts w:hint="default" w:ascii="Times New Roman" w:hAnsi="Times New Roman" w:eastAsia="宋体" w:cs="Times New Roman"/>
                      <w:spacing w:val="-4"/>
                      <w:kern w:val="2"/>
                      <w:sz w:val="21"/>
                      <w:szCs w:val="21"/>
                      <w:lang w:val="en-US" w:eastAsia="zh-CN" w:bidi="ar"/>
                    </w:rPr>
                    <w:t>项目对湿地生态系统结构和功能、河湖生态缓冲带造成不利影响的，提出了优化工程设计及调度运行方案、生态修复等措施。对珍稀濒危保护植物造成不利影响的，提出了避让、原位防 护、移栽等措施。对陆生珍稀濒危保护动物及其生境造成不利影响的，提出了避让、救护、迁徙廊道构建、生境再造等措施。对景观产生不利影响的，提出了避让、优化设计、景观塑造等措施。在采取上述措施后，对湿地以及陆生动植物的不利影响能够得到缓解和控制，与区域景观相协调，不会造成原有珍稀濒危保护动植物在相关区域消失，不会对陆生生态系统造成重大不利影响。</w:t>
                  </w:r>
                </w:p>
              </w:tc>
              <w:tc>
                <w:tcPr>
                  <w:tcW w:w="1985" w:type="pct"/>
                  <w:tcBorders>
                    <w:tl2br w:val="nil"/>
                    <w:tr2bl w:val="nil"/>
                  </w:tcBorders>
                  <w:noWrap w:val="0"/>
                  <w:vAlign w:val="center"/>
                </w:tcPr>
                <w:p w14:paraId="012E9F05">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本工程为防洪除涝工程，对河湖生态缓冲带不会造成不利影响，本工程不涉及湿地生态系统、珍稀濒危保护植物、陆生珍稀濒危保护动物。</w:t>
                  </w:r>
                </w:p>
              </w:tc>
              <w:tc>
                <w:tcPr>
                  <w:tcW w:w="475" w:type="pct"/>
                  <w:tcBorders>
                    <w:tl2br w:val="nil"/>
                    <w:tr2bl w:val="nil"/>
                  </w:tcBorders>
                  <w:noWrap w:val="0"/>
                  <w:vAlign w:val="center"/>
                </w:tcPr>
                <w:p w14:paraId="67270AE7">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52E08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2539" w:type="pct"/>
                  <w:tcBorders>
                    <w:tl2br w:val="nil"/>
                    <w:tr2bl w:val="nil"/>
                  </w:tcBorders>
                  <w:noWrap w:val="0"/>
                  <w:vAlign w:val="center"/>
                </w:tcPr>
                <w:p w14:paraId="27B93842">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第七条 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w:t>
                  </w:r>
                </w:p>
              </w:tc>
              <w:tc>
                <w:tcPr>
                  <w:tcW w:w="1985" w:type="pct"/>
                  <w:tcBorders>
                    <w:tl2br w:val="nil"/>
                    <w:tr2bl w:val="nil"/>
                  </w:tcBorders>
                  <w:noWrap w:val="0"/>
                  <w:vAlign w:val="center"/>
                </w:tcPr>
                <w:p w14:paraId="035B40D2">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本工程施工组织方案符合《</w:t>
                  </w:r>
                  <w:r>
                    <w:rPr>
                      <w:rFonts w:hint="default" w:ascii="Times New Roman" w:hAnsi="Times New Roman" w:eastAsia="宋体" w:cs="Times New Roman"/>
                      <w:kern w:val="2"/>
                      <w:sz w:val="21"/>
                      <w:szCs w:val="21"/>
                      <w:lang w:val="en-US" w:eastAsia="zh-CN" w:bidi="ar"/>
                    </w:rPr>
                    <w:t>云南省中小河流生态治理初步设计指导意见（修订稿）</w:t>
                  </w:r>
                  <w:r>
                    <w:rPr>
                      <w:rFonts w:hint="default" w:ascii="Times New Roman" w:hAnsi="Times New Roman" w:eastAsia="宋体" w:cs="Times New Roman"/>
                      <w:spacing w:val="-4"/>
                      <w:kern w:val="2"/>
                      <w:sz w:val="21"/>
                      <w:szCs w:val="21"/>
                      <w:lang w:val="en-US" w:eastAsia="zh-CN" w:bidi="ar"/>
                    </w:rPr>
                    <w:t>》的要求。对临时堆场提出了水土流失防治和生态修复等措施。项目施工期各类废（污）水、扬尘、废气、噪声、固体废物等提出了生态保护措施。</w:t>
                  </w:r>
                </w:p>
              </w:tc>
              <w:tc>
                <w:tcPr>
                  <w:tcW w:w="475" w:type="pct"/>
                  <w:tcBorders>
                    <w:tl2br w:val="nil"/>
                    <w:tr2bl w:val="nil"/>
                  </w:tcBorders>
                  <w:noWrap w:val="0"/>
                  <w:vAlign w:val="center"/>
                </w:tcPr>
                <w:p w14:paraId="3D9ECB45">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41700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2539" w:type="pct"/>
                  <w:tcBorders>
                    <w:tl2br w:val="nil"/>
                    <w:tr2bl w:val="nil"/>
                  </w:tcBorders>
                  <w:noWrap w:val="0"/>
                  <w:vAlign w:val="center"/>
                </w:tcPr>
                <w:p w14:paraId="60C70D80">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第八条 项目移民安置的选址和建设方式具有环境合理性，提出了生态保护、污水处理、固体废物处置等措施。针对蓄滞洪区的环境污染、新增占地涉及污染场地等，提出了环境管理对策建议。</w:t>
                  </w:r>
                </w:p>
              </w:tc>
              <w:tc>
                <w:tcPr>
                  <w:tcW w:w="1985" w:type="pct"/>
                  <w:tcBorders>
                    <w:tl2br w:val="nil"/>
                    <w:tr2bl w:val="nil"/>
                  </w:tcBorders>
                  <w:noWrap w:val="0"/>
                  <w:vAlign w:val="center"/>
                </w:tcPr>
                <w:p w14:paraId="1635BEEA">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kern w:val="2"/>
                      <w:sz w:val="21"/>
                      <w:szCs w:val="21"/>
                      <w:lang w:val="en-US" w:eastAsia="zh-CN" w:bidi="ar"/>
                    </w:rPr>
                    <w:t>本工程无新增永久占地，工程占地仅为临时占地，项目不涉及移民生产、生活的安置问题，</w:t>
                  </w:r>
                  <w:r>
                    <w:rPr>
                      <w:rFonts w:hint="default" w:ascii="Times New Roman" w:hAnsi="Times New Roman" w:eastAsia="宋体" w:cs="Times New Roman"/>
                      <w:spacing w:val="-4"/>
                      <w:kern w:val="2"/>
                      <w:sz w:val="21"/>
                      <w:szCs w:val="21"/>
                      <w:lang w:val="en-US" w:eastAsia="zh-CN" w:bidi="ar"/>
                    </w:rPr>
                    <w:t>不涉及移蓄滞洪区。</w:t>
                  </w:r>
                </w:p>
              </w:tc>
              <w:tc>
                <w:tcPr>
                  <w:tcW w:w="475" w:type="pct"/>
                  <w:tcBorders>
                    <w:tl2br w:val="nil"/>
                    <w:tr2bl w:val="nil"/>
                  </w:tcBorders>
                  <w:noWrap w:val="0"/>
                  <w:vAlign w:val="center"/>
                </w:tcPr>
                <w:p w14:paraId="1B874D8E">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1022F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539" w:type="pct"/>
                  <w:tcBorders>
                    <w:tl2br w:val="nil"/>
                    <w:tr2bl w:val="nil"/>
                  </w:tcBorders>
                  <w:noWrap w:val="0"/>
                  <w:vAlign w:val="center"/>
                </w:tcPr>
                <w:p w14:paraId="2EB78357">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第九条 项目存在河湖水质污染、富营养化或外来物种入侵等环境风险的，提出了针对性的风险防范措施以及环境应急预案编制、建立必要的应急联动机制等要求。</w:t>
                  </w:r>
                </w:p>
              </w:tc>
              <w:tc>
                <w:tcPr>
                  <w:tcW w:w="1985" w:type="pct"/>
                  <w:tcBorders>
                    <w:tl2br w:val="nil"/>
                    <w:tr2bl w:val="nil"/>
                  </w:tcBorders>
                  <w:noWrap w:val="0"/>
                  <w:vAlign w:val="center"/>
                </w:tcPr>
                <w:p w14:paraId="24C53A28">
                  <w:pPr>
                    <w:pStyle w:val="20"/>
                    <w:keepNext w:val="0"/>
                    <w:keepLines w:val="0"/>
                    <w:widowControl w:val="0"/>
                    <w:suppressLineNumbers w:val="0"/>
                    <w:spacing w:before="0" w:beforeAutospacing="0" w:after="0" w:afterAutospacing="0" w:line="240" w:lineRule="auto"/>
                    <w:ind w:left="0" w:leftChars="0" w:right="0" w:firstLine="404" w:firstLineChars="200"/>
                    <w:jc w:val="left"/>
                    <w:rPr>
                      <w:rFonts w:hint="default" w:ascii="Times New Roman" w:hAnsi="Times New Roman" w:eastAsia="宋体" w:cs="Times New Roman"/>
                      <w:spacing w:val="-4"/>
                      <w:kern w:val="0"/>
                      <w:sz w:val="21"/>
                      <w:szCs w:val="21"/>
                    </w:rPr>
                  </w:pPr>
                  <w:r>
                    <w:rPr>
                      <w:rFonts w:hint="default" w:ascii="Times New Roman" w:hAnsi="Times New Roman" w:eastAsia="宋体" w:cs="Times New Roman"/>
                      <w:spacing w:val="-4"/>
                      <w:kern w:val="0"/>
                      <w:sz w:val="21"/>
                      <w:szCs w:val="21"/>
                      <w:lang w:val="en-US" w:eastAsia="zh-CN" w:bidi="ar"/>
                    </w:rPr>
                    <w:t>本工程为防洪除涝工程，</w:t>
                  </w:r>
                  <w:r>
                    <w:rPr>
                      <w:rFonts w:hint="default" w:ascii="Times New Roman" w:hAnsi="Times New Roman" w:eastAsia="宋体" w:cs="Times New Roman"/>
                      <w:kern w:val="0"/>
                      <w:sz w:val="21"/>
                      <w:szCs w:val="21"/>
                      <w:lang w:val="en-US" w:eastAsia="zh-CN" w:bidi="ar"/>
                    </w:rPr>
                    <w:t>工程建设中涉及的植物恢复措施提出原则上禁止引入外来物种的要求。</w:t>
                  </w:r>
                </w:p>
              </w:tc>
              <w:tc>
                <w:tcPr>
                  <w:tcW w:w="475" w:type="pct"/>
                  <w:tcBorders>
                    <w:tl2br w:val="nil"/>
                    <w:tr2bl w:val="nil"/>
                  </w:tcBorders>
                  <w:noWrap w:val="0"/>
                  <w:vAlign w:val="center"/>
                </w:tcPr>
                <w:p w14:paraId="268A581B">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7E99A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9" w:type="pct"/>
                  <w:tcBorders>
                    <w:tl2br w:val="nil"/>
                    <w:tr2bl w:val="nil"/>
                  </w:tcBorders>
                  <w:noWrap w:val="0"/>
                  <w:vAlign w:val="center"/>
                </w:tcPr>
                <w:p w14:paraId="4A322802">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第十条 改、扩建项目在全面梳理了与项目有关的现有工程环境问题基础上，提出了与项目相适应 的“以新带老”措施。</w:t>
                  </w:r>
                </w:p>
              </w:tc>
              <w:tc>
                <w:tcPr>
                  <w:tcW w:w="1985" w:type="pct"/>
                  <w:tcBorders>
                    <w:tl2br w:val="nil"/>
                    <w:tr2bl w:val="nil"/>
                  </w:tcBorders>
                  <w:noWrap w:val="0"/>
                  <w:vAlign w:val="center"/>
                </w:tcPr>
                <w:p w14:paraId="545D6576">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本工程为新建工程。</w:t>
                  </w:r>
                </w:p>
              </w:tc>
              <w:tc>
                <w:tcPr>
                  <w:tcW w:w="475" w:type="pct"/>
                  <w:tcBorders>
                    <w:tl2br w:val="nil"/>
                    <w:tr2bl w:val="nil"/>
                  </w:tcBorders>
                  <w:noWrap w:val="0"/>
                  <w:vAlign w:val="center"/>
                </w:tcPr>
                <w:p w14:paraId="2D09E917">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16D55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39" w:type="pct"/>
                  <w:tcBorders>
                    <w:tl2br w:val="nil"/>
                    <w:tr2bl w:val="nil"/>
                  </w:tcBorders>
                  <w:noWrap w:val="0"/>
                  <w:vAlign w:val="center"/>
                </w:tcPr>
                <w:p w14:paraId="04F7ACC4">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第十一条 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985" w:type="pct"/>
                  <w:tcBorders>
                    <w:tl2br w:val="nil"/>
                    <w:tr2bl w:val="nil"/>
                  </w:tcBorders>
                  <w:noWrap w:val="0"/>
                  <w:vAlign w:val="center"/>
                </w:tcPr>
                <w:p w14:paraId="2F8736A7">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本评价按相关导则及规定要求，制定了水环境、生态等环境监测计划。</w:t>
                  </w:r>
                </w:p>
              </w:tc>
              <w:tc>
                <w:tcPr>
                  <w:tcW w:w="475" w:type="pct"/>
                  <w:tcBorders>
                    <w:tl2br w:val="nil"/>
                    <w:tr2bl w:val="nil"/>
                  </w:tcBorders>
                  <w:noWrap w:val="0"/>
                  <w:vAlign w:val="center"/>
                </w:tcPr>
                <w:p w14:paraId="3B9D72F7">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2440A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539" w:type="pct"/>
                  <w:tcBorders>
                    <w:tl2br w:val="nil"/>
                    <w:tr2bl w:val="nil"/>
                  </w:tcBorders>
                  <w:noWrap w:val="0"/>
                  <w:vAlign w:val="center"/>
                </w:tcPr>
                <w:p w14:paraId="67656461">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第十二条 对环境保护措施进行了深入论证， 建设单位主体责任、投资估算、时间节点、预期效果明确，确保科学有效、安全可行、绿色协调。</w:t>
                  </w:r>
                </w:p>
              </w:tc>
              <w:tc>
                <w:tcPr>
                  <w:tcW w:w="1985" w:type="pct"/>
                  <w:tcBorders>
                    <w:tl2br w:val="nil"/>
                    <w:tr2bl w:val="nil"/>
                  </w:tcBorders>
                  <w:noWrap w:val="0"/>
                  <w:vAlign w:val="center"/>
                </w:tcPr>
                <w:p w14:paraId="17F6F85E">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本评价对环境保护措施进行了深入论证，明确了建设单位主体责任、投资估算和时间节点。</w:t>
                  </w:r>
                </w:p>
              </w:tc>
              <w:tc>
                <w:tcPr>
                  <w:tcW w:w="475" w:type="pct"/>
                  <w:tcBorders>
                    <w:tl2br w:val="nil"/>
                    <w:tr2bl w:val="nil"/>
                  </w:tcBorders>
                  <w:noWrap w:val="0"/>
                  <w:vAlign w:val="center"/>
                </w:tcPr>
                <w:p w14:paraId="53BC3DB2">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5ED56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9" w:type="pct"/>
                  <w:tcBorders>
                    <w:tl2br w:val="nil"/>
                    <w:tr2bl w:val="nil"/>
                  </w:tcBorders>
                  <w:noWrap w:val="0"/>
                  <w:vAlign w:val="center"/>
                </w:tcPr>
                <w:p w14:paraId="583FC679">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第十三条 按相关规定开展了信息公开和公众参与。</w:t>
                  </w:r>
                </w:p>
              </w:tc>
              <w:tc>
                <w:tcPr>
                  <w:tcW w:w="1985" w:type="pct"/>
                  <w:tcBorders>
                    <w:tl2br w:val="nil"/>
                    <w:tr2bl w:val="nil"/>
                  </w:tcBorders>
                  <w:noWrap w:val="0"/>
                  <w:vAlign w:val="center"/>
                </w:tcPr>
                <w:p w14:paraId="24E61EDF">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eastAsia" w:ascii="Times New Roman" w:hAnsi="Times New Roman" w:eastAsia="宋体" w:cs="Times New Roman"/>
                      <w:spacing w:val="-4"/>
                      <w:kern w:val="2"/>
                      <w:sz w:val="21"/>
                      <w:szCs w:val="21"/>
                      <w:lang w:val="en-US" w:eastAsia="zh-CN" w:bidi="ar"/>
                    </w:rPr>
                    <w:t>本项目</w:t>
                  </w:r>
                  <w:r>
                    <w:rPr>
                      <w:rFonts w:hint="default" w:ascii="Times New Roman" w:hAnsi="Times New Roman" w:eastAsia="宋体" w:cs="Times New Roman"/>
                      <w:spacing w:val="-4"/>
                      <w:kern w:val="2"/>
                      <w:sz w:val="21"/>
                      <w:szCs w:val="21"/>
                      <w:lang w:val="en-US" w:eastAsia="zh-CN" w:bidi="ar"/>
                    </w:rPr>
                    <w:t>已按相关规定开展了信息公开。</w:t>
                  </w:r>
                </w:p>
              </w:tc>
              <w:tc>
                <w:tcPr>
                  <w:tcW w:w="475" w:type="pct"/>
                  <w:tcBorders>
                    <w:tl2br w:val="nil"/>
                    <w:tr2bl w:val="nil"/>
                  </w:tcBorders>
                  <w:noWrap w:val="0"/>
                  <w:vAlign w:val="center"/>
                </w:tcPr>
                <w:p w14:paraId="14D78C1E">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r w14:paraId="6F586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539" w:type="pct"/>
                  <w:tcBorders>
                    <w:tl2br w:val="nil"/>
                    <w:tr2bl w:val="nil"/>
                  </w:tcBorders>
                  <w:noWrap w:val="0"/>
                  <w:vAlign w:val="center"/>
                </w:tcPr>
                <w:p w14:paraId="6DBAD096">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default" w:ascii="Times New Roman" w:hAnsi="Times New Roman" w:eastAsia="宋体" w:cs="Times New Roman"/>
                      <w:spacing w:val="-4"/>
                      <w:kern w:val="2"/>
                      <w:sz w:val="21"/>
                      <w:szCs w:val="21"/>
                      <w:lang w:val="en-US" w:eastAsia="zh-CN" w:bidi="ar"/>
                    </w:rPr>
                    <w:t>第十四条环境影响评价文件编制规范，符合相关管理规定和环评技术标准要求。</w:t>
                  </w:r>
                </w:p>
              </w:tc>
              <w:tc>
                <w:tcPr>
                  <w:tcW w:w="1985" w:type="pct"/>
                  <w:tcBorders>
                    <w:tl2br w:val="nil"/>
                    <w:tr2bl w:val="nil"/>
                  </w:tcBorders>
                  <w:noWrap w:val="0"/>
                  <w:vAlign w:val="center"/>
                </w:tcPr>
                <w:p w14:paraId="4A51B578">
                  <w:pPr>
                    <w:pStyle w:val="20"/>
                    <w:keepNext w:val="0"/>
                    <w:keepLines w:val="0"/>
                    <w:widowControl w:val="0"/>
                    <w:suppressLineNumbers w:val="0"/>
                    <w:spacing w:before="1" w:beforeAutospacing="0" w:after="100" w:afterAutospacing="1" w:line="240" w:lineRule="auto"/>
                    <w:ind w:left="0" w:right="-15"/>
                    <w:jc w:val="both"/>
                    <w:rPr>
                      <w:rFonts w:hint="default" w:ascii="Times New Roman" w:hAnsi="Times New Roman" w:eastAsia="宋体" w:cs="Times New Roman"/>
                      <w:spacing w:val="-4"/>
                      <w:kern w:val="2"/>
                      <w:sz w:val="21"/>
                      <w:szCs w:val="21"/>
                    </w:rPr>
                  </w:pPr>
                  <w:r>
                    <w:rPr>
                      <w:rFonts w:hint="eastAsia" w:ascii="Times New Roman" w:hAnsi="Times New Roman" w:eastAsia="宋体" w:cs="Times New Roman"/>
                      <w:spacing w:val="-4"/>
                      <w:kern w:val="2"/>
                      <w:sz w:val="21"/>
                      <w:szCs w:val="21"/>
                      <w:lang w:val="en-US" w:eastAsia="zh-CN" w:bidi="ar"/>
                    </w:rPr>
                    <w:t>本项目</w:t>
                  </w:r>
                  <w:r>
                    <w:rPr>
                      <w:rFonts w:hint="default" w:ascii="Times New Roman" w:hAnsi="Times New Roman" w:eastAsia="宋体" w:cs="Times New Roman"/>
                      <w:spacing w:val="-4"/>
                      <w:kern w:val="2"/>
                      <w:sz w:val="21"/>
                      <w:szCs w:val="21"/>
                      <w:lang w:val="en-US" w:eastAsia="zh-CN" w:bidi="ar"/>
                    </w:rPr>
                    <w:t>环境影响评价文件按规范、相关管理规定和环评技术标准要求</w:t>
                  </w:r>
                  <w:r>
                    <w:rPr>
                      <w:rFonts w:hint="eastAsia" w:ascii="Times New Roman" w:hAnsi="Times New Roman" w:eastAsia="宋体" w:cs="Times New Roman"/>
                      <w:spacing w:val="-4"/>
                      <w:kern w:val="2"/>
                      <w:sz w:val="21"/>
                      <w:szCs w:val="21"/>
                      <w:lang w:val="en-US" w:eastAsia="zh-CN" w:bidi="ar"/>
                    </w:rPr>
                    <w:t>正在</w:t>
                  </w:r>
                  <w:r>
                    <w:rPr>
                      <w:rFonts w:hint="default" w:ascii="Times New Roman" w:hAnsi="Times New Roman" w:eastAsia="宋体" w:cs="Times New Roman"/>
                      <w:spacing w:val="-4"/>
                      <w:kern w:val="2"/>
                      <w:sz w:val="21"/>
                      <w:szCs w:val="21"/>
                      <w:lang w:val="en-US" w:eastAsia="zh-CN" w:bidi="ar"/>
                    </w:rPr>
                    <w:t>进行编制。</w:t>
                  </w:r>
                </w:p>
              </w:tc>
              <w:tc>
                <w:tcPr>
                  <w:tcW w:w="475" w:type="pct"/>
                  <w:tcBorders>
                    <w:tl2br w:val="nil"/>
                    <w:tr2bl w:val="nil"/>
                  </w:tcBorders>
                  <w:noWrap w:val="0"/>
                  <w:vAlign w:val="center"/>
                </w:tcPr>
                <w:p w14:paraId="46A3BA1E">
                  <w:pPr>
                    <w:keepNext w:val="0"/>
                    <w:keepLines w:val="0"/>
                    <w:widowControl w:val="0"/>
                    <w:suppressLineNumbers w:val="0"/>
                    <w:autoSpaceDE w:val="0"/>
                    <w:autoSpaceDN w:val="0"/>
                    <w:adjustRightInd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kern w:val="0"/>
                      <w:sz w:val="24"/>
                      <w:szCs w:val="24"/>
                    </w:rPr>
                  </w:pPr>
                  <w:r>
                    <w:rPr>
                      <w:rFonts w:hint="eastAsia" w:ascii="Times New Roman" w:hAnsi="Times New Roman" w:eastAsia="宋体" w:cs="Times New Roman"/>
                      <w:kern w:val="2"/>
                      <w:sz w:val="21"/>
                      <w:szCs w:val="21"/>
                      <w:lang w:val="en-US" w:eastAsia="zh-CN" w:bidi="ar"/>
                    </w:rPr>
                    <w:t>符合</w:t>
                  </w:r>
                </w:p>
              </w:tc>
            </w:tr>
          </w:tbl>
          <w:p w14:paraId="1D77730C">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eastAsia"/>
                <w:color w:val="auto"/>
                <w:lang w:eastAsia="zh-CN"/>
              </w:rPr>
            </w:pPr>
            <w:r>
              <w:rPr>
                <w:rFonts w:hint="default" w:ascii="Times New Roman" w:hAnsi="Times New Roman" w:eastAsia="宋体" w:cs="Times New Roman"/>
                <w:kern w:val="0"/>
                <w:sz w:val="24"/>
                <w:szCs w:val="24"/>
                <w:lang w:val="en-US" w:eastAsia="zh-CN" w:bidi="ar"/>
              </w:rPr>
              <w:t>综上所述，项目与</w:t>
            </w:r>
            <w:r>
              <w:rPr>
                <w:rFonts w:hint="default" w:ascii="Times New Roman" w:hAnsi="Times New Roman" w:eastAsia="宋体" w:cs="Times New Roman"/>
                <w:spacing w:val="-9"/>
                <w:kern w:val="2"/>
                <w:sz w:val="24"/>
                <w:szCs w:val="24"/>
                <w:lang w:val="en-US" w:eastAsia="zh-CN" w:bidi="ar"/>
              </w:rPr>
              <w:t>《水利建设项目</w:t>
            </w:r>
            <w:r>
              <w:rPr>
                <w:rFonts w:hint="default" w:ascii="Times New Roman" w:hAnsi="Times New Roman" w:eastAsia="宋体" w:cs="Times New Roman"/>
                <w:kern w:val="2"/>
                <w:sz w:val="24"/>
                <w:szCs w:val="24"/>
                <w:lang w:val="en-US" w:eastAsia="zh-CN" w:bidi="ar"/>
              </w:rPr>
              <w:t>（河湖整治与防洪除涝工程</w:t>
            </w:r>
            <w:r>
              <w:rPr>
                <w:rFonts w:hint="default" w:ascii="Times New Roman" w:hAnsi="Times New Roman" w:eastAsia="宋体" w:cs="Times New Roman"/>
                <w:spacing w:val="-32"/>
                <w:kern w:val="2"/>
                <w:sz w:val="24"/>
                <w:szCs w:val="24"/>
                <w:lang w:val="en-US" w:eastAsia="zh-CN" w:bidi="ar"/>
              </w:rPr>
              <w:t>）</w:t>
            </w:r>
            <w:r>
              <w:rPr>
                <w:rFonts w:hint="default" w:ascii="Times New Roman" w:hAnsi="Times New Roman" w:eastAsia="宋体" w:cs="Times New Roman"/>
                <w:spacing w:val="-2"/>
                <w:kern w:val="2"/>
                <w:sz w:val="24"/>
                <w:szCs w:val="24"/>
                <w:lang w:val="en-US" w:eastAsia="zh-CN" w:bidi="ar"/>
              </w:rPr>
              <w:t>环境影响评价文件审</w:t>
            </w:r>
            <w:r>
              <w:rPr>
                <w:rFonts w:hint="default" w:ascii="Times New Roman" w:hAnsi="Times New Roman" w:eastAsia="宋体" w:cs="Times New Roman"/>
                <w:kern w:val="2"/>
                <w:sz w:val="24"/>
                <w:szCs w:val="24"/>
                <w:lang w:val="en-US" w:eastAsia="zh-CN" w:bidi="ar"/>
              </w:rPr>
              <w:t>批原则（试行）》审批原则要求相符。</w:t>
            </w:r>
          </w:p>
          <w:p w14:paraId="4AB3EFC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auto"/>
                <w:sz w:val="24"/>
                <w:highlight w:val="none"/>
              </w:rPr>
            </w:pPr>
            <w:r>
              <w:rPr>
                <w:rFonts w:hint="eastAsia"/>
                <w:b/>
                <w:bCs/>
                <w:color w:val="auto"/>
                <w:lang w:val="en-US" w:eastAsia="zh-CN"/>
              </w:rPr>
              <w:t>10</w:t>
            </w:r>
            <w:r>
              <w:rPr>
                <w:rFonts w:hint="eastAsia"/>
                <w:b/>
                <w:bCs/>
                <w:color w:val="auto"/>
                <w:lang w:eastAsia="zh-CN"/>
              </w:rPr>
              <w:t>、</w:t>
            </w:r>
            <w:r>
              <w:rPr>
                <w:rFonts w:hint="default" w:ascii="Times New Roman" w:hAnsi="Times New Roman" w:eastAsia="宋体" w:cs="Times New Roman"/>
                <w:b/>
                <w:bCs/>
                <w:color w:val="auto"/>
                <w:sz w:val="24"/>
                <w:highlight w:val="none"/>
              </w:rPr>
              <w:t>与国家《防洪标准》（GB50201-2014）符合性分析</w:t>
            </w:r>
          </w:p>
          <w:p w14:paraId="51A6467D">
            <w:pPr>
              <w:pStyle w:val="37"/>
              <w:bidi w:val="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rPr>
              <w:t>依据国家《防洪标准》（GB50201-2014），</w:t>
            </w:r>
            <w:r>
              <w:rPr>
                <w:rFonts w:hint="default" w:ascii="Times New Roman" w:hAnsi="Times New Roman" w:eastAsia="宋体" w:cs="Times New Roman"/>
                <w:color w:val="auto"/>
                <w:sz w:val="24"/>
                <w:highlight w:val="none"/>
                <w:lang w:val="en-US" w:eastAsia="zh-CN"/>
              </w:rPr>
              <w:t>芒市大河新桥电站至洞坎大桥段河道治理工程主要以保护农田为主</w:t>
            </w:r>
            <w:r>
              <w:rPr>
                <w:rFonts w:hint="eastAsia" w:cs="Times New Roman"/>
                <w:color w:val="auto"/>
                <w:sz w:val="24"/>
                <w:highlight w:val="none"/>
                <w:lang w:val="en-US" w:eastAsia="zh-CN"/>
              </w:rPr>
              <w:t>，治理段河道长3.83km，治理河段设计防洪标准为10年一遇，保护人口0.6 万人，保护耕地0.4万亩</w:t>
            </w:r>
          </w:p>
          <w:p w14:paraId="3FAB88EF">
            <w:pPr>
              <w:pStyle w:val="37"/>
              <w:bidi w:val="0"/>
              <w:ind w:left="0" w:leftChars="0" w:firstLine="480" w:firstLineChars="200"/>
              <w:rPr>
                <w:rFonts w:hint="eastAsia" w:ascii="Times New Roman" w:hAnsi="Times New Roman" w:eastAsia="宋体" w:cs="Times New Roman"/>
                <w:color w:val="auto"/>
                <w:sz w:val="24"/>
                <w:highlight w:val="none"/>
                <w:lang w:eastAsia="zh-CN"/>
              </w:rPr>
            </w:pPr>
            <w:bookmarkStart w:id="8" w:name="bookmark43"/>
            <w:bookmarkEnd w:id="8"/>
            <w:r>
              <w:rPr>
                <w:rFonts w:hint="default" w:ascii="Times New Roman" w:hAnsi="Times New Roman" w:eastAsia="宋体" w:cs="Times New Roman"/>
                <w:color w:val="auto"/>
                <w:sz w:val="24"/>
                <w:highlight w:val="none"/>
              </w:rPr>
              <w:t>根据国家《防洪标准》（GB50201-2014）规定：城市防护区，重要性一般，常住人口＜20万，防护标准为50～20年；乡村防护区，保护人口＜20万，耕地面积＜30万亩，防护标准为20～10年，防护等级为Ⅳ级。</w:t>
            </w:r>
            <w:r>
              <w:rPr>
                <w:rFonts w:hint="eastAsia" w:cs="Times New Roman"/>
                <w:color w:val="auto"/>
                <w:sz w:val="24"/>
                <w:highlight w:val="none"/>
                <w:lang w:eastAsia="zh-CN"/>
              </w:rPr>
              <w:t>芒市大</w:t>
            </w:r>
            <w:r>
              <w:rPr>
                <w:rFonts w:hint="default" w:ascii="Times New Roman" w:hAnsi="Times New Roman" w:eastAsia="宋体" w:cs="Times New Roman"/>
                <w:color w:val="auto"/>
                <w:sz w:val="24"/>
                <w:highlight w:val="none"/>
              </w:rPr>
              <w:t>河治理河段防护区属乡村防护区，保护人口为</w:t>
            </w:r>
            <w:r>
              <w:rPr>
                <w:rFonts w:hint="eastAsia" w:cs="Times New Roman"/>
                <w:color w:val="auto"/>
                <w:sz w:val="24"/>
                <w:highlight w:val="none"/>
                <w:lang w:val="en-US" w:eastAsia="zh-CN"/>
              </w:rPr>
              <w:t>0.6</w:t>
            </w:r>
            <w:r>
              <w:rPr>
                <w:rFonts w:hint="default" w:ascii="Times New Roman" w:hAnsi="Times New Roman" w:eastAsia="宋体" w:cs="Times New Roman"/>
                <w:color w:val="auto"/>
                <w:sz w:val="24"/>
                <w:highlight w:val="none"/>
              </w:rPr>
              <w:t xml:space="preserve">万人，保护耕地面积 </w:t>
            </w:r>
            <w:r>
              <w:rPr>
                <w:rFonts w:hint="eastAsia" w:cs="Times New Roman"/>
                <w:color w:val="auto"/>
                <w:sz w:val="24"/>
                <w:highlight w:val="none"/>
                <w:lang w:val="en-US" w:eastAsia="zh-CN"/>
              </w:rPr>
              <w:t>0.4</w:t>
            </w:r>
            <w:r>
              <w:rPr>
                <w:rFonts w:hint="default" w:ascii="Times New Roman" w:hAnsi="Times New Roman" w:eastAsia="宋体" w:cs="Times New Roman"/>
                <w:color w:val="auto"/>
                <w:sz w:val="24"/>
                <w:highlight w:val="none"/>
              </w:rPr>
              <w:t>万亩，则工程防护区的防护等级为Ⅳ级，防洪标准为 20～10 年一遇，综合考虑</w:t>
            </w:r>
            <w:r>
              <w:rPr>
                <w:rFonts w:hint="eastAsia" w:cs="Times New Roman"/>
                <w:color w:val="auto"/>
                <w:sz w:val="24"/>
                <w:highlight w:val="none"/>
                <w:lang w:eastAsia="zh-CN"/>
              </w:rPr>
              <w:t>芒市大河</w:t>
            </w:r>
            <w:r>
              <w:rPr>
                <w:rFonts w:hint="default" w:ascii="Times New Roman" w:hAnsi="Times New Roman" w:eastAsia="宋体" w:cs="Times New Roman"/>
                <w:color w:val="auto"/>
                <w:sz w:val="24"/>
                <w:highlight w:val="none"/>
              </w:rPr>
              <w:t>沿岸涉及村镇的社会、经济、征占地等多方面因素，确定</w:t>
            </w:r>
            <w:r>
              <w:rPr>
                <w:rFonts w:hint="eastAsia" w:cs="Times New Roman"/>
                <w:color w:val="auto"/>
                <w:sz w:val="24"/>
                <w:highlight w:val="none"/>
                <w:lang w:eastAsia="zh-CN"/>
              </w:rPr>
              <w:t>芒市大河</w:t>
            </w:r>
            <w:r>
              <w:rPr>
                <w:rFonts w:hint="default" w:ascii="Times New Roman" w:hAnsi="Times New Roman" w:eastAsia="宋体" w:cs="Times New Roman"/>
                <w:color w:val="auto"/>
                <w:sz w:val="24"/>
                <w:highlight w:val="none"/>
              </w:rPr>
              <w:t>防洪标准为10年一遇（P= 10%），主要建筑物级别为5级</w:t>
            </w:r>
            <w:r>
              <w:rPr>
                <w:rFonts w:hint="eastAsia" w:cs="Times New Roman"/>
                <w:color w:val="auto"/>
                <w:sz w:val="24"/>
                <w:highlight w:val="none"/>
                <w:lang w:eastAsia="zh-CN"/>
              </w:rPr>
              <w:t>。</w:t>
            </w:r>
          </w:p>
          <w:p w14:paraId="6F9A0396">
            <w:pPr>
              <w:pStyle w:val="37"/>
              <w:bidi w:val="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故项目</w:t>
            </w:r>
            <w:r>
              <w:rPr>
                <w:rFonts w:hint="eastAsia" w:ascii="Times New Roman" w:hAnsi="Times New Roman" w:eastAsia="宋体" w:cs="Times New Roman"/>
                <w:color w:val="auto"/>
                <w:sz w:val="24"/>
                <w:highlight w:val="none"/>
                <w:lang w:val="en-US" w:eastAsia="zh-CN"/>
              </w:rPr>
              <w:t>建设符合</w:t>
            </w:r>
            <w:r>
              <w:rPr>
                <w:rFonts w:hint="default" w:ascii="Times New Roman" w:hAnsi="Times New Roman" w:eastAsia="宋体" w:cs="Times New Roman"/>
                <w:color w:val="auto"/>
                <w:sz w:val="24"/>
                <w:highlight w:val="none"/>
              </w:rPr>
              <w:t>国家《防洪标准》（GB50201-2014）</w:t>
            </w:r>
            <w:r>
              <w:rPr>
                <w:rFonts w:hint="eastAsia" w:ascii="Times New Roman" w:hAnsi="Times New Roman" w:eastAsia="宋体" w:cs="Times New Roman"/>
                <w:color w:val="auto"/>
                <w:sz w:val="24"/>
                <w:highlight w:val="none"/>
                <w:lang w:eastAsia="zh-CN"/>
              </w:rPr>
              <w:t>的要求。</w:t>
            </w:r>
          </w:p>
          <w:p w14:paraId="018D6CCE">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2" w:firstLineChars="200"/>
              <w:jc w:val="left"/>
              <w:textAlignment w:val="auto"/>
              <w:rPr>
                <w:rFonts w:hint="default" w:ascii="Times New Roman" w:hAnsi="Times New Roman" w:eastAsia="宋体" w:cs="Times New Roman"/>
                <w:b/>
                <w:color w:val="auto"/>
                <w:sz w:val="24"/>
                <w:highlight w:val="none"/>
              </w:rPr>
            </w:pPr>
            <w:r>
              <w:rPr>
                <w:rFonts w:hint="eastAsia"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color w:val="auto"/>
                <w:sz w:val="24"/>
                <w:highlight w:val="none"/>
              </w:rPr>
              <w:t>与云南省生物多样性保护战略与行动计划的相符性分析</w:t>
            </w:r>
          </w:p>
          <w:p w14:paraId="3FFB08EB">
            <w:pPr>
              <w:autoSpaceDE w:val="0"/>
              <w:autoSpaceDN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2013年2月5日云南省人民政府十二届第二次常务会议审议通过了《云南省生物多样性保护战略与行动计划（2012－2030年）》。该计划结合云南生态系统类型的典型性、特有程度、特殊生态功能以及物种的丰富程度、珍稀濒危程度、受威胁因子、经济用途、科学研究价值等因素，提出了全省生物多样性保护的6个一级优先区域和18个二级优先区域，涉及16个州、市101个县、市、区，总面积约9.5万平方千米，占云南国土面积的23.8%。并针对6个优先区域提出了9大保护优先领域和34项行动。具体的优先保护区如下表所示。</w:t>
            </w:r>
          </w:p>
          <w:p w14:paraId="51364269">
            <w:pPr>
              <w:autoSpaceDE w:val="0"/>
              <w:autoSpaceDN w:val="0"/>
              <w:spacing w:line="240" w:lineRule="auto"/>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表1-</w:t>
            </w:r>
            <w:r>
              <w:rPr>
                <w:rFonts w:hint="eastAsia" w:cs="Times New Roman"/>
                <w:b/>
                <w:color w:val="auto"/>
                <w:kern w:val="0"/>
                <w:sz w:val="24"/>
                <w:highlight w:val="none"/>
                <w:lang w:val="en-US" w:eastAsia="zh-CN"/>
              </w:rPr>
              <w:t>9</w:t>
            </w:r>
            <w:r>
              <w:rPr>
                <w:rFonts w:hint="default" w:ascii="Times New Roman" w:hAnsi="Times New Roman" w:eastAsia="宋体" w:cs="Times New Roman"/>
                <w:b/>
                <w:color w:val="auto"/>
                <w:kern w:val="0"/>
                <w:sz w:val="24"/>
                <w:highlight w:val="none"/>
              </w:rPr>
              <w:t xml:space="preserve">  云南省生物多样性优先保护区情况一览表</w:t>
            </w:r>
          </w:p>
          <w:tbl>
            <w:tblPr>
              <w:tblStyle w:val="23"/>
              <w:tblW w:w="494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2"/>
              <w:gridCol w:w="4245"/>
            </w:tblGrid>
            <w:tr w14:paraId="39AF7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235" w:type="pct"/>
                  <w:tcBorders>
                    <w:tl2br w:val="nil"/>
                    <w:tr2bl w:val="nil"/>
                  </w:tcBorders>
                  <w:noWrap w:val="0"/>
                  <w:vAlign w:val="center"/>
                </w:tcPr>
                <w:p w14:paraId="74E05094">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一级区划</w:t>
                  </w:r>
                </w:p>
              </w:tc>
              <w:tc>
                <w:tcPr>
                  <w:tcW w:w="2764" w:type="pct"/>
                  <w:tcBorders>
                    <w:tl2br w:val="nil"/>
                    <w:tr2bl w:val="nil"/>
                  </w:tcBorders>
                  <w:noWrap w:val="0"/>
                  <w:vAlign w:val="center"/>
                </w:tcPr>
                <w:p w14:paraId="3FA04E09">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二级区划</w:t>
                  </w:r>
                </w:p>
              </w:tc>
            </w:tr>
            <w:tr w14:paraId="3F5B3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235" w:type="pct"/>
                  <w:tcBorders>
                    <w:tl2br w:val="nil"/>
                    <w:tr2bl w:val="nil"/>
                  </w:tcBorders>
                  <w:noWrap w:val="0"/>
                  <w:vAlign w:val="center"/>
                </w:tcPr>
                <w:p w14:paraId="3EDA28E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1、滇西北高山峡谷针叶林区</w:t>
                  </w:r>
                </w:p>
              </w:tc>
              <w:tc>
                <w:tcPr>
                  <w:tcW w:w="2764" w:type="pct"/>
                  <w:tcBorders>
                    <w:tl2br w:val="nil"/>
                    <w:tr2bl w:val="nil"/>
                  </w:tcBorders>
                  <w:noWrap w:val="0"/>
                  <w:vAlign w:val="center"/>
                </w:tcPr>
                <w:p w14:paraId="58ABCD1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1.1高黎贡山北段温凉性针叶林区</w:t>
                  </w:r>
                </w:p>
                <w:p w14:paraId="784A1CE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1.2梅里雪山-碧罗雪山寒温性针叶林区</w:t>
                  </w:r>
                </w:p>
                <w:p w14:paraId="1E28DB2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1.3云岭山脉寒温性-暖温性针叶林区</w:t>
                  </w:r>
                </w:p>
                <w:p w14:paraId="1960856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1.4香格里拉山原寒温性针叶林区</w:t>
                  </w:r>
                </w:p>
              </w:tc>
            </w:tr>
            <w:tr w14:paraId="362EF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7" w:hRule="atLeast"/>
                <w:jc w:val="center"/>
              </w:trPr>
              <w:tc>
                <w:tcPr>
                  <w:tcW w:w="2235" w:type="pct"/>
                  <w:tcBorders>
                    <w:tl2br w:val="nil"/>
                    <w:tr2bl w:val="nil"/>
                  </w:tcBorders>
                  <w:noWrap w:val="0"/>
                  <w:vAlign w:val="center"/>
                </w:tcPr>
                <w:p w14:paraId="2183C64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2、云南南部边缘热带雨林区</w:t>
                  </w:r>
                </w:p>
              </w:tc>
              <w:tc>
                <w:tcPr>
                  <w:tcW w:w="2764" w:type="pct"/>
                  <w:tcBorders>
                    <w:tl2br w:val="nil"/>
                    <w:tr2bl w:val="nil"/>
                  </w:tcBorders>
                  <w:noWrap w:val="0"/>
                  <w:vAlign w:val="center"/>
                </w:tcPr>
                <w:p w14:paraId="6D50CE6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2.1高黎贡山南段中山湿性常绿阔叶林区</w:t>
                  </w:r>
                </w:p>
                <w:p w14:paraId="797570A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2.2铜壁关热带雨林区</w:t>
                  </w:r>
                </w:p>
                <w:p w14:paraId="0D5C4562">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2.3南汀河热带雨林区</w:t>
                  </w:r>
                </w:p>
                <w:p w14:paraId="6AACECF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2.4西双版纳热带雨林区</w:t>
                  </w:r>
                </w:p>
                <w:p w14:paraId="2E6AF07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2.5红河湿润雨林</w:t>
                  </w:r>
                </w:p>
              </w:tc>
            </w:tr>
            <w:tr w14:paraId="62190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235" w:type="pct"/>
                  <w:tcBorders>
                    <w:tl2br w:val="nil"/>
                    <w:tr2bl w:val="nil"/>
                  </w:tcBorders>
                  <w:noWrap w:val="0"/>
                  <w:vAlign w:val="center"/>
                </w:tcPr>
                <w:p w14:paraId="031A8B8D">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3、滇东南喀斯特东南季风阔叶林区</w:t>
                  </w:r>
                </w:p>
              </w:tc>
              <w:tc>
                <w:tcPr>
                  <w:tcW w:w="2764" w:type="pct"/>
                  <w:tcBorders>
                    <w:tl2br w:val="nil"/>
                    <w:tr2bl w:val="nil"/>
                  </w:tcBorders>
                  <w:noWrap w:val="0"/>
                  <w:vAlign w:val="center"/>
                </w:tcPr>
                <w:p w14:paraId="2F15FFF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3滇东南喀斯东南季风阔叶林区域</w:t>
                  </w:r>
                </w:p>
              </w:tc>
            </w:tr>
            <w:tr w14:paraId="14230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35" w:type="pct"/>
                  <w:tcBorders>
                    <w:tl2br w:val="nil"/>
                    <w:tr2bl w:val="nil"/>
                  </w:tcBorders>
                  <w:noWrap w:val="0"/>
                  <w:vAlign w:val="center"/>
                </w:tcPr>
                <w:p w14:paraId="0743C4F3">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4、滇东北乌蒙山湿润常绿阔叶林区</w:t>
                  </w:r>
                </w:p>
              </w:tc>
              <w:tc>
                <w:tcPr>
                  <w:tcW w:w="2764" w:type="pct"/>
                  <w:tcBorders>
                    <w:tl2br w:val="nil"/>
                    <w:tr2bl w:val="nil"/>
                  </w:tcBorders>
                  <w:noWrap w:val="0"/>
                  <w:vAlign w:val="center"/>
                </w:tcPr>
                <w:p w14:paraId="02019DAE">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4.1乌蒙山湿润常绿阔叶林区</w:t>
                  </w:r>
                </w:p>
                <w:p w14:paraId="1F27D001">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4.2金沙江下游干热河谷区</w:t>
                  </w:r>
                </w:p>
              </w:tc>
            </w:tr>
            <w:tr w14:paraId="7FE49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235" w:type="pct"/>
                  <w:tcBorders>
                    <w:tl2br w:val="nil"/>
                    <w:tr2bl w:val="nil"/>
                  </w:tcBorders>
                  <w:noWrap w:val="0"/>
                  <w:vAlign w:val="center"/>
                </w:tcPr>
                <w:p w14:paraId="69BBB13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5、澜沧江中游</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哀牢山中山湿性常绿阔叶林区</w:t>
                  </w:r>
                </w:p>
              </w:tc>
              <w:tc>
                <w:tcPr>
                  <w:tcW w:w="2764" w:type="pct"/>
                  <w:tcBorders>
                    <w:tl2br w:val="nil"/>
                    <w:tr2bl w:val="nil"/>
                  </w:tcBorders>
                  <w:noWrap w:val="0"/>
                  <w:vAlign w:val="center"/>
                </w:tcPr>
                <w:p w14:paraId="18273B9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5.1澜沧江中山宽谷常绿阔叶林区</w:t>
                  </w:r>
                </w:p>
                <w:p w14:paraId="54BFE207">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5.2无量山中山湿性常绿阔叶林区</w:t>
                  </w:r>
                </w:p>
                <w:p w14:paraId="251A5DAA">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5.3哀牢山中山湿性常绿阔叶林区</w:t>
                  </w:r>
                </w:p>
              </w:tc>
            </w:tr>
            <w:tr w14:paraId="028A7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2235" w:type="pct"/>
                  <w:tcBorders>
                    <w:tl2br w:val="nil"/>
                    <w:tr2bl w:val="nil"/>
                  </w:tcBorders>
                  <w:noWrap w:val="0"/>
                  <w:vAlign w:val="center"/>
                </w:tcPr>
                <w:p w14:paraId="6644FFDB">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6、云南高原湿地区</w:t>
                  </w:r>
                </w:p>
              </w:tc>
              <w:tc>
                <w:tcPr>
                  <w:tcW w:w="2764" w:type="pct"/>
                  <w:tcBorders>
                    <w:tl2br w:val="nil"/>
                    <w:tr2bl w:val="nil"/>
                  </w:tcBorders>
                  <w:noWrap w:val="0"/>
                  <w:vAlign w:val="center"/>
                </w:tcPr>
                <w:p w14:paraId="1FDD1BF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6.1滇中高原湖泊区</w:t>
                  </w:r>
                </w:p>
                <w:p w14:paraId="0A3D6210">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6.2滇西北高原湖泊区</w:t>
                  </w:r>
                </w:p>
                <w:p w14:paraId="102FE35C">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6.3滇东北高山沼泽化草甸区</w:t>
                  </w:r>
                </w:p>
              </w:tc>
            </w:tr>
          </w:tbl>
          <w:p w14:paraId="7C62EAF1">
            <w:pPr>
              <w:autoSpaceDE w:val="0"/>
              <w:autoSpaceDN w:val="0"/>
              <w:spacing w:line="360" w:lineRule="auto"/>
              <w:ind w:left="0" w:leftChars="0" w:firstLine="0" w:firstLineChars="0"/>
              <w:jc w:val="left"/>
            </w:pPr>
          </w:p>
          <w:p w14:paraId="782EFDD1">
            <w:pPr>
              <w:autoSpaceDE w:val="0"/>
              <w:autoSpaceDN w:val="0"/>
              <w:spacing w:line="360" w:lineRule="auto"/>
              <w:ind w:left="0" w:leftChars="0" w:firstLine="0" w:firstLineChars="0"/>
              <w:jc w:val="left"/>
              <w:rPr>
                <w:rFonts w:hint="default" w:ascii="Times New Roman" w:hAnsi="Times New Roman" w:eastAsia="宋体" w:cs="Times New Roman"/>
                <w:b/>
                <w:color w:val="auto"/>
                <w:kern w:val="0"/>
                <w:sz w:val="24"/>
                <w:highlight w:val="none"/>
              </w:rPr>
            </w:pPr>
            <w:r>
              <w:drawing>
                <wp:inline distT="0" distB="0" distL="114300" distR="114300">
                  <wp:extent cx="4953000" cy="3191510"/>
                  <wp:effectExtent l="0" t="0" r="0" b="889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
                          <a:srcRect t="8949"/>
                          <a:stretch>
                            <a:fillRect/>
                          </a:stretch>
                        </pic:blipFill>
                        <pic:spPr>
                          <a:xfrm>
                            <a:off x="0" y="0"/>
                            <a:ext cx="4953000" cy="3191510"/>
                          </a:xfrm>
                          <a:prstGeom prst="rect">
                            <a:avLst/>
                          </a:prstGeom>
                          <a:noFill/>
                          <a:ln>
                            <a:noFill/>
                          </a:ln>
                        </pic:spPr>
                      </pic:pic>
                    </a:graphicData>
                  </a:graphic>
                </wp:inline>
              </w:drawing>
            </w:r>
            <w:r>
              <w:rPr>
                <w:sz w:val="24"/>
              </w:rPr>
              <mc:AlternateContent>
                <mc:Choice Requires="wps">
                  <w:drawing>
                    <wp:anchor distT="0" distB="0" distL="114300" distR="114300" simplePos="0" relativeHeight="251661312" behindDoc="0" locked="0" layoutInCell="1" allowOverlap="1">
                      <wp:simplePos x="0" y="0"/>
                      <wp:positionH relativeFrom="column">
                        <wp:posOffset>1183640</wp:posOffset>
                      </wp:positionH>
                      <wp:positionV relativeFrom="paragraph">
                        <wp:posOffset>351790</wp:posOffset>
                      </wp:positionV>
                      <wp:extent cx="923925" cy="287655"/>
                      <wp:effectExtent l="458470" t="6350" r="19685" b="1260475"/>
                      <wp:wrapNone/>
                      <wp:docPr id="31" name="矩形标注 31"/>
                      <wp:cNvGraphicFramePr/>
                      <a:graphic xmlns:a="http://schemas.openxmlformats.org/drawingml/2006/main">
                        <a:graphicData uri="http://schemas.microsoft.com/office/word/2010/wordprocessingShape">
                          <wps:wsp>
                            <wps:cNvSpPr/>
                            <wps:spPr>
                              <a:xfrm>
                                <a:off x="2275205" y="5926455"/>
                                <a:ext cx="923925" cy="287655"/>
                              </a:xfrm>
                              <a:prstGeom prst="wedgeRectCallout">
                                <a:avLst>
                                  <a:gd name="adj1" fmla="val -96597"/>
                                  <a:gd name="adj2" fmla="val 469205"/>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1D8FD2E7">
                                  <w:pPr>
                                    <w:spacing w:line="240" w:lineRule="auto"/>
                                    <w:ind w:left="0" w:leftChars="0" w:firstLine="0" w:firstLineChars="0"/>
                                    <w:jc w:val="left"/>
                                    <w:rPr>
                                      <w:rFonts w:hint="eastAsia" w:eastAsia="宋体"/>
                                      <w:lang w:eastAsia="zh-CN"/>
                                    </w:rPr>
                                  </w:pPr>
                                  <w:r>
                                    <w:rPr>
                                      <w:rFonts w:hint="eastAsia"/>
                                      <w:sz w:val="21"/>
                                      <w:szCs w:val="21"/>
                                      <w:lang w:eastAsia="zh-CN"/>
                                    </w:rPr>
                                    <w:t>本项</w:t>
                                  </w:r>
                                  <w:r>
                                    <w:rPr>
                                      <w:rFonts w:hint="eastAsia"/>
                                      <w:lang w:eastAsia="zh-CN"/>
                                    </w:rPr>
                                    <w:t>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3.2pt;margin-top:27.7pt;height:22.65pt;width:72.75pt;z-index:251661312;v-text-anchor:middle;mso-width-relative:page;mso-height-relative:page;" filled="f" stroked="t" coordsize="21600,21600" o:gfxdata="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1C+tB2QAA&#10;AAoBAAAPAAAAAAAAAAEAIAAAACIAAABkcnMvZG93bnJldi54bWxQSwECFAAUAAAACACHTuJAWwyW&#10;ycgCAABqBQAADgAAAAAAAAABACAAAAAoAQAAZHJzL2Uyb0RvYy54bWxQSwUGAAAAAAYABgBZAQAA&#10;YgYAAAAA&#10;" adj="-10065,112148">
                      <v:fill on="f" focussize="0,0"/>
                      <v:stroke weight="1pt" color="#2E75B6 [2404]" miterlimit="8" joinstyle="miter"/>
                      <v:imagedata o:title=""/>
                      <o:lock v:ext="edit" aspectratio="f"/>
                      <v:textbox>
                        <w:txbxContent>
                          <w:p w14:paraId="1D8FD2E7">
                            <w:pPr>
                              <w:spacing w:line="240" w:lineRule="auto"/>
                              <w:ind w:left="0" w:leftChars="0" w:firstLine="0" w:firstLineChars="0"/>
                              <w:jc w:val="left"/>
                              <w:rPr>
                                <w:rFonts w:hint="eastAsia" w:eastAsia="宋体"/>
                                <w:lang w:eastAsia="zh-CN"/>
                              </w:rPr>
                            </w:pPr>
                            <w:r>
                              <w:rPr>
                                <w:rFonts w:hint="eastAsia"/>
                                <w:sz w:val="21"/>
                                <w:szCs w:val="21"/>
                                <w:lang w:eastAsia="zh-CN"/>
                              </w:rPr>
                              <w:t>本项</w:t>
                            </w:r>
                            <w:r>
                              <w:rPr>
                                <w:rFonts w:hint="eastAsia"/>
                                <w:lang w:eastAsia="zh-CN"/>
                              </w:rPr>
                              <w:t>目位置</w:t>
                            </w:r>
                          </w:p>
                        </w:txbxContent>
                      </v:textbox>
                    </v:shape>
                  </w:pict>
                </mc:Fallback>
              </mc:AlternateContent>
            </w:r>
          </w:p>
          <w:p w14:paraId="1A410DB5">
            <w:pPr>
              <w:autoSpaceDE w:val="0"/>
              <w:autoSpaceDN w:val="0"/>
              <w:spacing w:line="240" w:lineRule="auto"/>
              <w:ind w:left="0" w:leftChars="0" w:firstLine="0" w:firstLineChars="0"/>
              <w:jc w:val="center"/>
              <w:rPr>
                <w:rFonts w:hint="default" w:ascii="Times New Roman" w:hAnsi="Times New Roman" w:eastAsia="宋体" w:cs="Times New Roman"/>
                <w:b/>
                <w:color w:val="auto"/>
                <w:kern w:val="0"/>
                <w:sz w:val="24"/>
                <w:highlight w:val="none"/>
                <w:lang w:val="en-US" w:eastAsia="zh-CN"/>
              </w:rPr>
            </w:pPr>
            <w:r>
              <w:rPr>
                <w:rFonts w:hint="eastAsia" w:ascii="Times New Roman" w:hAnsi="Times New Roman" w:cs="Times New Roman"/>
                <w:b/>
                <w:color w:val="auto"/>
                <w:kern w:val="0"/>
                <w:sz w:val="24"/>
                <w:highlight w:val="none"/>
                <w:lang w:eastAsia="zh-CN"/>
              </w:rPr>
              <w:t>图</w:t>
            </w:r>
            <w:r>
              <w:rPr>
                <w:rFonts w:hint="eastAsia" w:ascii="Times New Roman" w:hAnsi="Times New Roman" w:cs="Times New Roman"/>
                <w:b/>
                <w:color w:val="auto"/>
                <w:kern w:val="0"/>
                <w:sz w:val="24"/>
                <w:highlight w:val="none"/>
                <w:lang w:val="en-US" w:eastAsia="zh-CN"/>
              </w:rPr>
              <w:t>1-1 项目与云南省生物多样性优先保护单元的位置关系图</w:t>
            </w:r>
          </w:p>
          <w:p w14:paraId="333E7A84">
            <w:pPr>
              <w:autoSpaceDE w:val="0"/>
              <w:autoSpaceDN w:val="0"/>
              <w:spacing w:line="360" w:lineRule="auto"/>
              <w:ind w:firstLine="482" w:firstLineChars="200"/>
              <w:jc w:val="left"/>
              <w:rPr>
                <w:rFonts w:hint="default" w:ascii="Times New Roman" w:hAnsi="Times New Roman" w:eastAsia="宋体" w:cs="Times New Roman"/>
                <w:color w:val="auto"/>
                <w:kern w:val="0"/>
                <w:sz w:val="24"/>
                <w:highlight w:val="yellow"/>
              </w:rPr>
            </w:pPr>
            <w:r>
              <w:rPr>
                <w:rFonts w:hint="default" w:ascii="Times New Roman" w:hAnsi="Times New Roman" w:eastAsia="宋体" w:cs="Times New Roman"/>
                <w:b/>
                <w:color w:val="auto"/>
                <w:kern w:val="0"/>
                <w:sz w:val="24"/>
                <w:highlight w:val="none"/>
              </w:rPr>
              <w:t>符合性分析</w:t>
            </w:r>
            <w:r>
              <w:rPr>
                <w:rFonts w:hint="eastAsia" w:ascii="Times New Roman" w:hAnsi="Times New Roman" w:cs="Times New Roman"/>
                <w:b/>
                <w:color w:val="auto"/>
                <w:kern w:val="0"/>
                <w:sz w:val="24"/>
                <w:highlight w:val="none"/>
                <w:lang w:eastAsia="zh-CN"/>
              </w:rPr>
              <w:t>：</w:t>
            </w:r>
            <w:r>
              <w:rPr>
                <w:rFonts w:hint="eastAsia" w:ascii="Times New Roman" w:hAnsi="Times New Roman" w:cs="Times New Roman"/>
                <w:b w:val="0"/>
                <w:bCs/>
                <w:color w:val="auto"/>
                <w:kern w:val="0"/>
                <w:sz w:val="24"/>
                <w:highlight w:val="none"/>
                <w:lang w:eastAsia="zh-CN"/>
              </w:rPr>
              <w:t>根据图</w:t>
            </w:r>
            <w:r>
              <w:rPr>
                <w:rFonts w:hint="eastAsia" w:ascii="Times New Roman" w:hAnsi="Times New Roman" w:cs="Times New Roman"/>
                <w:b w:val="0"/>
                <w:bCs/>
                <w:color w:val="auto"/>
                <w:kern w:val="0"/>
                <w:sz w:val="24"/>
                <w:highlight w:val="none"/>
                <w:lang w:val="en-US" w:eastAsia="zh-CN"/>
              </w:rPr>
              <w:t>1-1可知，</w:t>
            </w:r>
            <w:r>
              <w:rPr>
                <w:rFonts w:hint="default" w:ascii="Times New Roman" w:hAnsi="Times New Roman" w:eastAsia="宋体" w:cs="Times New Roman"/>
                <w:b w:val="0"/>
                <w:bCs/>
                <w:color w:val="auto"/>
                <w:kern w:val="0"/>
                <w:sz w:val="24"/>
                <w:highlight w:val="none"/>
              </w:rPr>
              <w:t>本项</w:t>
            </w:r>
            <w:r>
              <w:rPr>
                <w:rFonts w:hint="default" w:ascii="Times New Roman" w:hAnsi="Times New Roman" w:eastAsia="宋体" w:cs="Times New Roman"/>
                <w:color w:val="auto"/>
                <w:kern w:val="0"/>
                <w:sz w:val="24"/>
                <w:highlight w:val="none"/>
              </w:rPr>
              <w:t>目所在地不属于《云南省生物多样性保护战略与行动计划（2012－2030年）》划定的生物多样性保护的6个一级优先区域（18个二级优先区域），项目的建设符合《云南省生物多样性保护战略与行动计划（2012－2030年）》。</w:t>
            </w:r>
          </w:p>
          <w:p w14:paraId="21D3C58A">
            <w:pPr>
              <w:autoSpaceDE w:val="0"/>
              <w:autoSpaceDN w:val="0"/>
              <w:spacing w:line="360" w:lineRule="auto"/>
              <w:ind w:left="0" w:leftChars="0" w:firstLine="482" w:firstLineChars="200"/>
              <w:rPr>
                <w:rFonts w:ascii="Times New Roman" w:hAnsi="Times New Roman" w:eastAsia="宋体" w:cs="Times New Roman"/>
                <w:b/>
                <w:bCs/>
                <w:color w:val="000000"/>
                <w:kern w:val="0"/>
                <w:sz w:val="24"/>
                <w:highlight w:val="none"/>
              </w:rPr>
            </w:pPr>
            <w:r>
              <w:rPr>
                <w:rFonts w:hint="eastAsia" w:ascii="Times New Roman" w:hAnsi="Times New Roman" w:cs="Times New Roman"/>
                <w:b/>
                <w:bCs/>
                <w:color w:val="000000"/>
                <w:sz w:val="24"/>
                <w:highlight w:val="none"/>
                <w:lang w:val="en-US" w:eastAsia="zh-CN"/>
              </w:rPr>
              <w:t>12、</w:t>
            </w:r>
            <w:r>
              <w:rPr>
                <w:rFonts w:ascii="Times New Roman" w:hAnsi="Times New Roman" w:eastAsia="宋体" w:cs="Times New Roman"/>
                <w:b/>
                <w:bCs/>
                <w:color w:val="000000"/>
                <w:sz w:val="24"/>
                <w:highlight w:val="none"/>
              </w:rPr>
              <w:t>与《云南省生物多样性保护条例》符合性分析</w:t>
            </w:r>
          </w:p>
          <w:p w14:paraId="4791B76A">
            <w:pPr>
              <w:autoSpaceDE w:val="0"/>
              <w:autoSpaceDN w:val="0"/>
              <w:spacing w:line="360" w:lineRule="auto"/>
              <w:rPr>
                <w:rFonts w:ascii="Times New Roman" w:hAnsi="Times New Roman" w:eastAsia="宋体" w:cs="Times New Roman"/>
                <w:b/>
                <w:bCs/>
                <w:color w:val="000000"/>
                <w:sz w:val="24"/>
                <w:highlight w:val="none"/>
              </w:rPr>
            </w:pPr>
            <w:r>
              <w:rPr>
                <w:rFonts w:ascii="Times New Roman" w:hAnsi="Times New Roman" w:eastAsia="宋体" w:cs="Times New Roman"/>
                <w:b/>
                <w:bCs/>
                <w:color w:val="000000"/>
                <w:sz w:val="24"/>
                <w:highlight w:val="none"/>
              </w:rPr>
              <w:t>（</w:t>
            </w:r>
            <w:r>
              <w:rPr>
                <w:rFonts w:ascii="Times New Roman" w:hAnsi="Times New Roman" w:eastAsia="TimesNewRomanPSMT" w:cs="Times New Roman"/>
                <w:b/>
                <w:bCs/>
                <w:color w:val="000000"/>
                <w:sz w:val="24"/>
                <w:highlight w:val="none"/>
              </w:rPr>
              <w:t>1</w:t>
            </w:r>
            <w:r>
              <w:rPr>
                <w:rFonts w:ascii="Times New Roman" w:hAnsi="Times New Roman" w:eastAsia="宋体" w:cs="Times New Roman"/>
                <w:b/>
                <w:bCs/>
                <w:color w:val="000000"/>
                <w:sz w:val="24"/>
                <w:highlight w:val="none"/>
              </w:rPr>
              <w:t>）《云南省生物多样性保护条例》基本情况</w:t>
            </w:r>
          </w:p>
          <w:p w14:paraId="1F695E11">
            <w:pPr>
              <w:spacing w:line="360" w:lineRule="auto"/>
              <w:ind w:firstLine="480" w:firstLineChars="200"/>
              <w:jc w:val="lef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《云南省生物多样性保护条例》旨在保护生物多样性，保障生态安全，由云南省第十三届人大常务委员会第五次会议于2018年9月21日审议通过并公布，共七章四十条，自2019年1月1日起施行。</w:t>
            </w:r>
          </w:p>
          <w:p w14:paraId="62CA2EF8">
            <w:pPr>
              <w:spacing w:line="360" w:lineRule="auto"/>
              <w:ind w:firstLine="480" w:firstLineChars="200"/>
              <w:jc w:val="left"/>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其中，《云南省生物多样性保护条例》第二十九条规定：“新建、改建、扩建建设项目以及开发自然资源，应当依法开展环境影响评价。对可能造成重要生态系统破坏、损害重要物种及其栖息地和生境的，应当制定专项保护、恢复和补偿方案，纳入环境影响评价。</w:t>
            </w:r>
          </w:p>
          <w:p w14:paraId="6E9AD171">
            <w:pPr>
              <w:spacing w:line="360" w:lineRule="auto"/>
              <w:ind w:firstLine="480" w:firstLineChars="200"/>
              <w:jc w:val="left"/>
              <w:rPr>
                <w:rFonts w:ascii="Times New Roman" w:hAnsi="Times New Roman" w:eastAsia="宋体" w:cs="Times New Roman"/>
                <w:b/>
                <w:bCs/>
                <w:color w:val="000000"/>
                <w:sz w:val="24"/>
                <w:highlight w:val="none"/>
              </w:rPr>
            </w:pPr>
            <w:r>
              <w:rPr>
                <w:rFonts w:ascii="Times New Roman" w:hAnsi="Times New Roman" w:eastAsia="宋体" w:cs="Times New Roman"/>
                <w:color w:val="000000"/>
                <w:sz w:val="24"/>
                <w:highlight w:val="none"/>
              </w:rPr>
              <w:t>在生物多样性保护优先区域的建设项目以及自然资源开发，应当评价对生物多样性的影响，并作为环境影响评价的重要组成部分。”</w:t>
            </w:r>
          </w:p>
          <w:p w14:paraId="681A511A">
            <w:pPr>
              <w:autoSpaceDE w:val="0"/>
              <w:autoSpaceDN w:val="0"/>
              <w:spacing w:line="360" w:lineRule="auto"/>
              <w:rPr>
                <w:rFonts w:ascii="Times New Roman" w:hAnsi="Times New Roman" w:cs="Times New Roman"/>
                <w:b/>
                <w:bCs/>
                <w:color w:val="000000"/>
                <w:kern w:val="0"/>
                <w:sz w:val="24"/>
                <w:highlight w:val="none"/>
              </w:rPr>
            </w:pPr>
            <w:r>
              <w:rPr>
                <w:rFonts w:ascii="Times New Roman" w:hAnsi="Times New Roman" w:eastAsia="宋体" w:cs="Times New Roman"/>
                <w:b/>
                <w:bCs/>
                <w:color w:val="000000"/>
                <w:sz w:val="24"/>
                <w:highlight w:val="none"/>
              </w:rPr>
              <w:t>（</w:t>
            </w:r>
            <w:r>
              <w:rPr>
                <w:rFonts w:ascii="Times New Roman" w:hAnsi="Times New Roman" w:eastAsia="TimesNewRomanPSMT" w:cs="Times New Roman"/>
                <w:b/>
                <w:bCs/>
                <w:color w:val="000000"/>
                <w:sz w:val="24"/>
                <w:highlight w:val="none"/>
              </w:rPr>
              <w:t>2</w:t>
            </w:r>
            <w:r>
              <w:rPr>
                <w:rFonts w:ascii="Times New Roman" w:hAnsi="Times New Roman" w:eastAsia="宋体" w:cs="Times New Roman"/>
                <w:b/>
                <w:bCs/>
                <w:color w:val="000000"/>
                <w:sz w:val="24"/>
                <w:highlight w:val="none"/>
              </w:rPr>
              <w:t>）符合性分析</w:t>
            </w:r>
          </w:p>
          <w:p w14:paraId="6DD2224C">
            <w:pPr>
              <w:bidi w:val="0"/>
              <w:rPr>
                <w:rFonts w:ascii="Times New Roman" w:hAnsi="Times New Roman" w:eastAsia="宋体" w:cs="Times New Roman"/>
                <w:color w:val="000000"/>
                <w:sz w:val="24"/>
                <w:highlight w:val="none"/>
              </w:rPr>
            </w:pPr>
            <w:r>
              <w:rPr>
                <w:rFonts w:ascii="Times New Roman" w:hAnsi="Times New Roman" w:eastAsia="宋体" w:cs="Times New Roman"/>
                <w:color w:val="000000"/>
                <w:sz w:val="24"/>
                <w:highlight w:val="none"/>
              </w:rPr>
              <w:t>项目区域</w:t>
            </w:r>
            <w:r>
              <w:rPr>
                <w:rFonts w:hint="eastAsia" w:ascii="Times New Roman" w:hAnsi="Times New Roman" w:cs="Times New Roman"/>
                <w:color w:val="000000"/>
                <w:sz w:val="24"/>
                <w:highlight w:val="none"/>
                <w:lang w:val="en-US" w:eastAsia="zh-CN"/>
              </w:rPr>
              <w:t>属于</w:t>
            </w:r>
            <w:r>
              <w:rPr>
                <w:rFonts w:ascii="Times New Roman" w:hAnsi="Times New Roman" w:eastAsia="宋体" w:cs="Times New Roman"/>
                <w:color w:val="000000"/>
                <w:sz w:val="24"/>
                <w:highlight w:val="none"/>
              </w:rPr>
              <w:t>大盈江河谷盆地，为季风热带北缘，降雨充沛，但干湿季分明。区域植被在《云南植被》中属于IAii季风热带北缘季节雨林、半常绿季雨林地带，IAii-1滇南、滇西南间山盆地季节雨林、半常绿季雨林区，IAii-1c滇西南中山宽谷高榕、麻栎林亚区；区域水平地带性植被类型为半常绿季雨林。工程占地范围内无重要生态系统、重要物种及其栖息地和生境，项目建设不会造成重要生态系统破坏，不会损害重要物种及其栖息地和生境。</w:t>
            </w:r>
          </w:p>
          <w:p w14:paraId="52622991">
            <w:pPr>
              <w:spacing w:line="360" w:lineRule="auto"/>
              <w:ind w:firstLine="480" w:firstLineChars="200"/>
              <w:jc w:val="left"/>
              <w:rPr>
                <w:rFonts w:hint="default" w:ascii="Times New Roman" w:hAnsi="Times New Roman" w:eastAsia="宋体" w:cs="Times New Roman"/>
                <w:color w:val="000000"/>
                <w:sz w:val="24"/>
                <w:szCs w:val="22"/>
                <w:highlight w:val="none"/>
                <w:lang w:val="en-US" w:eastAsia="zh-CN"/>
              </w:rPr>
            </w:pPr>
            <w:r>
              <w:rPr>
                <w:rFonts w:ascii="Times New Roman" w:hAnsi="Times New Roman" w:eastAsia="宋体" w:cs="Times New Roman"/>
                <w:color w:val="000000"/>
                <w:sz w:val="24"/>
                <w:highlight w:val="none"/>
              </w:rPr>
              <w:t>综上所述，本工程的建设不违背《云南省生物多样性保护条例》的相关要求。</w:t>
            </w:r>
          </w:p>
          <w:p w14:paraId="32F88AA3">
            <w:pPr>
              <w:pStyle w:val="37"/>
              <w:numPr>
                <w:ilvl w:val="0"/>
                <w:numId w:val="1"/>
              </w:numPr>
              <w:bidi w:val="0"/>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b/>
                <w:bCs/>
                <w:color w:val="000000"/>
                <w:kern w:val="2"/>
                <w:sz w:val="24"/>
                <w:szCs w:val="24"/>
                <w:lang w:val="en-US" w:eastAsia="zh-CN" w:bidi="ar"/>
              </w:rPr>
              <w:t>选址合理性分析</w:t>
            </w:r>
          </w:p>
          <w:p w14:paraId="281D707D">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SA"/>
              </w:rPr>
              <w:t>芒市大河新桥电站至洞坎大桥段河道治理工程主要以保护农田为主，治理段河道长3.83km，治理河段设计防洪标准为10年一遇，保护人口0.6 万人，保护耕地0.4万亩</w:t>
            </w:r>
            <w:r>
              <w:rPr>
                <w:rFonts w:hint="default" w:ascii="Times New Roman" w:hAnsi="Times New Roman" w:eastAsia="宋体" w:cs="Times New Roman"/>
                <w:kern w:val="0"/>
                <w:sz w:val="24"/>
                <w:szCs w:val="24"/>
                <w:lang w:val="en-US" w:eastAsia="zh-CN" w:bidi="ar"/>
              </w:rPr>
              <w:t>。本工程选址不位于生态脆弱区、自然保护区和国家划定的水土流失重点预防保护区。工程区不属于国家级水土流失重点治理区、监督区及预防保护区。工程区不涉及饮用水水源保护区，不在风景名胜区内。工程占地范围内无水土流失专项治理设施，也不属于重点治理成果区。本工程选线沿河道布设，具有唯一性，存在一定的水土保持限制性因素，通过提高防治标准，优化施工工艺，减少地表扰动和植被损坏范围，有效控制可能造成的水土流失及环境影响。本工程选址选线符合环境要求。</w:t>
            </w:r>
          </w:p>
          <w:p w14:paraId="5E555A75">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kern w:val="0"/>
                <w:sz w:val="24"/>
                <w:szCs w:val="24"/>
                <w:lang w:val="en-US" w:eastAsia="zh-CN" w:bidi="ar"/>
              </w:rPr>
              <w:t>项目选址区域周边50m范围内</w:t>
            </w:r>
            <w:r>
              <w:rPr>
                <w:rFonts w:hint="eastAsia" w:cs="Times New Roman"/>
                <w:kern w:val="0"/>
                <w:sz w:val="24"/>
                <w:szCs w:val="24"/>
                <w:lang w:val="en-US" w:eastAsia="zh-CN" w:bidi="ar"/>
              </w:rPr>
              <w:t>无</w:t>
            </w:r>
            <w:r>
              <w:rPr>
                <w:rFonts w:hint="default" w:ascii="Times New Roman" w:hAnsi="Times New Roman" w:eastAsia="宋体" w:cs="Times New Roman"/>
                <w:kern w:val="0"/>
                <w:sz w:val="24"/>
                <w:szCs w:val="24"/>
                <w:lang w:val="en-US" w:eastAsia="zh-CN" w:bidi="ar"/>
              </w:rPr>
              <w:t>声环境敏感点</w:t>
            </w:r>
            <w:r>
              <w:rPr>
                <w:rFonts w:hint="eastAsia" w:ascii="Times New Roman" w:hAnsi="Times New Roman" w:eastAsia="宋体" w:cs="Times New Roman"/>
                <w:kern w:val="0"/>
                <w:sz w:val="24"/>
                <w:szCs w:val="24"/>
                <w:lang w:val="en-US" w:eastAsia="zh-CN" w:bidi="ar"/>
              </w:rPr>
              <w:t>，施工期</w:t>
            </w:r>
            <w:r>
              <w:rPr>
                <w:rFonts w:hint="default" w:ascii="Times New Roman" w:hAnsi="Times New Roman" w:eastAsia="宋体" w:cs="Times New Roman"/>
                <w:kern w:val="0"/>
                <w:sz w:val="24"/>
                <w:szCs w:val="24"/>
                <w:lang w:val="en-US" w:eastAsia="zh-CN" w:bidi="ar"/>
              </w:rPr>
              <w:t>合理安排施工进度和时间，</w:t>
            </w:r>
            <w:r>
              <w:rPr>
                <w:rFonts w:hint="default" w:ascii="Times New Roman" w:hAnsi="Times New Roman" w:cs="Times New Roman"/>
                <w:color w:val="auto"/>
                <w:sz w:val="24"/>
              </w:rPr>
              <w:t>加强对施工场地的监督管理，对高噪音运输设备应采取相应的限时作业，</w:t>
            </w:r>
            <w:r>
              <w:rPr>
                <w:rFonts w:hint="eastAsia" w:ascii="Times New Roman" w:hAnsi="Times New Roman" w:cs="Times New Roman"/>
                <w:color w:val="auto"/>
                <w:sz w:val="24"/>
                <w:lang w:eastAsia="zh-CN"/>
              </w:rPr>
              <w:t>尽量远离敏感点；</w:t>
            </w:r>
            <w:r>
              <w:rPr>
                <w:rFonts w:hint="default" w:ascii="Times New Roman" w:hAnsi="Times New Roman" w:cs="Times New Roman"/>
                <w:color w:val="auto"/>
                <w:sz w:val="24"/>
              </w:rPr>
              <w:t>选取低噪声、低振动的施工机械和运输车辆，加强机械、车辆的日常维修、保养工作，使其始终保持良好的正常运行状态，维持施工机械低声级水平，避免超过正常噪声运转</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做好施工机械和运输车辆的调度和交通疏导工作</w:t>
            </w:r>
            <w:r>
              <w:rPr>
                <w:rFonts w:hint="eastAsia" w:ascii="Times New Roman" w:hAnsi="Times New Roman" w:cs="Times New Roman"/>
                <w:color w:val="auto"/>
                <w:sz w:val="24"/>
                <w:lang w:eastAsia="zh-CN"/>
              </w:rPr>
              <w:t>。</w:t>
            </w:r>
            <w:r>
              <w:rPr>
                <w:rFonts w:hint="default" w:ascii="Times New Roman" w:hAnsi="Times New Roman" w:cs="Times New Roman"/>
                <w:color w:val="auto"/>
                <w:kern w:val="0"/>
                <w:sz w:val="24"/>
                <w:lang w:bidi="ar"/>
              </w:rPr>
              <w:t>项目施工期大气污染主要来源于施工机械及机动车辆燃油排放的废气、工程施工</w:t>
            </w:r>
            <w:r>
              <w:rPr>
                <w:rFonts w:hint="default" w:ascii="Times New Roman" w:hAnsi="Times New Roman" w:cs="Times New Roman"/>
                <w:color w:val="auto"/>
                <w:kern w:val="0"/>
                <w:sz w:val="24"/>
                <w:lang w:eastAsia="zh-CN" w:bidi="ar"/>
              </w:rPr>
              <w:t>及交通</w:t>
            </w:r>
            <w:r>
              <w:rPr>
                <w:rFonts w:hint="default" w:ascii="Times New Roman" w:hAnsi="Times New Roman" w:cs="Times New Roman"/>
                <w:color w:val="auto"/>
                <w:kern w:val="0"/>
                <w:sz w:val="24"/>
                <w:lang w:bidi="ar"/>
              </w:rPr>
              <w:t>运输产生的扬尘。废气会给施工区的大气环境及施工人员带来不利影响，工程建设和交通扬尘会对主干道交通和附近生活居民带来一定影响。由于施工区地形开阔，扩散条件较好</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施工期对施工场进行洒水降尘，堆放物料进行遮盖，及时进行地面清扫，减轻施工扬尘对周围环境的影响；施工机械、</w:t>
            </w:r>
            <w:r>
              <w:rPr>
                <w:rFonts w:hint="default" w:ascii="Times New Roman" w:hAnsi="Times New Roman" w:cs="Times New Roman"/>
                <w:color w:val="auto"/>
                <w:kern w:val="0"/>
                <w:sz w:val="24"/>
                <w:lang w:eastAsia="zh-CN" w:bidi="ar"/>
              </w:rPr>
              <w:t>车辆</w:t>
            </w:r>
            <w:r>
              <w:rPr>
                <w:rFonts w:hint="default" w:ascii="Times New Roman" w:hAnsi="Times New Roman" w:cs="Times New Roman"/>
                <w:color w:val="auto"/>
                <w:kern w:val="0"/>
                <w:sz w:val="24"/>
                <w:lang w:bidi="ar"/>
              </w:rPr>
              <w:t>均采用优质油品，加强施工机</w:t>
            </w:r>
            <w:r>
              <w:rPr>
                <w:rFonts w:hint="default" w:ascii="Times New Roman" w:hAnsi="Times New Roman" w:cs="Times New Roman"/>
                <w:color w:val="auto"/>
                <w:sz w:val="24"/>
              </w:rPr>
              <w:t>械、</w:t>
            </w:r>
            <w:r>
              <w:rPr>
                <w:rFonts w:hint="default" w:ascii="Times New Roman" w:hAnsi="Times New Roman" w:cs="Times New Roman"/>
                <w:color w:val="auto"/>
                <w:sz w:val="24"/>
                <w:lang w:eastAsia="zh-CN"/>
              </w:rPr>
              <w:t>车辆</w:t>
            </w:r>
            <w:r>
              <w:rPr>
                <w:rFonts w:hint="default" w:ascii="Times New Roman" w:hAnsi="Times New Roman" w:cs="Times New Roman"/>
                <w:color w:val="auto"/>
                <w:sz w:val="24"/>
              </w:rPr>
              <w:t>的维修和保养等措施，减少废气排放对周围环境的影响。</w:t>
            </w:r>
          </w:p>
          <w:p w14:paraId="504B9925">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left"/>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项目施工时间短，对河道环境的治理随着施工期的结束而结束，项目为线性工程，且分段施工，施工人员不在项目区内食宿，不设置施工营地，项目施工期间对环境影响程度较小。运营期无污染物产生，对周围环境无影响。项目建设完成后有利于改善</w:t>
            </w:r>
            <w:r>
              <w:rPr>
                <w:rFonts w:hint="eastAsia" w:ascii="Times New Roman" w:hAnsi="Times New Roman" w:eastAsia="宋体" w:cs="Times New Roman"/>
                <w:kern w:val="0"/>
                <w:sz w:val="24"/>
                <w:szCs w:val="24"/>
                <w:lang w:val="en-US" w:eastAsia="zh-CN" w:bidi="ar"/>
              </w:rPr>
              <w:t>芒市大河</w:t>
            </w:r>
            <w:r>
              <w:rPr>
                <w:rFonts w:hint="default" w:ascii="Times New Roman" w:hAnsi="Times New Roman" w:eastAsia="宋体" w:cs="Times New Roman"/>
                <w:kern w:val="0"/>
                <w:sz w:val="24"/>
                <w:szCs w:val="24"/>
                <w:lang w:val="en-US" w:eastAsia="zh-CN" w:bidi="ar"/>
              </w:rPr>
              <w:t>治理河段生态环境，有利于减少水土流失，促进生态环境的可持续发展，确保安全行洪，提高防洪能力，有效保护沿线居民和耕地的防洪安全。</w:t>
            </w:r>
          </w:p>
          <w:p w14:paraId="0D85EDBD">
            <w:pPr>
              <w:pStyle w:val="37"/>
              <w:numPr>
                <w:ilvl w:val="0"/>
                <w:numId w:val="0"/>
              </w:numPr>
              <w:bidi w:val="0"/>
              <w:ind w:leftChars="200" w:right="0" w:rightChars="0"/>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color w:val="auto"/>
                <w:sz w:val="24"/>
                <w:szCs w:val="24"/>
                <w:lang w:eastAsia="zh-CN"/>
              </w:rPr>
              <w:t>综上所述，项目选址合理。</w:t>
            </w:r>
          </w:p>
        </w:tc>
      </w:tr>
    </w:tbl>
    <w:p w14:paraId="545043C2">
      <w:pPr>
        <w:rPr>
          <w:rFonts w:hint="default" w:ascii="Times New Roman" w:hAnsi="Times New Roman" w:cs="Times New Roman"/>
          <w:color w:val="auto"/>
        </w:rPr>
        <w:sectPr>
          <w:footerReference r:id="rId6" w:type="default"/>
          <w:pgSz w:w="11906" w:h="16838"/>
          <w:pgMar w:top="1134" w:right="1417" w:bottom="1134"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DAE9B46">
      <w:pPr>
        <w:pStyle w:val="4"/>
        <w:keepNext w:val="0"/>
        <w:keepLines w:val="0"/>
        <w:pageBreakBefore/>
        <w:widowControl w:val="0"/>
        <w:kinsoku/>
        <w:wordWrap/>
        <w:overflowPunct/>
        <w:topLinePunct w:val="0"/>
        <w:autoSpaceDE/>
        <w:autoSpaceDN/>
        <w:bidi w:val="0"/>
        <w:adjustRightInd/>
        <w:snapToGrid w:val="0"/>
        <w:ind w:firstLine="0" w:firstLineChars="0"/>
        <w:textAlignment w:val="auto"/>
        <w:rPr>
          <w:rFonts w:hint="default"/>
          <w:color w:val="auto"/>
        </w:rPr>
      </w:pPr>
      <w:bookmarkStart w:id="9" w:name="_Toc968"/>
      <w:r>
        <w:rPr>
          <w:rFonts w:hint="default"/>
          <w:color w:val="auto"/>
        </w:rPr>
        <w:t>二、建设内容</w:t>
      </w:r>
      <w:bookmarkEnd w:id="9"/>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8"/>
        <w:gridCol w:w="8124"/>
      </w:tblGrid>
      <w:tr w14:paraId="5E5D9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45" w:type="pct"/>
            <w:vAlign w:val="center"/>
          </w:tcPr>
          <w:p w14:paraId="1C926DB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olor w:val="auto"/>
              </w:rPr>
            </w:pPr>
            <w:r>
              <w:rPr>
                <w:rFonts w:hint="default"/>
                <w:color w:val="auto"/>
              </w:rPr>
              <w:t>地理位置</w:t>
            </w:r>
          </w:p>
        </w:tc>
        <w:tc>
          <w:tcPr>
            <w:tcW w:w="4654" w:type="pct"/>
            <w:vAlign w:val="center"/>
          </w:tcPr>
          <w:p w14:paraId="2B9E86F8">
            <w:pPr>
              <w:keepNext w:val="0"/>
              <w:keepLines w:val="0"/>
              <w:widowControl/>
              <w:suppressLineNumbers w:val="0"/>
              <w:spacing w:line="360" w:lineRule="auto"/>
              <w:jc w:val="left"/>
              <w:rPr>
                <w:rFonts w:hint="default"/>
                <w:color w:val="auto"/>
              </w:rPr>
            </w:pPr>
            <w:r>
              <w:rPr>
                <w:rFonts w:hint="default" w:ascii="Times New Roman" w:hAnsi="Times New Roman" w:eastAsia="宋体" w:cs="Times New Roman"/>
                <w:caps w:val="0"/>
                <w:smallCaps w:val="0"/>
                <w:color w:val="000000"/>
                <w:lang w:eastAsia="zh-CN"/>
              </w:rPr>
              <w:t>芒市地处云南西部，德宏州东南部，</w:t>
            </w:r>
            <w:r>
              <w:rPr>
                <w:rFonts w:hint="default" w:ascii="Times New Roman" w:hAnsi="Times New Roman" w:eastAsia="宋体" w:cs="Times New Roman"/>
                <w:caps w:val="0"/>
                <w:smallCaps w:val="0"/>
                <w:color w:val="000000"/>
                <w:lang w:val="en-US" w:eastAsia="zh-CN"/>
              </w:rPr>
              <w:t>高黎贡山</w:t>
            </w:r>
            <w:r>
              <w:rPr>
                <w:rFonts w:hint="default" w:ascii="Times New Roman" w:hAnsi="Times New Roman" w:eastAsia="宋体" w:cs="Times New Roman"/>
                <w:caps w:val="0"/>
                <w:smallCaps w:val="0"/>
                <w:color w:val="000000"/>
                <w:lang w:eastAsia="zh-CN"/>
              </w:rPr>
              <w:t>南麓，属滇西峡谷区。东、东北接保山市龙陵县，西南连瑞丽市、豌町经济开发区，西、西北与梁河县、陇川县隔龙江</w:t>
            </w:r>
            <w:r>
              <w:rPr>
                <w:rFonts w:hint="eastAsia" w:ascii="Times New Roman" w:hAnsi="Times New Roman" w:eastAsia="宋体" w:cs="Times New Roman"/>
                <w:caps w:val="0"/>
                <w:smallCaps w:val="0"/>
                <w:color w:val="000000"/>
                <w:lang w:eastAsia="zh-CN"/>
              </w:rPr>
              <w:t>（</w:t>
            </w:r>
            <w:r>
              <w:rPr>
                <w:rFonts w:hint="default" w:ascii="Times New Roman" w:hAnsi="Times New Roman" w:eastAsia="宋体" w:cs="Times New Roman"/>
                <w:caps w:val="0"/>
                <w:smallCaps w:val="0"/>
                <w:color w:val="000000"/>
                <w:lang w:eastAsia="zh-CN"/>
              </w:rPr>
              <w:t>陇川江</w:t>
            </w:r>
            <w:r>
              <w:rPr>
                <w:rFonts w:hint="eastAsia" w:ascii="Times New Roman" w:hAnsi="Times New Roman" w:eastAsia="宋体" w:cs="Times New Roman"/>
                <w:caps w:val="0"/>
                <w:smallCaps w:val="0"/>
                <w:color w:val="000000"/>
                <w:lang w:eastAsia="zh-CN"/>
              </w:rPr>
              <w:t>）</w:t>
            </w:r>
            <w:r>
              <w:rPr>
                <w:rFonts w:hint="default" w:ascii="Times New Roman" w:hAnsi="Times New Roman" w:eastAsia="宋体" w:cs="Times New Roman"/>
                <w:caps w:val="0"/>
                <w:smallCaps w:val="0"/>
                <w:color w:val="000000"/>
                <w:lang w:eastAsia="zh-CN"/>
              </w:rPr>
              <w:t>相望，南与缅甸交界，</w:t>
            </w:r>
            <w:r>
              <w:rPr>
                <w:rFonts w:hint="default" w:ascii="Times New Roman" w:hAnsi="Times New Roman" w:eastAsia="宋体" w:cs="Times New Roman"/>
                <w:caps w:val="0"/>
                <w:smallCaps w:val="0"/>
                <w:color w:val="000000"/>
                <w:lang w:val="en-US" w:eastAsia="zh-CN"/>
              </w:rPr>
              <w:t>国境线长68.3km</w:t>
            </w:r>
            <w:r>
              <w:rPr>
                <w:rFonts w:hint="eastAsia" w:ascii="Times New Roman" w:hAnsi="Times New Roman" w:eastAsia="宋体" w:cs="Times New Roman"/>
                <w:caps w:val="0"/>
                <w:smallCaps w:val="0"/>
                <w:color w:val="000000"/>
                <w:lang w:val="en-US" w:eastAsia="zh-CN"/>
              </w:rPr>
              <w:t>，陆距省会昆明</w:t>
            </w:r>
            <w:r>
              <w:rPr>
                <w:rFonts w:hint="default" w:ascii="Times New Roman" w:hAnsi="Times New Roman" w:eastAsia="宋体" w:cs="Times New Roman"/>
                <w:caps w:val="0"/>
                <w:smallCaps w:val="0"/>
                <w:color w:val="000000"/>
                <w:lang w:val="en-US" w:eastAsia="zh-CN"/>
              </w:rPr>
              <w:t>679</w:t>
            </w:r>
            <w:r>
              <w:rPr>
                <w:rFonts w:hint="eastAsia" w:ascii="Times New Roman" w:hAnsi="Times New Roman" w:eastAsia="宋体" w:cs="Times New Roman"/>
                <w:caps w:val="0"/>
                <w:smallCaps w:val="0"/>
                <w:color w:val="000000"/>
                <w:lang w:val="en-US" w:eastAsia="zh-CN"/>
              </w:rPr>
              <w:t>公里，空距</w:t>
            </w:r>
            <w:r>
              <w:rPr>
                <w:rFonts w:hint="default" w:ascii="Times New Roman" w:hAnsi="Times New Roman" w:eastAsia="宋体" w:cs="Times New Roman"/>
                <w:caps w:val="0"/>
                <w:smallCaps w:val="0"/>
                <w:color w:val="000000"/>
                <w:lang w:val="en-US" w:eastAsia="zh-CN"/>
              </w:rPr>
              <w:t xml:space="preserve">427 </w:t>
            </w:r>
            <w:r>
              <w:rPr>
                <w:rFonts w:hint="eastAsia" w:ascii="Times New Roman" w:hAnsi="Times New Roman" w:eastAsia="宋体" w:cs="Times New Roman"/>
                <w:caps w:val="0"/>
                <w:smallCaps w:val="0"/>
                <w:color w:val="000000"/>
                <w:lang w:val="en-US" w:eastAsia="zh-CN"/>
              </w:rPr>
              <w:t>公里。</w:t>
            </w:r>
            <w:r>
              <w:rPr>
                <w:rFonts w:hint="default" w:ascii="Times New Roman" w:hAnsi="Times New Roman" w:eastAsia="宋体" w:cs="Times New Roman"/>
                <w:caps w:val="0"/>
                <w:smallCaps w:val="0"/>
                <w:color w:val="000000"/>
                <w:lang w:eastAsia="zh-CN"/>
              </w:rPr>
              <w:t>市政府驻地芒市镇</w:t>
            </w:r>
            <w:r>
              <w:rPr>
                <w:rFonts w:hint="eastAsia" w:ascii="Times New Roman" w:hAnsi="Times New Roman" w:eastAsia="宋体" w:cs="Times New Roman"/>
                <w:caps w:val="0"/>
                <w:smallCaps w:val="0"/>
                <w:color w:val="000000"/>
                <w:lang w:eastAsia="zh-CN"/>
              </w:rPr>
              <w:t>（</w:t>
            </w:r>
            <w:r>
              <w:rPr>
                <w:rFonts w:hint="default" w:ascii="Times New Roman" w:hAnsi="Times New Roman" w:eastAsia="宋体" w:cs="Times New Roman"/>
                <w:caps w:val="0"/>
                <w:smallCaps w:val="0"/>
                <w:color w:val="000000"/>
                <w:lang w:eastAsia="zh-CN"/>
              </w:rPr>
              <w:t>城镇规划面积25km²)，同时是州府驻地。芒市地处低纬高原，热量丰富，气候温和，属南亚热带季风气候，具有夏长冬短、干湿分明、冬无严寒、夏无酷暑，日照时间长、雨量充沛、冬季多雾等特点</w:t>
            </w:r>
            <w:r>
              <w:rPr>
                <w:rFonts w:hint="default"/>
                <w:color w:val="auto"/>
              </w:rPr>
              <w:t>。</w:t>
            </w:r>
          </w:p>
          <w:p w14:paraId="317B98F6">
            <w:pPr>
              <w:keepNext w:val="0"/>
              <w:keepLines w:val="0"/>
              <w:widowControl/>
              <w:suppressLineNumbers w:val="0"/>
              <w:spacing w:line="360" w:lineRule="auto"/>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芒市大河为瑞丽江一级支流，位于东经98°07′~98°47′、北纬 24°08′~24°35′之间。发源于保山市龙陵县金竹坪村北部诸山溪，河源海拔2260m。芒市大河由东北流向西南，经木康、穿芒市坝子、遮放坝子、在芒市西南部的遮放镇曼蚌村汇入龙江，汇口海拔约800m。芒市大河全长102km、河道比降0.27‰、流域面积1890km²。流域内水系发育，支流众多</w:t>
            </w:r>
            <w:r>
              <w:rPr>
                <w:rFonts w:hint="eastAsia" w:ascii="Times New Roman" w:hAnsi="Times New Roman" w:eastAsia="宋体" w:cs="Times New Roman"/>
                <w:color w:val="auto"/>
                <w:kern w:val="0"/>
                <w:sz w:val="24"/>
                <w:szCs w:val="24"/>
                <w:lang w:val="en-US" w:eastAsia="zh-CN" w:bidi="ar-SA"/>
              </w:rPr>
              <w:t>。</w:t>
            </w:r>
          </w:p>
          <w:p w14:paraId="664AD717">
            <w:pPr>
              <w:bidi w:val="0"/>
              <w:spacing w:line="36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本次治理河段于德宏州芒市芒市镇，位于云南西部，德宏州东南部， </w:t>
            </w:r>
          </w:p>
          <w:p w14:paraId="66767BB5">
            <w:pPr>
              <w:bidi w:val="0"/>
              <w:spacing w:line="360" w:lineRule="auto"/>
              <w:ind w:left="0" w:leftChars="0" w:firstLine="0" w:firstLineChars="0"/>
              <w:rPr>
                <w:rFonts w:hint="default"/>
                <w:b/>
                <w:bCs/>
                <w:color w:val="auto"/>
              </w:rPr>
            </w:pPr>
            <w:r>
              <w:rPr>
                <w:rFonts w:hint="default" w:ascii="Times New Roman" w:hAnsi="Times New Roman" w:eastAsia="宋体" w:cs="Times New Roman"/>
                <w:color w:val="auto"/>
                <w:kern w:val="0"/>
                <w:sz w:val="24"/>
                <w:szCs w:val="24"/>
                <w:lang w:val="en-US" w:eastAsia="zh-CN" w:bidi="ar-SA"/>
              </w:rPr>
              <w:t>在东经98°07′～98°47′、北纬24°08′～24°35′之间。治理河段全长3.83km，治理段起于大湾电站取水坝下游，地理位置为N 24°30′21.23″，E 98°36′44.55″，至于大湾大沟取水坝，地理位置为N24°29′17.79″、 E98°36′21.54″</w:t>
            </w:r>
            <w:r>
              <w:rPr>
                <w:rFonts w:hint="eastAsia" w:ascii="Times New Roman" w:hAnsi="Times New Roman" w:eastAsia="宋体" w:cs="Times New Roman"/>
                <w:color w:val="auto"/>
                <w:kern w:val="0"/>
                <w:sz w:val="24"/>
                <w:szCs w:val="24"/>
                <w:lang w:val="en-US" w:eastAsia="zh-CN" w:bidi="ar-SA"/>
              </w:rPr>
              <w:t>。</w:t>
            </w:r>
          </w:p>
          <w:p w14:paraId="354815C8">
            <w:pPr>
              <w:bidi w:val="0"/>
              <w:spacing w:line="360" w:lineRule="auto"/>
              <w:rPr>
                <w:rFonts w:hint="default"/>
                <w:color w:val="auto"/>
              </w:rPr>
            </w:pPr>
            <w:r>
              <w:rPr>
                <w:rFonts w:hint="default"/>
                <w:b/>
                <w:bCs/>
                <w:color w:val="auto"/>
              </w:rPr>
              <w:t>项目地理位置图见附图1。</w:t>
            </w:r>
          </w:p>
        </w:tc>
      </w:tr>
      <w:tr w14:paraId="7FA0E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345" w:type="pct"/>
            <w:vAlign w:val="center"/>
          </w:tcPr>
          <w:p w14:paraId="5566A97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项目组成及规模</w:t>
            </w:r>
          </w:p>
        </w:tc>
        <w:tc>
          <w:tcPr>
            <w:tcW w:w="4654" w:type="pct"/>
            <w:vAlign w:val="center"/>
          </w:tcPr>
          <w:p w14:paraId="4FF5AA57">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一、项目概述</w:t>
            </w:r>
          </w:p>
          <w:p w14:paraId="3C5AE94C">
            <w:pPr>
              <w:adjustRightInd w:val="0"/>
              <w:snapToGrid w:val="0"/>
              <w:spacing w:line="360" w:lineRule="auto"/>
              <w:ind w:firstLine="482" w:firstLineChars="200"/>
              <w:jc w:val="left"/>
              <w:rPr>
                <w:rFonts w:hint="default" w:ascii="Times New Roman" w:hAnsi="Times New Roman" w:cs="Times New Roman"/>
                <w:b/>
                <w:bCs/>
                <w:color w:val="auto"/>
                <w:kern w:val="0"/>
                <w:sz w:val="24"/>
                <w:lang w:eastAsia="zh-CN" w:bidi="ar"/>
              </w:rPr>
            </w:pPr>
            <w:r>
              <w:rPr>
                <w:rFonts w:hint="default" w:ascii="Times New Roman" w:hAnsi="Times New Roman" w:cs="Times New Roman"/>
                <w:b/>
                <w:bCs/>
                <w:color w:val="auto"/>
                <w:kern w:val="0"/>
                <w:sz w:val="24"/>
                <w:lang w:val="en-US" w:eastAsia="zh-CN" w:bidi="ar"/>
              </w:rPr>
              <w:t>1、</w:t>
            </w:r>
            <w:r>
              <w:rPr>
                <w:rFonts w:hint="default" w:ascii="Times New Roman" w:hAnsi="Times New Roman" w:cs="Times New Roman"/>
                <w:b/>
                <w:bCs/>
                <w:color w:val="auto"/>
                <w:kern w:val="0"/>
                <w:sz w:val="24"/>
                <w:lang w:eastAsia="zh-CN" w:bidi="ar"/>
              </w:rPr>
              <w:t>项目建设的必要性</w:t>
            </w:r>
          </w:p>
          <w:p w14:paraId="4EE72740">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芒市每年在雨季均遭到不同程度的洪水威胁，最近一次洪灾发生</w:t>
            </w:r>
            <w:r>
              <w:rPr>
                <w:rFonts w:hint="eastAsia" w:ascii="Times New Roman" w:hAnsi="Times New Roman" w:eastAsia="宋体" w:cs="Times New Roman"/>
                <w:color w:val="auto"/>
                <w:kern w:val="0"/>
                <w:sz w:val="24"/>
                <w:szCs w:val="24"/>
                <w:lang w:val="en-US" w:eastAsia="zh-CN" w:bidi="ar-SA"/>
              </w:rPr>
              <w:t>在</w:t>
            </w:r>
            <w:r>
              <w:rPr>
                <w:rFonts w:hint="default" w:ascii="Times New Roman" w:hAnsi="Times New Roman" w:eastAsia="宋体" w:cs="Times New Roman"/>
                <w:color w:val="auto"/>
                <w:kern w:val="0"/>
                <w:sz w:val="24"/>
                <w:szCs w:val="24"/>
                <w:lang w:val="en-US" w:eastAsia="zh-CN" w:bidi="ar-SA"/>
              </w:rPr>
              <w:t>2020</w:t>
            </w:r>
            <w:r>
              <w:rPr>
                <w:rFonts w:hint="eastAsia" w:ascii="Times New Roman" w:hAnsi="Times New Roman" w:eastAsia="宋体" w:cs="Times New Roman"/>
                <w:color w:val="auto"/>
                <w:kern w:val="0"/>
                <w:sz w:val="24"/>
                <w:szCs w:val="24"/>
                <w:lang w:val="en-US" w:eastAsia="zh-CN" w:bidi="ar-SA"/>
              </w:rPr>
              <w:t>年</w:t>
            </w:r>
            <w:r>
              <w:rPr>
                <w:rFonts w:hint="default" w:ascii="Times New Roman" w:hAnsi="Times New Roman" w:eastAsia="宋体" w:cs="Times New Roman"/>
                <w:color w:val="auto"/>
                <w:kern w:val="0"/>
                <w:sz w:val="24"/>
                <w:szCs w:val="24"/>
                <w:lang w:val="en-US" w:eastAsia="zh-CN" w:bidi="ar-SA"/>
              </w:rPr>
              <w:t>8</w:t>
            </w:r>
            <w:r>
              <w:rPr>
                <w:rFonts w:hint="eastAsia" w:ascii="Times New Roman" w:hAnsi="Times New Roman" w:eastAsia="宋体" w:cs="Times New Roman"/>
                <w:color w:val="auto"/>
                <w:kern w:val="0"/>
                <w:sz w:val="24"/>
                <w:szCs w:val="24"/>
                <w:lang w:val="en-US" w:eastAsia="zh-CN" w:bidi="ar-SA"/>
              </w:rPr>
              <w:t>月</w:t>
            </w:r>
            <w:r>
              <w:rPr>
                <w:rFonts w:hint="default" w:ascii="Times New Roman" w:hAnsi="Times New Roman" w:eastAsia="宋体" w:cs="Times New Roman"/>
                <w:color w:val="auto"/>
                <w:kern w:val="0"/>
                <w:sz w:val="24"/>
                <w:szCs w:val="24"/>
                <w:lang w:val="en-US" w:eastAsia="zh-CN" w:bidi="ar-SA"/>
              </w:rPr>
              <w:t>24</w:t>
            </w:r>
            <w:r>
              <w:rPr>
                <w:rFonts w:hint="eastAsia" w:ascii="Times New Roman" w:hAnsi="Times New Roman" w:eastAsia="宋体" w:cs="Times New Roman"/>
                <w:color w:val="auto"/>
                <w:kern w:val="0"/>
                <w:sz w:val="24"/>
                <w:szCs w:val="24"/>
                <w:lang w:val="en-US" w:eastAsia="zh-CN" w:bidi="ar-SA"/>
              </w:rPr>
              <w:t>日至</w:t>
            </w:r>
            <w:r>
              <w:rPr>
                <w:rFonts w:hint="default" w:ascii="Times New Roman" w:hAnsi="Times New Roman" w:eastAsia="宋体" w:cs="Times New Roman"/>
                <w:color w:val="auto"/>
                <w:kern w:val="0"/>
                <w:sz w:val="24"/>
                <w:szCs w:val="24"/>
                <w:lang w:val="en-US" w:eastAsia="zh-CN" w:bidi="ar-SA"/>
              </w:rPr>
              <w:t>25</w:t>
            </w:r>
            <w:r>
              <w:rPr>
                <w:rFonts w:hint="eastAsia" w:ascii="Times New Roman" w:hAnsi="Times New Roman" w:eastAsia="宋体" w:cs="Times New Roman"/>
                <w:color w:val="auto"/>
                <w:kern w:val="0"/>
                <w:sz w:val="24"/>
                <w:szCs w:val="24"/>
                <w:lang w:val="en-US" w:eastAsia="zh-CN" w:bidi="ar-SA"/>
              </w:rPr>
              <w:t>日，</w:t>
            </w:r>
            <w:r>
              <w:rPr>
                <w:rFonts w:hint="default" w:ascii="Times New Roman" w:hAnsi="Times New Roman" w:eastAsia="宋体" w:cs="Times New Roman"/>
                <w:color w:val="auto"/>
                <w:kern w:val="0"/>
                <w:sz w:val="24"/>
                <w:szCs w:val="24"/>
                <w:lang w:val="en-US" w:eastAsia="zh-CN" w:bidi="ar-SA"/>
              </w:rPr>
              <w:t>8</w:t>
            </w:r>
            <w:r>
              <w:rPr>
                <w:rFonts w:hint="eastAsia" w:ascii="Times New Roman" w:hAnsi="Times New Roman" w:eastAsia="宋体" w:cs="Times New Roman"/>
                <w:color w:val="auto"/>
                <w:kern w:val="0"/>
                <w:sz w:val="24"/>
                <w:szCs w:val="24"/>
                <w:lang w:val="en-US" w:eastAsia="zh-CN" w:bidi="ar-SA"/>
              </w:rPr>
              <w:t>月</w:t>
            </w:r>
            <w:r>
              <w:rPr>
                <w:rFonts w:hint="default" w:ascii="Times New Roman" w:hAnsi="Times New Roman" w:eastAsia="宋体" w:cs="Times New Roman"/>
                <w:color w:val="auto"/>
                <w:kern w:val="0"/>
                <w:sz w:val="24"/>
                <w:szCs w:val="24"/>
                <w:lang w:val="en-US" w:eastAsia="zh-CN" w:bidi="ar-SA"/>
              </w:rPr>
              <w:t>24</w:t>
            </w:r>
            <w:r>
              <w:rPr>
                <w:rFonts w:hint="eastAsia" w:ascii="Times New Roman" w:hAnsi="Times New Roman" w:eastAsia="宋体" w:cs="Times New Roman"/>
                <w:color w:val="auto"/>
                <w:kern w:val="0"/>
                <w:sz w:val="24"/>
                <w:szCs w:val="24"/>
                <w:lang w:val="en-US" w:eastAsia="zh-CN" w:bidi="ar-SA"/>
              </w:rPr>
              <w:t>日夜间至</w:t>
            </w:r>
            <w:r>
              <w:rPr>
                <w:rFonts w:hint="default" w:ascii="Times New Roman" w:hAnsi="Times New Roman" w:eastAsia="宋体" w:cs="Times New Roman"/>
                <w:color w:val="auto"/>
                <w:kern w:val="0"/>
                <w:sz w:val="24"/>
                <w:szCs w:val="24"/>
                <w:lang w:val="en-US" w:eastAsia="zh-CN" w:bidi="ar-SA"/>
              </w:rPr>
              <w:t>25</w:t>
            </w:r>
            <w:r>
              <w:rPr>
                <w:rFonts w:hint="eastAsia" w:ascii="Times New Roman" w:hAnsi="Times New Roman" w:eastAsia="宋体" w:cs="Times New Roman"/>
                <w:color w:val="auto"/>
                <w:kern w:val="0"/>
                <w:sz w:val="24"/>
                <w:szCs w:val="24"/>
                <w:lang w:val="en-US" w:eastAsia="zh-CN" w:bidi="ar-SA"/>
              </w:rPr>
              <w:t>日凌晨，芒市突降暴雨，局部达大暴雨，据水文遥测数据，暴雨达</w:t>
            </w:r>
            <w:r>
              <w:rPr>
                <w:rFonts w:hint="default" w:ascii="Times New Roman" w:hAnsi="Times New Roman" w:eastAsia="宋体" w:cs="Times New Roman"/>
                <w:color w:val="auto"/>
                <w:kern w:val="0"/>
                <w:sz w:val="24"/>
                <w:szCs w:val="24"/>
                <w:lang w:val="en-US" w:eastAsia="zh-CN" w:bidi="ar-SA"/>
              </w:rPr>
              <w:t>25</w:t>
            </w:r>
            <w:r>
              <w:rPr>
                <w:rFonts w:hint="eastAsia" w:ascii="Times New Roman" w:hAnsi="Times New Roman" w:eastAsia="宋体" w:cs="Times New Roman"/>
                <w:color w:val="auto"/>
                <w:kern w:val="0"/>
                <w:sz w:val="24"/>
                <w:szCs w:val="24"/>
                <w:lang w:val="en-US" w:eastAsia="zh-CN" w:bidi="ar-SA"/>
              </w:rPr>
              <w:t>站次，其中大暴雨</w:t>
            </w:r>
            <w:r>
              <w:rPr>
                <w:rFonts w:hint="default" w:ascii="Times New Roman" w:hAnsi="Times New Roman" w:eastAsia="宋体"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站次。受此次强降雨过程影响，芒市大河全线大幅涨水，多个水文、水位站超警。</w:t>
            </w:r>
            <w:r>
              <w:rPr>
                <w:rFonts w:hint="default" w:ascii="Times New Roman" w:hAnsi="Times New Roman" w:eastAsia="宋体" w:cs="Times New Roman"/>
                <w:color w:val="auto"/>
                <w:kern w:val="0"/>
                <w:sz w:val="24"/>
                <w:szCs w:val="24"/>
                <w:lang w:val="en-US" w:eastAsia="zh-CN" w:bidi="ar-SA"/>
              </w:rPr>
              <w:t xml:space="preserve">25 </w:t>
            </w:r>
            <w:r>
              <w:rPr>
                <w:rFonts w:hint="eastAsia" w:ascii="Times New Roman" w:hAnsi="Times New Roman" w:eastAsia="宋体" w:cs="Times New Roman"/>
                <w:color w:val="auto"/>
                <w:kern w:val="0"/>
                <w:sz w:val="24"/>
                <w:szCs w:val="24"/>
                <w:lang w:val="en-US" w:eastAsia="zh-CN" w:bidi="ar-SA"/>
              </w:rPr>
              <w:t>日</w:t>
            </w:r>
            <w:r>
              <w:rPr>
                <w:rFonts w:hint="default" w:ascii="Times New Roman" w:hAnsi="Times New Roman" w:eastAsia="宋体" w:cs="Times New Roman"/>
                <w:color w:val="auto"/>
                <w:kern w:val="0"/>
                <w:sz w:val="24"/>
                <w:szCs w:val="24"/>
                <w:lang w:val="en-US" w:eastAsia="zh-CN" w:bidi="ar-SA"/>
              </w:rPr>
              <w:t>0</w:t>
            </w:r>
            <w:r>
              <w:rPr>
                <w:rFonts w:hint="eastAsia" w:ascii="Times New Roman" w:hAnsi="Times New Roman" w:eastAsia="宋体" w:cs="Times New Roman"/>
                <w:color w:val="auto"/>
                <w:kern w:val="0"/>
                <w:sz w:val="24"/>
                <w:szCs w:val="24"/>
                <w:lang w:val="en-US" w:eastAsia="zh-CN" w:bidi="ar-SA"/>
              </w:rPr>
              <w:t>时</w:t>
            </w:r>
            <w:r>
              <w:rPr>
                <w:rFonts w:hint="default" w:ascii="Times New Roman" w:hAnsi="Times New Roman" w:eastAsia="宋体" w:cs="Times New Roman"/>
                <w:color w:val="auto"/>
                <w:kern w:val="0"/>
                <w:sz w:val="24"/>
                <w:szCs w:val="24"/>
                <w:lang w:val="en-US" w:eastAsia="zh-CN" w:bidi="ar-SA"/>
              </w:rPr>
              <w:t>40</w:t>
            </w:r>
            <w:r>
              <w:rPr>
                <w:rFonts w:hint="eastAsia" w:ascii="Times New Roman" w:hAnsi="Times New Roman" w:eastAsia="宋体" w:cs="Times New Roman"/>
                <w:color w:val="auto"/>
                <w:kern w:val="0"/>
                <w:sz w:val="24"/>
                <w:szCs w:val="24"/>
                <w:lang w:val="en-US" w:eastAsia="zh-CN" w:bidi="ar-SA"/>
              </w:rPr>
              <w:t>分木康水文站水位起涨，</w:t>
            </w:r>
            <w:r>
              <w:rPr>
                <w:rFonts w:hint="default" w:ascii="Times New Roman" w:hAnsi="Times New Roman" w:eastAsia="宋体"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时</w:t>
            </w:r>
            <w:r>
              <w:rPr>
                <w:rFonts w:hint="default" w:ascii="Times New Roman" w:hAnsi="Times New Roman" w:eastAsia="宋体" w:cs="Times New Roman"/>
                <w:color w:val="auto"/>
                <w:kern w:val="0"/>
                <w:sz w:val="24"/>
                <w:szCs w:val="24"/>
                <w:lang w:val="en-US" w:eastAsia="zh-CN" w:bidi="ar-SA"/>
              </w:rPr>
              <w:t>40</w:t>
            </w:r>
            <w:r>
              <w:rPr>
                <w:rFonts w:hint="eastAsia" w:ascii="Times New Roman" w:hAnsi="Times New Roman" w:eastAsia="宋体" w:cs="Times New Roman"/>
                <w:color w:val="auto"/>
                <w:kern w:val="0"/>
                <w:sz w:val="24"/>
                <w:szCs w:val="24"/>
                <w:lang w:val="en-US" w:eastAsia="zh-CN" w:bidi="ar-SA"/>
              </w:rPr>
              <w:t>分到达峰顶水位</w:t>
            </w:r>
            <w:r>
              <w:rPr>
                <w:rFonts w:hint="default" w:ascii="Times New Roman" w:hAnsi="Times New Roman" w:eastAsia="宋体" w:cs="Times New Roman"/>
                <w:color w:val="auto"/>
                <w:kern w:val="0"/>
                <w:sz w:val="24"/>
                <w:szCs w:val="24"/>
                <w:lang w:val="en-US" w:eastAsia="zh-CN" w:bidi="ar-SA"/>
              </w:rPr>
              <w:t>920.13m</w:t>
            </w:r>
            <w:r>
              <w:rPr>
                <w:rFonts w:hint="eastAsia" w:ascii="Times New Roman" w:hAnsi="Times New Roman" w:eastAsia="宋体" w:cs="Times New Roman"/>
                <w:color w:val="auto"/>
                <w:kern w:val="0"/>
                <w:sz w:val="24"/>
                <w:szCs w:val="24"/>
                <w:lang w:val="en-US" w:eastAsia="zh-CN" w:bidi="ar-SA"/>
              </w:rPr>
              <w:t>，超保证 水位</w:t>
            </w:r>
            <w:r>
              <w:rPr>
                <w:rFonts w:hint="default" w:ascii="Times New Roman" w:hAnsi="Times New Roman" w:eastAsia="宋体" w:cs="Times New Roman"/>
                <w:color w:val="auto"/>
                <w:kern w:val="0"/>
                <w:sz w:val="24"/>
                <w:szCs w:val="24"/>
                <w:lang w:val="en-US" w:eastAsia="zh-CN" w:bidi="ar-SA"/>
              </w:rPr>
              <w:t>0.13m</w:t>
            </w:r>
            <w:r>
              <w:rPr>
                <w:rFonts w:hint="eastAsia" w:ascii="Times New Roman" w:hAnsi="Times New Roman" w:eastAsia="宋体" w:cs="Times New Roman"/>
                <w:color w:val="auto"/>
                <w:kern w:val="0"/>
                <w:sz w:val="24"/>
                <w:szCs w:val="24"/>
                <w:lang w:val="en-US" w:eastAsia="zh-CN" w:bidi="ar-SA"/>
              </w:rPr>
              <w:t>，其它水文站不同程度上涨。芒市大河上游部分地区出现突发山洪滑坡泥石流灾害，</w:t>
            </w:r>
            <w:r>
              <w:rPr>
                <w:rFonts w:hint="default" w:ascii="Times New Roman" w:hAnsi="Times New Roman" w:eastAsia="宋体" w:cs="Times New Roman"/>
                <w:color w:val="auto"/>
                <w:kern w:val="0"/>
                <w:sz w:val="24"/>
                <w:szCs w:val="24"/>
                <w:lang w:val="en-US" w:eastAsia="zh-CN" w:bidi="ar-SA"/>
              </w:rPr>
              <w:t>8</w:t>
            </w:r>
            <w:r>
              <w:rPr>
                <w:rFonts w:hint="eastAsia" w:ascii="Times New Roman" w:hAnsi="Times New Roman" w:eastAsia="宋体" w:cs="Times New Roman"/>
                <w:color w:val="auto"/>
                <w:kern w:val="0"/>
                <w:sz w:val="24"/>
                <w:szCs w:val="24"/>
                <w:lang w:val="en-US" w:eastAsia="zh-CN" w:bidi="ar-SA"/>
              </w:rPr>
              <w:t>月</w:t>
            </w:r>
            <w:r>
              <w:rPr>
                <w:rFonts w:hint="default" w:ascii="Times New Roman" w:hAnsi="Times New Roman" w:eastAsia="宋体" w:cs="Times New Roman"/>
                <w:color w:val="auto"/>
                <w:kern w:val="0"/>
                <w:sz w:val="24"/>
                <w:szCs w:val="24"/>
                <w:lang w:val="en-US" w:eastAsia="zh-CN" w:bidi="ar-SA"/>
              </w:rPr>
              <w:t>25</w:t>
            </w:r>
            <w:r>
              <w:rPr>
                <w:rFonts w:hint="eastAsia" w:ascii="Times New Roman" w:hAnsi="Times New Roman" w:eastAsia="宋体" w:cs="Times New Roman"/>
                <w:color w:val="auto"/>
                <w:kern w:val="0"/>
                <w:sz w:val="24"/>
                <w:szCs w:val="24"/>
                <w:lang w:val="en-US" w:eastAsia="zh-CN" w:bidi="ar-SA"/>
              </w:rPr>
              <w:t xml:space="preserve">日，受持续强降雨影响，芒市镇下东村委会硝塘村民小组和干沟田村民小组发生滑坡泥石流灾害，造成1人死亡、3人受伤；龙江和芒市大河同时发生洪水，芒市大河出现超保证水位洪水， 部分堤段洪水漫堤等严峻形势。 </w:t>
            </w:r>
          </w:p>
          <w:p w14:paraId="01A7BDF8">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本次治理河段为芒市大河坝区上游段，属芒市镇基本农田保护段， 紧邻芒市镇拉怀村、大湾村等村寨。该河段洪涝灾害发生频繁，对沿河两岸的农田和村民生命财产危害极大，每年汛期当地政府都要投入大量人力物力进行防洪抢险。通过对本段河道进行治理，远期整合其他防洪项目逐步形成完备的防洪体系，减少防洪应急抢险的负担，确保沿河村寨居民的生命财产免受洪水危害，并对促进边疆民族团结、社会稳定和 国民经济发展具有十分重要的意义。</w:t>
            </w:r>
          </w:p>
          <w:p w14:paraId="47F790EF">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2、工程任务</w:t>
            </w:r>
          </w:p>
          <w:p w14:paraId="55DB0A05">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根据芒市大河新桥电站至洞坎大桥段河道治理工程保护区的社会经济发展情况，结合国家《防洪标准》及中央有关“灾后重建、整治江河、兴修水利”的</w:t>
            </w:r>
            <w:bookmarkStart w:id="42" w:name="_GoBack"/>
            <w:bookmarkEnd w:id="42"/>
            <w:r>
              <w:rPr>
                <w:rFonts w:hint="eastAsia" w:cs="Times New Roman"/>
                <w:color w:val="auto"/>
                <w:kern w:val="0"/>
                <w:sz w:val="24"/>
                <w:szCs w:val="24"/>
                <w:lang w:val="en-US" w:eastAsia="zh-CN" w:bidi="ar-SA"/>
              </w:rPr>
              <w:t>指示精神</w:t>
            </w:r>
            <w:r>
              <w:rPr>
                <w:rFonts w:hint="default" w:ascii="Times New Roman" w:hAnsi="Times New Roman" w:eastAsia="宋体" w:cs="Times New Roman"/>
                <w:color w:val="auto"/>
                <w:kern w:val="0"/>
                <w:sz w:val="24"/>
                <w:szCs w:val="24"/>
                <w:lang w:val="en-US" w:eastAsia="zh-CN" w:bidi="ar-SA"/>
              </w:rPr>
              <w:t xml:space="preserve">，在分析治理河段现有防洪工程体系及防洪规划方案的基础上，结合近年来治理河段洪水灾害发展的新趋势及出现的新问题，通过采取工程措施与生物措施相结合，以筑堤御洪，使治理河段的防洪标准达到设计标准。 </w:t>
            </w:r>
          </w:p>
          <w:p w14:paraId="08691CEB">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芒市大河新桥电站至洞坎大桥段河道治理工程主要以保护农田为主，治理段河道长3.83km，治理河段设计防洪标准为10年一遇，保护人口0.6 万人，保护耕地0.4万亩。促进当地民族团结、社会稳定和经济发展。</w:t>
            </w:r>
          </w:p>
          <w:p w14:paraId="56372750">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3、治理方案</w:t>
            </w:r>
          </w:p>
          <w:p w14:paraId="19B3B93D">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分析治理河段现有防洪工程体系及防洪规划方案的基础上，结合近年来治理河段洪水灾害发展的新趋势及出现的新问题，通过工程措施与生物措施相结合，筑堤御洪，使治理河段的防洪标准达到设计标准，建立健全防洪体系，提高河道防洪能力。</w:t>
            </w:r>
          </w:p>
          <w:p w14:paraId="1F0BD801">
            <w:pPr>
              <w:adjustRightInd w:val="0"/>
              <w:snapToGrid w:val="0"/>
              <w:spacing w:line="360" w:lineRule="auto"/>
              <w:ind w:left="0" w:leftChars="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本次治理段两岸现状多数为无堤状态，由于该段承担着拉怀村、大湾村的防洪任务，采用两岸分段同时治理。 </w:t>
            </w:r>
          </w:p>
          <w:p w14:paraId="72A1E90E">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en-US" w:eastAsia="zh-CN" w:bidi="ar-SA"/>
              </w:rPr>
              <w:t xml:space="preserve">新建护岸 </w:t>
            </w:r>
          </w:p>
          <w:p w14:paraId="15834128">
            <w:pPr>
              <w:adjustRightInd w:val="0"/>
              <w:snapToGrid w:val="0"/>
              <w:spacing w:line="360" w:lineRule="auto"/>
              <w:ind w:left="0" w:leftChars="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左岸桩号Z0+260.00～Z0+459.77、Z1+514.38~Z2+413.06段，右岸桩号Y0+866.03~Y1+259.26、Y1+793.37~Y2+052.99、Y2+225.64~Y2+464.67、Y2+681.87~Y2+876.51段为天然河堤，无任何防洪护岸措施，不满足要求。</w:t>
            </w:r>
          </w:p>
          <w:p w14:paraId="62F5FAD1">
            <w:pPr>
              <w:adjustRightInd w:val="0"/>
              <w:snapToGrid w:val="0"/>
              <w:spacing w:line="360" w:lineRule="auto"/>
              <w:ind w:left="0" w:leftChars="0"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右岸桩号Y0+000.00~Y0+186.37、Y1+259.26~Y1+383.70、 Y1+483.63~Y1+793.37段局部已建浆砌石护岸、护脚，现状护岸破损严重 </w:t>
            </w:r>
          </w:p>
          <w:p w14:paraId="6271CCE6">
            <w:pPr>
              <w:adjustRightInd w:val="0"/>
              <w:snapToGrid w:val="0"/>
              <w:spacing w:line="360" w:lineRule="auto"/>
              <w:ind w:left="0" w:leftChars="0" w:firstLine="0" w:firstLineChars="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甚至倒塌，不满足防洪要求。以上堤段河岸分布农田，本次设计采用护岸进行防护。</w:t>
            </w:r>
          </w:p>
          <w:p w14:paraId="14EF2AB0">
            <w:pPr>
              <w:numPr>
                <w:ilvl w:val="0"/>
                <w:numId w:val="0"/>
              </w:num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 xml:space="preserve">保留现状 </w:t>
            </w:r>
          </w:p>
          <w:p w14:paraId="56483E43">
            <w:pPr>
              <w:numPr>
                <w:ilvl w:val="0"/>
                <w:numId w:val="0"/>
              </w:num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除以上堤段外，其余河段紧邻山体、岸坡稳定，或为已建护岸、护脚现状结构完好，或为天然河岸高程高于防洪高程，或为无防洪保护对象、需要防护耕地面积较小。因此本次均设计保留现状，不进行治理。</w:t>
            </w:r>
          </w:p>
          <w:p w14:paraId="427BDB21">
            <w:pPr>
              <w:pStyle w:val="37"/>
              <w:bidi w:val="0"/>
              <w:rPr>
                <w:b/>
                <w:bCs/>
                <w:color w:val="auto"/>
              </w:rPr>
            </w:pPr>
            <w:r>
              <w:rPr>
                <w:rFonts w:hint="eastAsia"/>
                <w:b/>
                <w:bCs/>
                <w:color w:val="auto"/>
                <w:lang w:eastAsia="zh-CN"/>
              </w:rPr>
              <w:t>二</w:t>
            </w:r>
            <w:r>
              <w:rPr>
                <w:b/>
                <w:bCs/>
                <w:color w:val="auto"/>
              </w:rPr>
              <w:t>、</w:t>
            </w:r>
            <w:r>
              <w:rPr>
                <w:rFonts w:hint="default" w:ascii="Times New Roman" w:hAnsi="Times New Roman" w:cs="Times New Roman"/>
                <w:b/>
                <w:bCs/>
                <w:color w:val="auto"/>
                <w:kern w:val="0"/>
                <w:sz w:val="24"/>
                <w:lang w:bidi="ar"/>
              </w:rPr>
              <w:t>建设项目基本情况</w:t>
            </w:r>
          </w:p>
          <w:p w14:paraId="449A4196">
            <w:pPr>
              <w:adjustRightInd w:val="0"/>
              <w:snapToGrid w:val="0"/>
              <w:spacing w:line="360" w:lineRule="auto"/>
              <w:ind w:firstLine="482" w:firstLineChars="200"/>
              <w:jc w:val="left"/>
              <w:rPr>
                <w:rFonts w:hint="eastAsia"/>
                <w:color w:val="auto"/>
                <w:lang w:val="en-US" w:eastAsia="zh-CN"/>
              </w:rPr>
            </w:pPr>
            <w:r>
              <w:rPr>
                <w:rFonts w:hint="default" w:ascii="Times New Roman" w:hAnsi="Times New Roman" w:cs="Times New Roman"/>
                <w:b/>
                <w:bCs/>
                <w:color w:val="auto"/>
                <w:kern w:val="0"/>
                <w:sz w:val="24"/>
                <w:lang w:bidi="ar"/>
              </w:rPr>
              <w:t>1、项目名称：</w:t>
            </w:r>
            <w:r>
              <w:rPr>
                <w:rFonts w:hint="eastAsia"/>
                <w:color w:val="auto"/>
                <w:lang w:val="en-US" w:eastAsia="zh-CN"/>
              </w:rPr>
              <w:t>芒市大河新桥电站至洞坎大桥段河道治理工程</w:t>
            </w:r>
          </w:p>
          <w:p w14:paraId="15BACD2E">
            <w:pPr>
              <w:adjustRightInd w:val="0"/>
              <w:snapToGrid w:val="0"/>
              <w:ind w:left="0" w:leftChars="0" w:firstLine="482" w:firstLineChars="200"/>
              <w:jc w:val="both"/>
              <w:rPr>
                <w:rFonts w:hint="default" w:ascii="Times New Roman" w:hAnsi="Times New Roman" w:cs="Times New Roman"/>
                <w:color w:val="auto"/>
                <w:kern w:val="0"/>
                <w:sz w:val="24"/>
                <w:lang w:bidi="ar"/>
              </w:rPr>
            </w:pPr>
            <w:r>
              <w:rPr>
                <w:rFonts w:hint="default" w:ascii="Times New Roman" w:hAnsi="Times New Roman" w:cs="Times New Roman"/>
                <w:b/>
                <w:bCs/>
                <w:color w:val="auto"/>
                <w:kern w:val="0"/>
                <w:sz w:val="24"/>
                <w:lang w:bidi="ar"/>
              </w:rPr>
              <w:t>2、建设地点：</w:t>
            </w:r>
            <w:r>
              <w:rPr>
                <w:rFonts w:hint="default"/>
                <w:color w:val="auto"/>
                <w:sz w:val="24"/>
                <w:szCs w:val="24"/>
                <w:u w:val="none"/>
              </w:rPr>
              <w:t>云南省</w:t>
            </w:r>
            <w:r>
              <w:rPr>
                <w:rFonts w:hint="eastAsia"/>
                <w:color w:val="auto"/>
                <w:sz w:val="24"/>
                <w:szCs w:val="24"/>
                <w:u w:val="none"/>
                <w:lang w:eastAsia="zh-CN"/>
              </w:rPr>
              <w:t>德宏傣族景颇族自治州</w:t>
            </w:r>
            <w:r>
              <w:rPr>
                <w:rFonts w:hint="eastAsia" w:cs="Times New Roman"/>
                <w:color w:val="auto"/>
                <w:sz w:val="24"/>
                <w:szCs w:val="24"/>
                <w:u w:val="none"/>
                <w:lang w:eastAsia="zh-CN"/>
              </w:rPr>
              <w:t>芒市芒市大河，</w:t>
            </w:r>
            <w:r>
              <w:rPr>
                <w:rFonts w:hint="default" w:ascii="Times New Roman" w:hAnsi="Times New Roman" w:eastAsia="宋体" w:cs="Times New Roman"/>
                <w:color w:val="auto"/>
                <w:sz w:val="24"/>
              </w:rPr>
              <w:t>起点</w:t>
            </w:r>
            <w:r>
              <w:rPr>
                <w:rFonts w:hint="default" w:ascii="Times New Roman" w:hAnsi="Times New Roman" w:eastAsia="宋体" w:cs="Times New Roman"/>
                <w:color w:val="auto"/>
                <w:kern w:val="0"/>
                <w:sz w:val="24"/>
                <w:szCs w:val="24"/>
                <w:lang w:val="en-US" w:eastAsia="zh-CN" w:bidi="ar-SA"/>
              </w:rPr>
              <w:t>98°36′44.</w:t>
            </w:r>
            <w:r>
              <w:rPr>
                <w:rFonts w:hint="eastAsia" w:ascii="Times New Roman" w:hAnsi="Times New Roman" w:eastAsia="宋体" w:cs="Times New Roman"/>
                <w:color w:val="auto"/>
                <w:kern w:val="0"/>
                <w:sz w:val="24"/>
                <w:szCs w:val="24"/>
                <w:lang w:val="en-US" w:eastAsia="zh-CN" w:bidi="ar-SA"/>
              </w:rPr>
              <w:t>152</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，24</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30</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32.503</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sz w:val="24"/>
              </w:rPr>
              <w:t>终点</w:t>
            </w:r>
            <w:r>
              <w:rPr>
                <w:rFonts w:hint="default" w:ascii="Times New Roman" w:hAnsi="Times New Roman" w:eastAsia="宋体" w:cs="Times New Roman"/>
                <w:color w:val="auto"/>
                <w:kern w:val="0"/>
                <w:sz w:val="24"/>
                <w:szCs w:val="24"/>
                <w:lang w:val="en-US" w:eastAsia="zh-CN" w:bidi="ar-SA"/>
              </w:rPr>
              <w:t>98°36′</w:t>
            </w:r>
            <w:r>
              <w:rPr>
                <w:rFonts w:hint="eastAsia" w:ascii="Times New Roman" w:hAnsi="Times New Roman" w:eastAsia="宋体" w:cs="Times New Roman"/>
                <w:color w:val="auto"/>
                <w:kern w:val="0"/>
                <w:sz w:val="24"/>
                <w:szCs w:val="24"/>
                <w:lang w:val="en-US" w:eastAsia="zh-CN" w:bidi="ar-SA"/>
              </w:rPr>
              <w:t>21.094</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0"/>
                <w:sz w:val="24"/>
                <w:szCs w:val="24"/>
                <w:lang w:val="en-US" w:eastAsia="zh-CN" w:bidi="ar-SA"/>
              </w:rPr>
              <w:t>24</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29</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28.368</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w:t>
            </w:r>
          </w:p>
          <w:p w14:paraId="5C80528F">
            <w:pPr>
              <w:adjustRightInd w:val="0"/>
              <w:snapToGrid w:val="0"/>
              <w:spacing w:line="360" w:lineRule="auto"/>
              <w:ind w:firstLine="482" w:firstLineChars="200"/>
              <w:jc w:val="left"/>
              <w:rPr>
                <w:rFonts w:hint="default" w:ascii="Times New Roman" w:hAnsi="Times New Roman" w:eastAsia="宋体" w:cs="Times New Roman"/>
                <w:b w:val="0"/>
                <w:bCs w:val="0"/>
                <w:color w:val="auto"/>
                <w:kern w:val="0"/>
                <w:sz w:val="24"/>
                <w:lang w:eastAsia="zh-CN" w:bidi="ar"/>
              </w:rPr>
            </w:pPr>
            <w:r>
              <w:rPr>
                <w:rFonts w:hint="default" w:ascii="Times New Roman" w:hAnsi="Times New Roman" w:cs="Times New Roman"/>
                <w:b/>
                <w:bCs/>
                <w:color w:val="auto"/>
                <w:kern w:val="0"/>
                <w:sz w:val="24"/>
                <w:lang w:bidi="ar"/>
              </w:rPr>
              <w:t>3、建设单位：</w:t>
            </w:r>
            <w:r>
              <w:rPr>
                <w:rFonts w:hint="default" w:ascii="Times New Roman" w:hAnsi="Times New Roman" w:cs="Times New Roman"/>
                <w:b w:val="0"/>
                <w:bCs w:val="0"/>
                <w:color w:val="auto"/>
                <w:kern w:val="0"/>
                <w:sz w:val="24"/>
                <w:lang w:eastAsia="zh-CN" w:bidi="ar"/>
              </w:rPr>
              <w:t>芒市人民政府水利局</w:t>
            </w:r>
          </w:p>
          <w:p w14:paraId="7507D2BD">
            <w:pPr>
              <w:adjustRightInd w:val="0"/>
              <w:snapToGrid w:val="0"/>
              <w:spacing w:line="360" w:lineRule="auto"/>
              <w:ind w:firstLine="482" w:firstLineChars="200"/>
              <w:jc w:val="left"/>
              <w:rPr>
                <w:rFonts w:hint="default" w:ascii="Times New Roman" w:hAnsi="Times New Roman" w:cs="Times New Roman"/>
                <w:b/>
                <w:bCs/>
                <w:color w:val="auto"/>
                <w:kern w:val="0"/>
                <w:sz w:val="24"/>
                <w:lang w:bidi="ar"/>
              </w:rPr>
            </w:pPr>
            <w:r>
              <w:rPr>
                <w:rFonts w:hint="default" w:ascii="Times New Roman" w:hAnsi="Times New Roman" w:cs="Times New Roman"/>
                <w:b/>
                <w:bCs/>
                <w:color w:val="auto"/>
                <w:kern w:val="0"/>
                <w:sz w:val="24"/>
                <w:lang w:bidi="ar"/>
              </w:rPr>
              <w:t>4、建设性质：</w:t>
            </w:r>
            <w:r>
              <w:rPr>
                <w:rFonts w:hint="default" w:ascii="Times New Roman" w:hAnsi="Times New Roman" w:cs="Times New Roman"/>
                <w:color w:val="auto"/>
                <w:kern w:val="0"/>
                <w:sz w:val="24"/>
                <w:lang w:bidi="ar"/>
              </w:rPr>
              <w:t>新建</w:t>
            </w:r>
          </w:p>
          <w:p w14:paraId="2FA8384F">
            <w:pPr>
              <w:adjustRightInd w:val="0"/>
              <w:snapToGrid w:val="0"/>
              <w:spacing w:line="360" w:lineRule="auto"/>
              <w:ind w:firstLine="482" w:firstLineChars="200"/>
              <w:rPr>
                <w:rFonts w:hint="default" w:ascii="Times New Roman" w:hAnsi="Times New Roman" w:eastAsia="宋体"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5、总投资：</w:t>
            </w:r>
            <w:r>
              <w:rPr>
                <w:rFonts w:hint="default"/>
                <w:color w:val="auto"/>
                <w:sz w:val="24"/>
                <w:szCs w:val="24"/>
                <w:lang w:val="en-US" w:eastAsia="zh-CN"/>
              </w:rPr>
              <w:t>854.</w:t>
            </w:r>
            <w:r>
              <w:rPr>
                <w:rFonts w:hint="eastAsia"/>
                <w:color w:val="auto"/>
                <w:sz w:val="24"/>
                <w:szCs w:val="24"/>
                <w:lang w:val="en-US" w:eastAsia="zh-CN"/>
              </w:rPr>
              <w:t>6</w:t>
            </w:r>
            <w:r>
              <w:rPr>
                <w:rFonts w:hint="default" w:ascii="Times New Roman" w:hAnsi="Times New Roman" w:cs="Times New Roman"/>
                <w:b w:val="0"/>
                <w:bCs w:val="0"/>
                <w:color w:val="auto"/>
                <w:kern w:val="0"/>
                <w:sz w:val="24"/>
                <w:lang w:val="en-US" w:eastAsia="zh-CN" w:bidi="ar"/>
              </w:rPr>
              <w:t>万元</w:t>
            </w:r>
          </w:p>
          <w:p w14:paraId="3578A926">
            <w:pPr>
              <w:adjustRightInd w:val="0"/>
              <w:snapToGrid w:val="0"/>
              <w:ind w:left="0" w:leftChars="0" w:firstLine="482" w:firstLineChars="200"/>
              <w:jc w:val="both"/>
              <w:rPr>
                <w:rFonts w:hint="default" w:eastAsia="宋体"/>
                <w:b/>
                <w:bCs/>
                <w:color w:val="auto"/>
                <w:lang w:val="en-US" w:eastAsia="zh-CN"/>
              </w:rPr>
            </w:pPr>
            <w:r>
              <w:rPr>
                <w:rFonts w:hint="default" w:ascii="Times New Roman" w:hAnsi="Times New Roman" w:cs="Times New Roman"/>
                <w:b/>
                <w:bCs/>
                <w:color w:val="auto"/>
                <w:kern w:val="0"/>
                <w:sz w:val="24"/>
                <w:lang w:val="en-US" w:eastAsia="zh-CN" w:bidi="ar"/>
              </w:rPr>
              <w:t>6</w:t>
            </w:r>
            <w:r>
              <w:rPr>
                <w:rFonts w:hint="default" w:ascii="Times New Roman" w:hAnsi="Times New Roman" w:cs="Times New Roman"/>
                <w:b/>
                <w:bCs/>
                <w:color w:val="auto"/>
                <w:kern w:val="0"/>
                <w:sz w:val="24"/>
                <w:lang w:bidi="ar"/>
              </w:rPr>
              <w:t>、主要建设内容和规模：</w:t>
            </w:r>
            <w:r>
              <w:rPr>
                <w:rFonts w:hint="default" w:ascii="Times New Roman" w:hAnsi="Times New Roman" w:eastAsia="宋体" w:cs="Times New Roman"/>
                <w:color w:val="auto"/>
                <w:sz w:val="24"/>
                <w:lang w:val="en-US" w:eastAsia="zh-CN"/>
              </w:rPr>
              <w:t>河段总长3830m，其中：左岸新建护岸1098.45m；右岸新建护岸1</w:t>
            </w:r>
            <w:r>
              <w:rPr>
                <w:rFonts w:hint="eastAsia" w:cs="Times New Roman"/>
                <w:color w:val="auto"/>
                <w:sz w:val="24"/>
                <w:lang w:val="en-US" w:eastAsia="zh-CN"/>
              </w:rPr>
              <w:t>707.04</w:t>
            </w:r>
            <w:r>
              <w:rPr>
                <w:rFonts w:hint="default" w:ascii="Times New Roman" w:hAnsi="Times New Roman" w:eastAsia="宋体" w:cs="Times New Roman"/>
                <w:color w:val="auto"/>
                <w:sz w:val="24"/>
                <w:lang w:val="en-US" w:eastAsia="zh-CN"/>
              </w:rPr>
              <w:t>m，共治理河堤</w:t>
            </w:r>
            <w:r>
              <w:rPr>
                <w:rFonts w:hint="eastAsia" w:cs="Times New Roman"/>
                <w:color w:val="auto"/>
                <w:sz w:val="24"/>
                <w:lang w:val="en-US" w:eastAsia="zh-CN"/>
              </w:rPr>
              <w:t>2805.49</w:t>
            </w:r>
            <w:r>
              <w:rPr>
                <w:rFonts w:hint="default" w:ascii="Times New Roman" w:hAnsi="Times New Roman" w:eastAsia="宋体" w:cs="Times New Roman"/>
                <w:color w:val="auto"/>
                <w:sz w:val="24"/>
                <w:lang w:val="en-US" w:eastAsia="zh-CN"/>
              </w:rPr>
              <w:t>m。</w:t>
            </w:r>
            <w:r>
              <w:rPr>
                <w:rFonts w:hint="eastAsia"/>
                <w:b/>
                <w:bCs/>
                <w:color w:val="auto"/>
                <w:lang w:val="en-US" w:eastAsia="zh-CN"/>
              </w:rPr>
              <w:t>项目治理内容仅为河堤的建设，不涉及河道疏浚工程。</w:t>
            </w:r>
          </w:p>
          <w:p w14:paraId="726DB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color w:val="auto"/>
                <w:lang w:val="en-US" w:eastAsia="zh-CN"/>
              </w:rPr>
            </w:pPr>
            <w:r>
              <w:rPr>
                <w:rFonts w:hint="eastAsia"/>
                <w:color w:val="auto"/>
                <w:lang w:val="en-US" w:eastAsia="zh-CN"/>
              </w:rPr>
              <w:t>7、</w:t>
            </w:r>
            <w:r>
              <w:rPr>
                <w:rFonts w:hint="default" w:ascii="Times New Roman" w:hAnsi="Times New Roman" w:cs="Times New Roman"/>
                <w:b/>
                <w:bCs/>
                <w:color w:val="auto"/>
                <w:kern w:val="0"/>
                <w:sz w:val="24"/>
                <w:lang w:val="en-US" w:eastAsia="zh-CN" w:bidi="ar"/>
              </w:rPr>
              <w:t>工程特性</w:t>
            </w:r>
          </w:p>
          <w:p w14:paraId="7E3947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kern w:val="28"/>
                <w:sz w:val="21"/>
                <w:szCs w:val="21"/>
              </w:rPr>
            </w:pPr>
            <w:r>
              <w:rPr>
                <w:rFonts w:hint="default" w:ascii="Times New Roman" w:hAnsi="Times New Roman" w:eastAsia="宋体" w:cs="Times New Roman"/>
                <w:b/>
                <w:bCs w:val="0"/>
                <w:kern w:val="28"/>
                <w:sz w:val="21"/>
                <w:szCs w:val="21"/>
                <w:lang w:val="en-US" w:eastAsia="zh-CN" w:bidi="ar"/>
              </w:rPr>
              <w:t>表</w:t>
            </w:r>
            <w:r>
              <w:rPr>
                <w:rFonts w:hint="eastAsia" w:ascii="Times New Roman" w:hAnsi="Times New Roman" w:eastAsia="宋体" w:cs="Times New Roman"/>
                <w:b/>
                <w:bCs w:val="0"/>
                <w:kern w:val="28"/>
                <w:sz w:val="21"/>
                <w:szCs w:val="21"/>
                <w:lang w:val="en-US" w:eastAsia="zh-CN" w:bidi="ar"/>
              </w:rPr>
              <w:t>2</w:t>
            </w:r>
            <w:r>
              <w:rPr>
                <w:rFonts w:hint="default" w:ascii="Times New Roman" w:hAnsi="Times New Roman" w:eastAsia="宋体" w:cs="Times New Roman"/>
                <w:b/>
                <w:bCs w:val="0"/>
                <w:kern w:val="28"/>
                <w:sz w:val="21"/>
                <w:szCs w:val="21"/>
                <w:lang w:val="en-US" w:eastAsia="zh-CN" w:bidi="ar"/>
              </w:rPr>
              <w:t>-1工程特性表</w:t>
            </w:r>
          </w:p>
          <w:tbl>
            <w:tblPr>
              <w:tblStyle w:val="23"/>
              <w:tblW w:w="7714"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11"/>
              <w:gridCol w:w="1364"/>
              <w:gridCol w:w="1724"/>
              <w:gridCol w:w="915"/>
            </w:tblGrid>
            <w:tr w14:paraId="4DC43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36F284C4">
                  <w:pPr>
                    <w:pStyle w:val="7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序号及名称</w:t>
                  </w:r>
                </w:p>
              </w:tc>
              <w:tc>
                <w:tcPr>
                  <w:tcW w:w="884" w:type="pct"/>
                  <w:tcBorders>
                    <w:tl2br w:val="nil"/>
                    <w:tr2bl w:val="nil"/>
                  </w:tcBorders>
                  <w:noWrap w:val="0"/>
                  <w:vAlign w:val="center"/>
                </w:tcPr>
                <w:p w14:paraId="5E388F73">
                  <w:pPr>
                    <w:pStyle w:val="7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单位</w:t>
                  </w:r>
                </w:p>
              </w:tc>
              <w:tc>
                <w:tcPr>
                  <w:tcW w:w="1117" w:type="pct"/>
                  <w:tcBorders>
                    <w:tl2br w:val="nil"/>
                    <w:tr2bl w:val="nil"/>
                  </w:tcBorders>
                  <w:noWrap w:val="0"/>
                  <w:vAlign w:val="center"/>
                </w:tcPr>
                <w:p w14:paraId="52C545AC">
                  <w:pPr>
                    <w:pStyle w:val="7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数 量</w:t>
                  </w:r>
                </w:p>
              </w:tc>
              <w:tc>
                <w:tcPr>
                  <w:tcW w:w="592" w:type="pct"/>
                  <w:tcBorders>
                    <w:tl2br w:val="nil"/>
                    <w:tr2bl w:val="nil"/>
                  </w:tcBorders>
                  <w:noWrap w:val="0"/>
                  <w:vAlign w:val="center"/>
                </w:tcPr>
                <w:p w14:paraId="7564256E">
                  <w:pPr>
                    <w:pStyle w:val="7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备  注</w:t>
                  </w:r>
                </w:p>
              </w:tc>
            </w:tr>
            <w:tr w14:paraId="25180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38B61B35">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一、水文</w:t>
                  </w:r>
                </w:p>
              </w:tc>
              <w:tc>
                <w:tcPr>
                  <w:tcW w:w="884" w:type="pct"/>
                  <w:tcBorders>
                    <w:tl2br w:val="nil"/>
                    <w:tr2bl w:val="nil"/>
                  </w:tcBorders>
                  <w:noWrap w:val="0"/>
                  <w:vAlign w:val="center"/>
                </w:tcPr>
                <w:p w14:paraId="4195DBCC">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1117" w:type="pct"/>
                  <w:tcBorders>
                    <w:tl2br w:val="nil"/>
                    <w:tr2bl w:val="nil"/>
                  </w:tcBorders>
                  <w:noWrap w:val="0"/>
                  <w:vAlign w:val="center"/>
                </w:tcPr>
                <w:p w14:paraId="1BE44291">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592" w:type="pct"/>
                  <w:tcBorders>
                    <w:tl2br w:val="nil"/>
                    <w:tr2bl w:val="nil"/>
                  </w:tcBorders>
                  <w:noWrap w:val="0"/>
                  <w:vAlign w:val="center"/>
                </w:tcPr>
                <w:p w14:paraId="6192BF41">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70FC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575F5A81">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1、治理段长度</w:t>
                  </w:r>
                </w:p>
              </w:tc>
              <w:tc>
                <w:tcPr>
                  <w:tcW w:w="884" w:type="pct"/>
                  <w:tcBorders>
                    <w:tl2br w:val="nil"/>
                    <w:tr2bl w:val="nil"/>
                  </w:tcBorders>
                  <w:noWrap w:val="0"/>
                  <w:vAlign w:val="center"/>
                </w:tcPr>
                <w:p w14:paraId="5959AB45">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p>
              </w:tc>
              <w:tc>
                <w:tcPr>
                  <w:tcW w:w="1117" w:type="pct"/>
                  <w:tcBorders>
                    <w:tl2br w:val="nil"/>
                    <w:tr2bl w:val="nil"/>
                  </w:tcBorders>
                  <w:noWrap w:val="0"/>
                  <w:vAlign w:val="center"/>
                </w:tcPr>
                <w:p w14:paraId="0713674B">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2805.49</w:t>
                  </w:r>
                </w:p>
              </w:tc>
              <w:tc>
                <w:tcPr>
                  <w:tcW w:w="592" w:type="pct"/>
                  <w:tcBorders>
                    <w:tl2br w:val="nil"/>
                    <w:tr2bl w:val="nil"/>
                  </w:tcBorders>
                  <w:noWrap w:val="0"/>
                  <w:vAlign w:val="center"/>
                </w:tcPr>
                <w:p w14:paraId="60E1E0CA">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50F1B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2782F449">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2、上游治理段10年一遇洪峰流量</w:t>
                  </w:r>
                </w:p>
              </w:tc>
              <w:tc>
                <w:tcPr>
                  <w:tcW w:w="884" w:type="pct"/>
                  <w:tcBorders>
                    <w:tl2br w:val="nil"/>
                    <w:tr2bl w:val="nil"/>
                  </w:tcBorders>
                  <w:noWrap w:val="0"/>
                  <w:vAlign w:val="center"/>
                </w:tcPr>
                <w:p w14:paraId="60DB8445">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/s</w:t>
                  </w:r>
                </w:p>
              </w:tc>
              <w:tc>
                <w:tcPr>
                  <w:tcW w:w="1117" w:type="pct"/>
                  <w:tcBorders>
                    <w:tl2br w:val="nil"/>
                    <w:tr2bl w:val="nil"/>
                  </w:tcBorders>
                  <w:noWrap w:val="0"/>
                  <w:vAlign w:val="center"/>
                </w:tcPr>
                <w:p w14:paraId="11D1ED71">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155</w:t>
                  </w:r>
                </w:p>
              </w:tc>
              <w:tc>
                <w:tcPr>
                  <w:tcW w:w="592" w:type="pct"/>
                  <w:tcBorders>
                    <w:tl2br w:val="nil"/>
                    <w:tr2bl w:val="nil"/>
                  </w:tcBorders>
                  <w:noWrap w:val="0"/>
                  <w:vAlign w:val="center"/>
                </w:tcPr>
                <w:p w14:paraId="3D84D6FB">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00516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55718F39">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二、防洪整治工程</w:t>
                  </w:r>
                </w:p>
              </w:tc>
              <w:tc>
                <w:tcPr>
                  <w:tcW w:w="884" w:type="pct"/>
                  <w:tcBorders>
                    <w:tl2br w:val="nil"/>
                    <w:tr2bl w:val="nil"/>
                  </w:tcBorders>
                  <w:noWrap w:val="0"/>
                  <w:vAlign w:val="center"/>
                </w:tcPr>
                <w:p w14:paraId="37002E7E">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1117" w:type="pct"/>
                  <w:tcBorders>
                    <w:tl2br w:val="nil"/>
                    <w:tr2bl w:val="nil"/>
                  </w:tcBorders>
                  <w:noWrap w:val="0"/>
                  <w:vAlign w:val="center"/>
                </w:tcPr>
                <w:p w14:paraId="4E36613D">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592" w:type="pct"/>
                  <w:tcBorders>
                    <w:tl2br w:val="nil"/>
                    <w:tr2bl w:val="nil"/>
                  </w:tcBorders>
                  <w:noWrap w:val="0"/>
                  <w:vAlign w:val="center"/>
                </w:tcPr>
                <w:p w14:paraId="26040977">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78465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4501718D">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1、防洪标准</w:t>
                  </w:r>
                </w:p>
              </w:tc>
              <w:tc>
                <w:tcPr>
                  <w:tcW w:w="884" w:type="pct"/>
                  <w:tcBorders>
                    <w:tl2br w:val="nil"/>
                    <w:tr2bl w:val="nil"/>
                  </w:tcBorders>
                  <w:noWrap w:val="0"/>
                  <w:vAlign w:val="center"/>
                </w:tcPr>
                <w:p w14:paraId="7E491B5E">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1117" w:type="pct"/>
                  <w:tcBorders>
                    <w:tl2br w:val="nil"/>
                    <w:tr2bl w:val="nil"/>
                  </w:tcBorders>
                  <w:noWrap w:val="0"/>
                  <w:vAlign w:val="center"/>
                </w:tcPr>
                <w:p w14:paraId="7668FC9F">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10年一遇</w:t>
                  </w:r>
                </w:p>
              </w:tc>
              <w:tc>
                <w:tcPr>
                  <w:tcW w:w="592" w:type="pct"/>
                  <w:tcBorders>
                    <w:tl2br w:val="nil"/>
                    <w:tr2bl w:val="nil"/>
                  </w:tcBorders>
                  <w:noWrap w:val="0"/>
                  <w:vAlign w:val="center"/>
                </w:tcPr>
                <w:p w14:paraId="4ED888EA">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2F31E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7BB2BC66">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2、保护人口</w:t>
                  </w:r>
                </w:p>
              </w:tc>
              <w:tc>
                <w:tcPr>
                  <w:tcW w:w="884" w:type="pct"/>
                  <w:tcBorders>
                    <w:tl2br w:val="nil"/>
                    <w:tr2bl w:val="nil"/>
                  </w:tcBorders>
                  <w:noWrap w:val="0"/>
                  <w:vAlign w:val="center"/>
                </w:tcPr>
                <w:p w14:paraId="6CCDE15A">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万人</w:t>
                  </w:r>
                </w:p>
              </w:tc>
              <w:tc>
                <w:tcPr>
                  <w:tcW w:w="1117" w:type="pct"/>
                  <w:tcBorders>
                    <w:tl2br w:val="nil"/>
                    <w:tr2bl w:val="nil"/>
                  </w:tcBorders>
                  <w:noWrap w:val="0"/>
                  <w:vAlign w:val="center"/>
                </w:tcPr>
                <w:p w14:paraId="30366782">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592" w:type="pct"/>
                  <w:tcBorders>
                    <w:tl2br w:val="nil"/>
                    <w:tr2bl w:val="nil"/>
                  </w:tcBorders>
                  <w:noWrap w:val="0"/>
                  <w:vAlign w:val="center"/>
                </w:tcPr>
                <w:p w14:paraId="687C8288">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A343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77271BB5">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3、保护</w:t>
                  </w:r>
                  <w:r>
                    <w:rPr>
                      <w:rFonts w:hint="eastAsia" w:ascii="Times New Roman" w:hAnsi="Times New Roman" w:cs="Times New Roman"/>
                      <w:color w:val="auto"/>
                      <w:lang w:val="en-US" w:eastAsia="zh-CN"/>
                    </w:rPr>
                    <w:t>耕地</w:t>
                  </w:r>
                  <w:r>
                    <w:rPr>
                      <w:rFonts w:hint="default" w:ascii="Times New Roman" w:hAnsi="Times New Roman" w:cs="Times New Roman"/>
                      <w:color w:val="auto"/>
                      <w:lang w:val="en-US" w:eastAsia="zh-CN"/>
                    </w:rPr>
                    <w:t>面积</w:t>
                  </w:r>
                </w:p>
              </w:tc>
              <w:tc>
                <w:tcPr>
                  <w:tcW w:w="884" w:type="pct"/>
                  <w:tcBorders>
                    <w:tl2br w:val="nil"/>
                    <w:tr2bl w:val="nil"/>
                  </w:tcBorders>
                  <w:noWrap w:val="0"/>
                  <w:vAlign w:val="center"/>
                </w:tcPr>
                <w:p w14:paraId="0FA98DF3">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万亩</w:t>
                  </w:r>
                </w:p>
              </w:tc>
              <w:tc>
                <w:tcPr>
                  <w:tcW w:w="1117" w:type="pct"/>
                  <w:tcBorders>
                    <w:tl2br w:val="nil"/>
                    <w:tr2bl w:val="nil"/>
                  </w:tcBorders>
                  <w:noWrap w:val="0"/>
                  <w:vAlign w:val="center"/>
                </w:tcPr>
                <w:p w14:paraId="1F8D7BE6">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0.4</w:t>
                  </w:r>
                </w:p>
              </w:tc>
              <w:tc>
                <w:tcPr>
                  <w:tcW w:w="592" w:type="pct"/>
                  <w:tcBorders>
                    <w:tl2br w:val="nil"/>
                    <w:tr2bl w:val="nil"/>
                  </w:tcBorders>
                  <w:noWrap w:val="0"/>
                  <w:vAlign w:val="center"/>
                </w:tcPr>
                <w:p w14:paraId="79811913">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ED25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2BD89BB0">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护岸</w:t>
                  </w:r>
                </w:p>
              </w:tc>
              <w:tc>
                <w:tcPr>
                  <w:tcW w:w="2594" w:type="pct"/>
                  <w:gridSpan w:val="3"/>
                  <w:tcBorders>
                    <w:tl2br w:val="nil"/>
                    <w:tr2bl w:val="nil"/>
                  </w:tcBorders>
                  <w:noWrap w:val="0"/>
                  <w:vAlign w:val="center"/>
                </w:tcPr>
                <w:p w14:paraId="20B80427">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钢筋石笼护岸</w:t>
                  </w:r>
                </w:p>
              </w:tc>
            </w:tr>
            <w:tr w14:paraId="5296F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0BE85CF3">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、工期</w:t>
                  </w:r>
                </w:p>
              </w:tc>
              <w:tc>
                <w:tcPr>
                  <w:tcW w:w="884" w:type="pct"/>
                  <w:tcBorders>
                    <w:tl2br w:val="nil"/>
                    <w:tr2bl w:val="nil"/>
                  </w:tcBorders>
                  <w:noWrap w:val="0"/>
                  <w:vAlign w:val="center"/>
                </w:tcPr>
                <w:p w14:paraId="236F9D94">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月</w:t>
                  </w:r>
                </w:p>
              </w:tc>
              <w:tc>
                <w:tcPr>
                  <w:tcW w:w="1117" w:type="pct"/>
                  <w:tcBorders>
                    <w:tl2br w:val="nil"/>
                    <w:tr2bl w:val="nil"/>
                  </w:tcBorders>
                  <w:noWrap w:val="0"/>
                  <w:vAlign w:val="center"/>
                </w:tcPr>
                <w:p w14:paraId="008C2906">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592" w:type="pct"/>
                  <w:tcBorders>
                    <w:tl2br w:val="nil"/>
                    <w:tr2bl w:val="nil"/>
                  </w:tcBorders>
                  <w:noWrap w:val="0"/>
                  <w:vAlign w:val="center"/>
                </w:tcPr>
                <w:p w14:paraId="07EB84C2">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5FF24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0689D74F">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三、护岸工程（K0+000.00～K3+830.00）</w:t>
                  </w:r>
                </w:p>
              </w:tc>
              <w:tc>
                <w:tcPr>
                  <w:tcW w:w="884" w:type="pct"/>
                  <w:tcBorders>
                    <w:tl2br w:val="nil"/>
                    <w:tr2bl w:val="nil"/>
                  </w:tcBorders>
                  <w:noWrap w:val="0"/>
                  <w:vAlign w:val="center"/>
                </w:tcPr>
                <w:p w14:paraId="5D04F131">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w:t>
                  </w:r>
                </w:p>
              </w:tc>
              <w:tc>
                <w:tcPr>
                  <w:tcW w:w="1117" w:type="pct"/>
                  <w:tcBorders>
                    <w:tl2br w:val="nil"/>
                    <w:tr2bl w:val="nil"/>
                  </w:tcBorders>
                  <w:noWrap w:val="0"/>
                  <w:vAlign w:val="center"/>
                </w:tcPr>
                <w:p w14:paraId="739B1C73">
                  <w:pPr>
                    <w:pStyle w:val="76"/>
                    <w:rPr>
                      <w:rFonts w:hint="default" w:ascii="Times New Roman" w:hAnsi="Times New Roman" w:cs="Times New Roman"/>
                      <w:color w:val="auto"/>
                      <w:lang w:val="en-US" w:eastAsia="zh-CN"/>
                    </w:rPr>
                  </w:pPr>
                </w:p>
              </w:tc>
              <w:tc>
                <w:tcPr>
                  <w:tcW w:w="592" w:type="pct"/>
                  <w:tcBorders>
                    <w:tl2br w:val="nil"/>
                    <w:tr2bl w:val="nil"/>
                  </w:tcBorders>
                  <w:noWrap w:val="0"/>
                  <w:vAlign w:val="center"/>
                </w:tcPr>
                <w:p w14:paraId="745699F7">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EB0B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3EACEF77">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1、砂砾土开挖（就近堆放）</w:t>
                  </w:r>
                </w:p>
              </w:tc>
              <w:tc>
                <w:tcPr>
                  <w:tcW w:w="884" w:type="pct"/>
                  <w:tcBorders>
                    <w:tl2br w:val="nil"/>
                    <w:tr2bl w:val="nil"/>
                  </w:tcBorders>
                  <w:noWrap w:val="0"/>
                  <w:vAlign w:val="center"/>
                </w:tcPr>
                <w:p w14:paraId="101203AA">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m</w:t>
                  </w:r>
                  <w:r>
                    <w:rPr>
                      <w:rFonts w:hint="default" w:ascii="Times New Roman" w:hAnsi="Times New Roman" w:cs="Times New Roman"/>
                      <w:color w:val="auto"/>
                      <w:vertAlign w:val="superscript"/>
                      <w:lang w:val="en-US" w:eastAsia="zh-CN"/>
                    </w:rPr>
                    <w:t>3</w:t>
                  </w:r>
                </w:p>
              </w:tc>
              <w:tc>
                <w:tcPr>
                  <w:tcW w:w="1117" w:type="pct"/>
                  <w:tcBorders>
                    <w:tl2br w:val="nil"/>
                    <w:tr2bl w:val="nil"/>
                  </w:tcBorders>
                  <w:noWrap w:val="0"/>
                  <w:vAlign w:val="center"/>
                </w:tcPr>
                <w:p w14:paraId="1922520B">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25249.68</w:t>
                  </w:r>
                </w:p>
              </w:tc>
              <w:tc>
                <w:tcPr>
                  <w:tcW w:w="592" w:type="pct"/>
                  <w:tcBorders>
                    <w:tl2br w:val="nil"/>
                    <w:tr2bl w:val="nil"/>
                  </w:tcBorders>
                  <w:noWrap w:val="0"/>
                  <w:vAlign w:val="center"/>
                </w:tcPr>
                <w:p w14:paraId="6DF5077B">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E593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0E400CFB">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2、砂砾土填筑（利用开挖料）</w:t>
                  </w:r>
                </w:p>
              </w:tc>
              <w:tc>
                <w:tcPr>
                  <w:tcW w:w="884" w:type="pct"/>
                  <w:tcBorders>
                    <w:tl2br w:val="nil"/>
                    <w:tr2bl w:val="nil"/>
                  </w:tcBorders>
                  <w:noWrap w:val="0"/>
                  <w:vAlign w:val="center"/>
                </w:tcPr>
                <w:p w14:paraId="7E4B8E20">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p>
              </w:tc>
              <w:tc>
                <w:tcPr>
                  <w:tcW w:w="1117" w:type="pct"/>
                  <w:tcBorders>
                    <w:tl2br w:val="nil"/>
                    <w:tr2bl w:val="nil"/>
                  </w:tcBorders>
                  <w:noWrap w:val="0"/>
                  <w:vAlign w:val="center"/>
                </w:tcPr>
                <w:p w14:paraId="226DABE0">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21398.03</w:t>
                  </w:r>
                </w:p>
              </w:tc>
              <w:tc>
                <w:tcPr>
                  <w:tcW w:w="592" w:type="pct"/>
                  <w:tcBorders>
                    <w:tl2br w:val="nil"/>
                    <w:tr2bl w:val="nil"/>
                  </w:tcBorders>
                  <w:noWrap w:val="0"/>
                  <w:vAlign w:val="center"/>
                </w:tcPr>
                <w:p w14:paraId="71E4BACD">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7B3C9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6AF4B529">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3、钢筋石笼挡墙（外购料，含钢筋）</w:t>
                  </w:r>
                </w:p>
              </w:tc>
              <w:tc>
                <w:tcPr>
                  <w:tcW w:w="884" w:type="pct"/>
                  <w:tcBorders>
                    <w:tl2br w:val="nil"/>
                    <w:tr2bl w:val="nil"/>
                  </w:tcBorders>
                  <w:noWrap w:val="0"/>
                  <w:vAlign w:val="center"/>
                </w:tcPr>
                <w:p w14:paraId="251117B2">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p>
              </w:tc>
              <w:tc>
                <w:tcPr>
                  <w:tcW w:w="1117" w:type="pct"/>
                  <w:tcBorders>
                    <w:tl2br w:val="nil"/>
                    <w:tr2bl w:val="nil"/>
                  </w:tcBorders>
                  <w:noWrap w:val="0"/>
                  <w:vAlign w:val="center"/>
                </w:tcPr>
                <w:p w14:paraId="540D4846">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32300.6</w:t>
                  </w:r>
                </w:p>
              </w:tc>
              <w:tc>
                <w:tcPr>
                  <w:tcW w:w="592" w:type="pct"/>
                  <w:tcBorders>
                    <w:tl2br w:val="nil"/>
                    <w:tr2bl w:val="nil"/>
                  </w:tcBorders>
                  <w:noWrap w:val="0"/>
                  <w:vAlign w:val="center"/>
                </w:tcPr>
                <w:p w14:paraId="56A026E2">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1E3E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43DB33A2">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4、钢筋石笼固床梁（外购料，含钢筋）</w:t>
                  </w:r>
                </w:p>
              </w:tc>
              <w:tc>
                <w:tcPr>
                  <w:tcW w:w="884" w:type="pct"/>
                  <w:tcBorders>
                    <w:tl2br w:val="nil"/>
                    <w:tr2bl w:val="nil"/>
                  </w:tcBorders>
                  <w:noWrap w:val="0"/>
                  <w:vAlign w:val="center"/>
                </w:tcPr>
                <w:p w14:paraId="78842FFC">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p>
              </w:tc>
              <w:tc>
                <w:tcPr>
                  <w:tcW w:w="1117" w:type="pct"/>
                  <w:tcBorders>
                    <w:tl2br w:val="nil"/>
                    <w:tr2bl w:val="nil"/>
                  </w:tcBorders>
                  <w:noWrap w:val="0"/>
                  <w:vAlign w:val="center"/>
                </w:tcPr>
                <w:p w14:paraId="4DAB645C">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940.50</w:t>
                  </w:r>
                </w:p>
              </w:tc>
              <w:tc>
                <w:tcPr>
                  <w:tcW w:w="592" w:type="pct"/>
                  <w:tcBorders>
                    <w:tl2br w:val="nil"/>
                    <w:tr2bl w:val="nil"/>
                  </w:tcBorders>
                  <w:noWrap w:val="0"/>
                  <w:vAlign w:val="center"/>
                </w:tcPr>
                <w:p w14:paraId="2FC0D516">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4D4A7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47247E17">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四、亲水踏步</w:t>
                  </w:r>
                </w:p>
              </w:tc>
              <w:tc>
                <w:tcPr>
                  <w:tcW w:w="884" w:type="pct"/>
                  <w:tcBorders>
                    <w:tl2br w:val="nil"/>
                    <w:tr2bl w:val="nil"/>
                  </w:tcBorders>
                  <w:noWrap w:val="0"/>
                  <w:vAlign w:val="center"/>
                </w:tcPr>
                <w:p w14:paraId="1027E4EE">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座</w:t>
                  </w:r>
                </w:p>
              </w:tc>
              <w:tc>
                <w:tcPr>
                  <w:tcW w:w="1117" w:type="pct"/>
                  <w:tcBorders>
                    <w:tl2br w:val="nil"/>
                    <w:tr2bl w:val="nil"/>
                  </w:tcBorders>
                  <w:noWrap w:val="0"/>
                  <w:vAlign w:val="center"/>
                </w:tcPr>
                <w:p w14:paraId="41D682D6">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592" w:type="pct"/>
                  <w:tcBorders>
                    <w:tl2br w:val="nil"/>
                    <w:tr2bl w:val="nil"/>
                  </w:tcBorders>
                  <w:noWrap w:val="0"/>
                  <w:vAlign w:val="center"/>
                </w:tcPr>
                <w:p w14:paraId="037B707E">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3AAD3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405" w:type="pct"/>
                  <w:tcBorders>
                    <w:tl2br w:val="nil"/>
                    <w:tr2bl w:val="nil"/>
                  </w:tcBorders>
                  <w:noWrap w:val="0"/>
                  <w:vAlign w:val="center"/>
                </w:tcPr>
                <w:p w14:paraId="1D1341E2">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C20 混凝土</w:t>
                  </w:r>
                </w:p>
              </w:tc>
              <w:tc>
                <w:tcPr>
                  <w:tcW w:w="884" w:type="pct"/>
                  <w:tcBorders>
                    <w:tl2br w:val="nil"/>
                    <w:tr2bl w:val="nil"/>
                  </w:tcBorders>
                  <w:noWrap w:val="0"/>
                  <w:vAlign w:val="center"/>
                </w:tcPr>
                <w:p w14:paraId="3135075D">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p>
              </w:tc>
              <w:tc>
                <w:tcPr>
                  <w:tcW w:w="1117" w:type="pct"/>
                  <w:tcBorders>
                    <w:tl2br w:val="nil"/>
                    <w:tr2bl w:val="nil"/>
                  </w:tcBorders>
                  <w:noWrap w:val="0"/>
                  <w:vAlign w:val="center"/>
                </w:tcPr>
                <w:p w14:paraId="4A7A10BC">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252</w:t>
                  </w:r>
                </w:p>
              </w:tc>
              <w:tc>
                <w:tcPr>
                  <w:tcW w:w="592" w:type="pct"/>
                  <w:tcBorders>
                    <w:tl2br w:val="nil"/>
                    <w:tr2bl w:val="nil"/>
                  </w:tcBorders>
                  <w:noWrap w:val="0"/>
                  <w:vAlign w:val="center"/>
                </w:tcPr>
                <w:p w14:paraId="51478D65">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3E7FB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4B75BA86">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普通模板</w:t>
                  </w:r>
                </w:p>
              </w:tc>
              <w:tc>
                <w:tcPr>
                  <w:tcW w:w="884" w:type="pct"/>
                  <w:tcBorders>
                    <w:tl2br w:val="nil"/>
                    <w:tr2bl w:val="nil"/>
                  </w:tcBorders>
                  <w:noWrap w:val="0"/>
                  <w:vAlign w:val="center"/>
                </w:tcPr>
                <w:p w14:paraId="667EDD7F">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p>
              </w:tc>
              <w:tc>
                <w:tcPr>
                  <w:tcW w:w="1117" w:type="pct"/>
                  <w:tcBorders>
                    <w:tl2br w:val="nil"/>
                    <w:tr2bl w:val="nil"/>
                  </w:tcBorders>
                  <w:noWrap w:val="0"/>
                  <w:vAlign w:val="center"/>
                </w:tcPr>
                <w:p w14:paraId="63FB5FA0">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630</w:t>
                  </w:r>
                </w:p>
              </w:tc>
              <w:tc>
                <w:tcPr>
                  <w:tcW w:w="592" w:type="pct"/>
                  <w:tcBorders>
                    <w:tl2br w:val="nil"/>
                    <w:tr2bl w:val="nil"/>
                  </w:tcBorders>
                  <w:noWrap w:val="0"/>
                  <w:vAlign w:val="center"/>
                </w:tcPr>
                <w:p w14:paraId="3B88BA5C">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7D05B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5DCD9581">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五、其他工程</w:t>
                  </w:r>
                </w:p>
              </w:tc>
              <w:tc>
                <w:tcPr>
                  <w:tcW w:w="884" w:type="pct"/>
                  <w:tcBorders>
                    <w:tl2br w:val="nil"/>
                    <w:tr2bl w:val="nil"/>
                  </w:tcBorders>
                  <w:noWrap w:val="0"/>
                  <w:vAlign w:val="center"/>
                </w:tcPr>
                <w:p w14:paraId="253FF2AD">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17" w:type="pct"/>
                  <w:tcBorders>
                    <w:tl2br w:val="nil"/>
                    <w:tr2bl w:val="nil"/>
                  </w:tcBorders>
                  <w:noWrap w:val="0"/>
                  <w:vAlign w:val="center"/>
                </w:tcPr>
                <w:p w14:paraId="67CAB3EA">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9.43</w:t>
                  </w:r>
                </w:p>
              </w:tc>
              <w:tc>
                <w:tcPr>
                  <w:tcW w:w="592" w:type="pct"/>
                  <w:tcBorders>
                    <w:tl2br w:val="nil"/>
                    <w:tr2bl w:val="nil"/>
                  </w:tcBorders>
                  <w:noWrap w:val="0"/>
                  <w:vAlign w:val="center"/>
                </w:tcPr>
                <w:p w14:paraId="0E521E92">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6F829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05" w:type="pct"/>
                  <w:tcBorders>
                    <w:tl2br w:val="nil"/>
                    <w:tr2bl w:val="nil"/>
                  </w:tcBorders>
                  <w:noWrap w:val="0"/>
                  <w:vAlign w:val="center"/>
                </w:tcPr>
                <w:p w14:paraId="46D50691">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警示标牌</w:t>
                  </w:r>
                </w:p>
              </w:tc>
              <w:tc>
                <w:tcPr>
                  <w:tcW w:w="884" w:type="pct"/>
                  <w:tcBorders>
                    <w:tl2br w:val="nil"/>
                    <w:tr2bl w:val="nil"/>
                  </w:tcBorders>
                  <w:noWrap w:val="0"/>
                  <w:vAlign w:val="center"/>
                </w:tcPr>
                <w:p w14:paraId="67AA4D8E">
                  <w:pPr>
                    <w:pStyle w:val="76"/>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套</w:t>
                  </w:r>
                </w:p>
              </w:tc>
              <w:tc>
                <w:tcPr>
                  <w:tcW w:w="1117" w:type="pct"/>
                  <w:tcBorders>
                    <w:tl2br w:val="nil"/>
                    <w:tr2bl w:val="nil"/>
                  </w:tcBorders>
                  <w:noWrap w:val="0"/>
                  <w:vAlign w:val="center"/>
                </w:tcPr>
                <w:p w14:paraId="6AA8D346">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592" w:type="pct"/>
                  <w:tcBorders>
                    <w:tl2br w:val="nil"/>
                    <w:tr2bl w:val="nil"/>
                  </w:tcBorders>
                  <w:noWrap w:val="0"/>
                  <w:vAlign w:val="center"/>
                </w:tcPr>
                <w:p w14:paraId="34967910">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r w14:paraId="7B471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405" w:type="pct"/>
                  <w:tcBorders>
                    <w:tl2br w:val="nil"/>
                    <w:tr2bl w:val="nil"/>
                  </w:tcBorders>
                  <w:noWrap w:val="0"/>
                  <w:vAlign w:val="center"/>
                </w:tcPr>
                <w:p w14:paraId="701D0C4C">
                  <w:pPr>
                    <w:pStyle w:val="7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水位尺</w:t>
                  </w:r>
                </w:p>
              </w:tc>
              <w:tc>
                <w:tcPr>
                  <w:tcW w:w="884" w:type="pct"/>
                  <w:tcBorders>
                    <w:tl2br w:val="nil"/>
                    <w:tr2bl w:val="nil"/>
                  </w:tcBorders>
                  <w:noWrap w:val="0"/>
                  <w:vAlign w:val="center"/>
                </w:tcPr>
                <w:p w14:paraId="61D08EE9">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个</w:t>
                  </w:r>
                  <w:r>
                    <w:rPr>
                      <w:rFonts w:hint="default" w:ascii="Times New Roman" w:hAnsi="Times New Roman" w:cs="Times New Roman"/>
                      <w:color w:val="auto"/>
                      <w:lang w:val="en-US" w:eastAsia="zh-CN"/>
                    </w:rPr>
                    <w:t>　</w:t>
                  </w:r>
                </w:p>
              </w:tc>
              <w:tc>
                <w:tcPr>
                  <w:tcW w:w="1117" w:type="pct"/>
                  <w:tcBorders>
                    <w:tl2br w:val="nil"/>
                    <w:tr2bl w:val="nil"/>
                  </w:tcBorders>
                  <w:noWrap w:val="0"/>
                  <w:vAlign w:val="center"/>
                </w:tcPr>
                <w:p w14:paraId="6ECCF35E">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592" w:type="pct"/>
                  <w:tcBorders>
                    <w:tl2br w:val="nil"/>
                    <w:tr2bl w:val="nil"/>
                  </w:tcBorders>
                  <w:noWrap w:val="0"/>
                  <w:vAlign w:val="center"/>
                </w:tcPr>
                <w:p w14:paraId="69313A1A">
                  <w:pPr>
                    <w:pStyle w:val="76"/>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w:t>
                  </w:r>
                </w:p>
              </w:tc>
            </w:tr>
          </w:tbl>
          <w:p w14:paraId="7D7D15AF">
            <w:pPr>
              <w:numPr>
                <w:ilvl w:val="0"/>
                <w:numId w:val="0"/>
              </w:numPr>
              <w:adjustRightInd w:val="0"/>
              <w:snapToGrid w:val="0"/>
              <w:spacing w:line="360" w:lineRule="auto"/>
              <w:jc w:val="left"/>
              <w:rPr>
                <w:rFonts w:hint="eastAsia"/>
                <w:color w:val="auto"/>
                <w:lang w:val="en-US" w:eastAsia="zh-CN"/>
              </w:rPr>
            </w:pPr>
          </w:p>
          <w:p w14:paraId="36F54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both"/>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工程组成</w:t>
            </w:r>
          </w:p>
          <w:p w14:paraId="30CBE930">
            <w:pPr>
              <w:pStyle w:val="37"/>
              <w:bidi w:val="0"/>
              <w:ind w:left="0" w:leftChars="0" w:firstLine="480" w:firstLineChars="200"/>
              <w:rPr>
                <w:rFonts w:hint="default"/>
                <w:color w:val="auto"/>
              </w:rPr>
            </w:pPr>
            <w:r>
              <w:rPr>
                <w:rFonts w:hint="default" w:ascii="Times New Roman" w:hAnsi="Times New Roman" w:eastAsia="宋体" w:cs="Times New Roman"/>
                <w:b w:val="0"/>
                <w:color w:val="auto"/>
                <w:kern w:val="0"/>
                <w:sz w:val="24"/>
                <w:szCs w:val="24"/>
                <w:lang w:val="en-US" w:eastAsia="zh-CN" w:bidi="ar"/>
              </w:rPr>
              <w:t>工程治理主要建设内容组成详见表2-</w:t>
            </w:r>
            <w:r>
              <w:rPr>
                <w:rFonts w:hint="eastAsia" w:ascii="Times New Roman" w:hAnsi="Times New Roman" w:eastAsia="宋体" w:cs="Times New Roman"/>
                <w:b w:val="0"/>
                <w:color w:val="auto"/>
                <w:kern w:val="0"/>
                <w:sz w:val="24"/>
                <w:szCs w:val="24"/>
                <w:lang w:val="en-US" w:eastAsia="zh-CN" w:bidi="ar"/>
              </w:rPr>
              <w:t>2</w:t>
            </w:r>
            <w:r>
              <w:rPr>
                <w:color w:val="auto"/>
              </w:rPr>
              <w:t>。</w:t>
            </w:r>
          </w:p>
          <w:p w14:paraId="49DAFA2B">
            <w:pPr>
              <w:pStyle w:val="32"/>
              <w:bidi w:val="0"/>
              <w:spacing w:line="240" w:lineRule="auto"/>
              <w:rPr>
                <w:rFonts w:hint="default"/>
                <w:color w:val="auto"/>
              </w:rPr>
            </w:pPr>
            <w:r>
              <w:rPr>
                <w:rFonts w:hint="default"/>
                <w:color w:val="auto"/>
              </w:rPr>
              <w:t>表2-</w:t>
            </w:r>
            <w:r>
              <w:rPr>
                <w:rFonts w:hint="eastAsia"/>
                <w:color w:val="auto"/>
                <w:lang w:val="en-US" w:eastAsia="zh-CN"/>
              </w:rPr>
              <w:t xml:space="preserve">2 </w:t>
            </w:r>
            <w:r>
              <w:rPr>
                <w:rFonts w:hint="default"/>
                <w:color w:val="auto"/>
              </w:rPr>
              <w:t>工程项目组成一览表</w:t>
            </w:r>
          </w:p>
          <w:tbl>
            <w:tblPr>
              <w:tblStyle w:val="23"/>
              <w:tblW w:w="78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81"/>
              <w:gridCol w:w="1319"/>
              <w:gridCol w:w="10"/>
              <w:gridCol w:w="1182"/>
              <w:gridCol w:w="935"/>
              <w:gridCol w:w="2286"/>
              <w:gridCol w:w="682"/>
            </w:tblGrid>
            <w:tr w14:paraId="120E2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dxa"/>
                  <w:gridSpan w:val="2"/>
                  <w:tcBorders>
                    <w:tl2br w:val="nil"/>
                    <w:tr2bl w:val="nil"/>
                  </w:tcBorders>
                  <w:noWrap w:val="0"/>
                  <w:vAlign w:val="center"/>
                </w:tcPr>
                <w:p w14:paraId="5182F0F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工程类别</w:t>
                  </w:r>
                </w:p>
              </w:tc>
              <w:tc>
                <w:tcPr>
                  <w:tcW w:w="6313" w:type="dxa"/>
                  <w:gridSpan w:val="6"/>
                  <w:tcBorders>
                    <w:tl2br w:val="nil"/>
                    <w:tr2bl w:val="nil"/>
                  </w:tcBorders>
                  <w:noWrap w:val="0"/>
                  <w:vAlign w:val="center"/>
                </w:tcPr>
                <w:p w14:paraId="6E130DD4">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建设内容及规模</w:t>
                  </w:r>
                </w:p>
              </w:tc>
              <w:tc>
                <w:tcPr>
                  <w:tcW w:w="682" w:type="dxa"/>
                  <w:vMerge w:val="restart"/>
                  <w:tcBorders>
                    <w:tl2br w:val="nil"/>
                    <w:tr2bl w:val="nil"/>
                  </w:tcBorders>
                  <w:noWrap w:val="0"/>
                  <w:vAlign w:val="center"/>
                </w:tcPr>
                <w:p w14:paraId="74A0A68C">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建设性质</w:t>
                  </w:r>
                </w:p>
              </w:tc>
            </w:tr>
            <w:tr w14:paraId="5CF6A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6" w:type="dxa"/>
                  <w:vMerge w:val="restart"/>
                  <w:tcBorders>
                    <w:tl2br w:val="nil"/>
                    <w:tr2bl w:val="nil"/>
                  </w:tcBorders>
                  <w:noWrap w:val="0"/>
                  <w:vAlign w:val="center"/>
                </w:tcPr>
                <w:p w14:paraId="677BD77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主体工程</w:t>
                  </w:r>
                </w:p>
              </w:tc>
              <w:tc>
                <w:tcPr>
                  <w:tcW w:w="426" w:type="dxa"/>
                  <w:vMerge w:val="restart"/>
                  <w:tcBorders>
                    <w:tl2br w:val="nil"/>
                    <w:tr2bl w:val="nil"/>
                  </w:tcBorders>
                  <w:noWrap w:val="0"/>
                  <w:vAlign w:val="center"/>
                </w:tcPr>
                <w:p w14:paraId="11A14AE6">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护岸</w:t>
                  </w:r>
                  <w:r>
                    <w:rPr>
                      <w:rFonts w:hint="default" w:ascii="Times New Roman" w:hAnsi="Times New Roman" w:eastAsia="宋体" w:cs="Times New Roman"/>
                      <w:color w:val="auto"/>
                      <w:lang w:val="en-US" w:eastAsia="zh-CN"/>
                    </w:rPr>
                    <w:t>工程</w:t>
                  </w:r>
                </w:p>
              </w:tc>
              <w:tc>
                <w:tcPr>
                  <w:tcW w:w="581" w:type="dxa"/>
                  <w:vMerge w:val="restart"/>
                  <w:tcBorders>
                    <w:tl2br w:val="nil"/>
                    <w:tr2bl w:val="nil"/>
                  </w:tcBorders>
                  <w:noWrap w:val="0"/>
                  <w:vAlign w:val="center"/>
                </w:tcPr>
                <w:p w14:paraId="73DC26F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部位</w:t>
                  </w:r>
                </w:p>
              </w:tc>
              <w:tc>
                <w:tcPr>
                  <w:tcW w:w="2511" w:type="dxa"/>
                  <w:gridSpan w:val="3"/>
                  <w:tcBorders>
                    <w:tl2br w:val="nil"/>
                    <w:tr2bl w:val="nil"/>
                  </w:tcBorders>
                  <w:noWrap w:val="0"/>
                  <w:vAlign w:val="center"/>
                </w:tcPr>
                <w:p w14:paraId="0611F206">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治理河段</w:t>
                  </w:r>
                </w:p>
              </w:tc>
              <w:tc>
                <w:tcPr>
                  <w:tcW w:w="935" w:type="dxa"/>
                  <w:vMerge w:val="restart"/>
                  <w:tcBorders>
                    <w:tl2br w:val="nil"/>
                    <w:tr2bl w:val="nil"/>
                  </w:tcBorders>
                  <w:noWrap w:val="0"/>
                  <w:vAlign w:val="center"/>
                </w:tcPr>
                <w:p w14:paraId="0098CE2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长度（m）</w:t>
                  </w:r>
                </w:p>
              </w:tc>
              <w:tc>
                <w:tcPr>
                  <w:tcW w:w="2286" w:type="dxa"/>
                  <w:vMerge w:val="restart"/>
                  <w:tcBorders>
                    <w:tl2br w:val="nil"/>
                    <w:tr2bl w:val="nil"/>
                  </w:tcBorders>
                  <w:noWrap w:val="0"/>
                  <w:vAlign w:val="center"/>
                </w:tcPr>
                <w:p w14:paraId="0B8F0BD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治理方案</w:t>
                  </w:r>
                </w:p>
              </w:tc>
              <w:tc>
                <w:tcPr>
                  <w:tcW w:w="682" w:type="dxa"/>
                  <w:vMerge w:val="continue"/>
                  <w:tcBorders>
                    <w:tl2br w:val="nil"/>
                    <w:tr2bl w:val="nil"/>
                  </w:tcBorders>
                  <w:noWrap w:val="0"/>
                  <w:vAlign w:val="center"/>
                </w:tcPr>
                <w:p w14:paraId="54F1C190">
                  <w:pPr>
                    <w:pStyle w:val="76"/>
                    <w:spacing w:line="240" w:lineRule="auto"/>
                    <w:rPr>
                      <w:rFonts w:hint="default" w:ascii="Times New Roman" w:hAnsi="Times New Roman" w:eastAsia="宋体" w:cs="Times New Roman"/>
                      <w:color w:val="auto"/>
                      <w:lang w:val="en-US" w:eastAsia="zh-CN"/>
                    </w:rPr>
                  </w:pPr>
                </w:p>
              </w:tc>
            </w:tr>
            <w:tr w14:paraId="69D3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6" w:type="dxa"/>
                  <w:vMerge w:val="continue"/>
                  <w:tcBorders>
                    <w:tl2br w:val="nil"/>
                    <w:tr2bl w:val="nil"/>
                  </w:tcBorders>
                  <w:noWrap w:val="0"/>
                  <w:vAlign w:val="center"/>
                </w:tcPr>
                <w:p w14:paraId="013B7B3F">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47E3BFA6">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28EB1A2A">
                  <w:pPr>
                    <w:pStyle w:val="76"/>
                    <w:spacing w:line="240" w:lineRule="auto"/>
                    <w:rPr>
                      <w:rFonts w:hint="default" w:ascii="Times New Roman" w:hAnsi="Times New Roman" w:eastAsia="宋体" w:cs="Times New Roman"/>
                      <w:color w:val="auto"/>
                      <w:lang w:val="en-US" w:eastAsia="zh-CN"/>
                    </w:rPr>
                  </w:pPr>
                </w:p>
              </w:tc>
              <w:tc>
                <w:tcPr>
                  <w:tcW w:w="1329" w:type="dxa"/>
                  <w:gridSpan w:val="2"/>
                  <w:tcBorders>
                    <w:tl2br w:val="nil"/>
                    <w:tr2bl w:val="nil"/>
                  </w:tcBorders>
                  <w:noWrap w:val="0"/>
                  <w:vAlign w:val="center"/>
                </w:tcPr>
                <w:p w14:paraId="504742CD">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起点</w:t>
                  </w:r>
                </w:p>
              </w:tc>
              <w:tc>
                <w:tcPr>
                  <w:tcW w:w="1182" w:type="dxa"/>
                  <w:tcBorders>
                    <w:tl2br w:val="nil"/>
                    <w:tr2bl w:val="nil"/>
                  </w:tcBorders>
                  <w:noWrap w:val="0"/>
                  <w:vAlign w:val="center"/>
                </w:tcPr>
                <w:p w14:paraId="30093B6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终点</w:t>
                  </w:r>
                </w:p>
              </w:tc>
              <w:tc>
                <w:tcPr>
                  <w:tcW w:w="935" w:type="dxa"/>
                  <w:vMerge w:val="continue"/>
                  <w:tcBorders>
                    <w:tl2br w:val="nil"/>
                    <w:tr2bl w:val="nil"/>
                  </w:tcBorders>
                  <w:noWrap w:val="0"/>
                  <w:vAlign w:val="center"/>
                </w:tcPr>
                <w:p w14:paraId="0D610443">
                  <w:pPr>
                    <w:pStyle w:val="76"/>
                    <w:spacing w:line="240" w:lineRule="auto"/>
                    <w:rPr>
                      <w:rFonts w:hint="default" w:ascii="Times New Roman" w:hAnsi="Times New Roman" w:eastAsia="宋体" w:cs="Times New Roman"/>
                      <w:color w:val="auto"/>
                      <w:lang w:val="en-US" w:eastAsia="zh-CN"/>
                    </w:rPr>
                  </w:pPr>
                </w:p>
              </w:tc>
              <w:tc>
                <w:tcPr>
                  <w:tcW w:w="2286" w:type="dxa"/>
                  <w:vMerge w:val="continue"/>
                  <w:tcBorders>
                    <w:tl2br w:val="nil"/>
                    <w:tr2bl w:val="nil"/>
                  </w:tcBorders>
                  <w:noWrap w:val="0"/>
                  <w:vAlign w:val="center"/>
                </w:tcPr>
                <w:p w14:paraId="62582EC3">
                  <w:pPr>
                    <w:pStyle w:val="76"/>
                    <w:spacing w:line="240" w:lineRule="auto"/>
                    <w:rPr>
                      <w:rFonts w:hint="default" w:ascii="Times New Roman" w:hAnsi="Times New Roman" w:eastAsia="宋体" w:cs="Times New Roman"/>
                      <w:color w:val="auto"/>
                      <w:lang w:val="en-US" w:eastAsia="zh-CN"/>
                    </w:rPr>
                  </w:pPr>
                </w:p>
              </w:tc>
              <w:tc>
                <w:tcPr>
                  <w:tcW w:w="682" w:type="dxa"/>
                  <w:vMerge w:val="continue"/>
                  <w:tcBorders>
                    <w:tl2br w:val="nil"/>
                    <w:tr2bl w:val="nil"/>
                  </w:tcBorders>
                  <w:noWrap w:val="0"/>
                  <w:vAlign w:val="center"/>
                </w:tcPr>
                <w:p w14:paraId="40E38255">
                  <w:pPr>
                    <w:pStyle w:val="76"/>
                    <w:spacing w:line="240" w:lineRule="auto"/>
                    <w:rPr>
                      <w:rFonts w:hint="default" w:ascii="Times New Roman" w:hAnsi="Times New Roman" w:eastAsia="宋体" w:cs="Times New Roman"/>
                      <w:color w:val="auto"/>
                      <w:lang w:val="en-US" w:eastAsia="zh-CN"/>
                    </w:rPr>
                  </w:pPr>
                </w:p>
              </w:tc>
            </w:tr>
            <w:tr w14:paraId="460AC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tcBorders>
                    <w:tl2br w:val="nil"/>
                    <w:tr2bl w:val="nil"/>
                  </w:tcBorders>
                  <w:noWrap w:val="0"/>
                  <w:vAlign w:val="center"/>
                </w:tcPr>
                <w:p w14:paraId="75999792">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44DC98A7">
                  <w:pPr>
                    <w:pStyle w:val="76"/>
                    <w:spacing w:line="240" w:lineRule="auto"/>
                    <w:rPr>
                      <w:rFonts w:hint="default" w:ascii="Times New Roman" w:hAnsi="Times New Roman" w:eastAsia="宋体" w:cs="Times New Roman"/>
                      <w:color w:val="auto"/>
                      <w:lang w:val="en-US" w:eastAsia="zh-CN"/>
                    </w:rPr>
                  </w:pPr>
                </w:p>
              </w:tc>
              <w:tc>
                <w:tcPr>
                  <w:tcW w:w="581" w:type="dxa"/>
                  <w:vMerge w:val="restart"/>
                  <w:tcBorders>
                    <w:tl2br w:val="nil"/>
                    <w:tr2bl w:val="nil"/>
                  </w:tcBorders>
                  <w:noWrap w:val="0"/>
                  <w:vAlign w:val="center"/>
                </w:tcPr>
                <w:p w14:paraId="633912B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左岸</w:t>
                  </w:r>
                </w:p>
              </w:tc>
              <w:tc>
                <w:tcPr>
                  <w:tcW w:w="1319" w:type="dxa"/>
                  <w:tcBorders>
                    <w:tl2br w:val="nil"/>
                    <w:tr2bl w:val="nil"/>
                  </w:tcBorders>
                  <w:noWrap w:val="0"/>
                  <w:vAlign w:val="center"/>
                </w:tcPr>
                <w:p w14:paraId="4F4C82F9">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Z0+000.00</w:t>
                  </w:r>
                </w:p>
              </w:tc>
              <w:tc>
                <w:tcPr>
                  <w:tcW w:w="1192" w:type="dxa"/>
                  <w:gridSpan w:val="2"/>
                  <w:tcBorders>
                    <w:tl2br w:val="nil"/>
                    <w:tr2bl w:val="nil"/>
                  </w:tcBorders>
                  <w:noWrap w:val="0"/>
                  <w:vAlign w:val="center"/>
                </w:tcPr>
                <w:p w14:paraId="37630D2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Z0+260.00</w:t>
                  </w:r>
                </w:p>
              </w:tc>
              <w:tc>
                <w:tcPr>
                  <w:tcW w:w="935" w:type="dxa"/>
                  <w:tcBorders>
                    <w:tl2br w:val="nil"/>
                    <w:tr2bl w:val="nil"/>
                  </w:tcBorders>
                  <w:noWrap w:val="0"/>
                  <w:vAlign w:val="center"/>
                </w:tcPr>
                <w:p w14:paraId="6DFA4209">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260</w:t>
                  </w:r>
                </w:p>
              </w:tc>
              <w:tc>
                <w:tcPr>
                  <w:tcW w:w="2286" w:type="dxa"/>
                  <w:tcBorders>
                    <w:tl2br w:val="nil"/>
                    <w:tr2bl w:val="nil"/>
                  </w:tcBorders>
                  <w:noWrap w:val="0"/>
                  <w:vAlign w:val="center"/>
                </w:tcPr>
                <w:p w14:paraId="18AF0E73">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现状为电站大沟沟垹</w:t>
                  </w:r>
                </w:p>
                <w:p w14:paraId="72CC8F5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18091F16">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2AFFA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tcBorders>
                    <w:tl2br w:val="nil"/>
                    <w:tr2bl w:val="nil"/>
                  </w:tcBorders>
                  <w:noWrap w:val="0"/>
                  <w:vAlign w:val="center"/>
                </w:tcPr>
                <w:p w14:paraId="194E785F">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385F7563">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D55C7B5">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09B7CDF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w:t>
                  </w:r>
                  <w:r>
                    <w:rPr>
                      <w:rFonts w:hint="eastAsia" w:ascii="Times New Roman" w:hAnsi="Times New Roman" w:eastAsia="宋体" w:cs="Times New Roman"/>
                      <w:color w:val="auto"/>
                      <w:lang w:val="en-US" w:eastAsia="zh-CN"/>
                    </w:rPr>
                    <w:t>260</w:t>
                  </w:r>
                  <w:r>
                    <w:rPr>
                      <w:rFonts w:hint="default" w:ascii="Times New Roman" w:hAnsi="Times New Roman" w:eastAsia="宋体" w:cs="Times New Roman"/>
                      <w:color w:val="auto"/>
                      <w:lang w:val="en-US" w:eastAsia="zh-CN"/>
                    </w:rPr>
                    <w:t>.00</w:t>
                  </w:r>
                </w:p>
              </w:tc>
              <w:tc>
                <w:tcPr>
                  <w:tcW w:w="1192" w:type="dxa"/>
                  <w:gridSpan w:val="2"/>
                  <w:tcBorders>
                    <w:tl2br w:val="nil"/>
                    <w:tr2bl w:val="nil"/>
                  </w:tcBorders>
                  <w:noWrap w:val="0"/>
                  <w:vAlign w:val="center"/>
                </w:tcPr>
                <w:p w14:paraId="3980803D">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Z0+459.77</w:t>
                  </w:r>
                </w:p>
              </w:tc>
              <w:tc>
                <w:tcPr>
                  <w:tcW w:w="935" w:type="dxa"/>
                  <w:tcBorders>
                    <w:tl2br w:val="nil"/>
                    <w:tr2bl w:val="nil"/>
                  </w:tcBorders>
                  <w:noWrap w:val="0"/>
                  <w:vAlign w:val="center"/>
                </w:tcPr>
                <w:p w14:paraId="731E29F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199.77</w:t>
                  </w:r>
                </w:p>
              </w:tc>
              <w:tc>
                <w:tcPr>
                  <w:tcW w:w="2286" w:type="dxa"/>
                  <w:tcBorders>
                    <w:tl2br w:val="nil"/>
                    <w:tr2bl w:val="nil"/>
                  </w:tcBorders>
                  <w:noWrap w:val="0"/>
                  <w:vAlign w:val="center"/>
                </w:tcPr>
                <w:p w14:paraId="49E1FAF8">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023FB44B">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1F70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26" w:type="dxa"/>
                  <w:vMerge w:val="continue"/>
                  <w:tcBorders>
                    <w:tl2br w:val="nil"/>
                    <w:tr2bl w:val="nil"/>
                  </w:tcBorders>
                  <w:noWrap w:val="0"/>
                  <w:vAlign w:val="center"/>
                </w:tcPr>
                <w:p w14:paraId="5EBD9E9C">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25A9314C">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4784DF50">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5C5F514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Z0+459.77</w:t>
                  </w:r>
                </w:p>
              </w:tc>
              <w:tc>
                <w:tcPr>
                  <w:tcW w:w="1192" w:type="dxa"/>
                  <w:gridSpan w:val="2"/>
                  <w:tcBorders>
                    <w:tl2br w:val="nil"/>
                    <w:tr2bl w:val="nil"/>
                  </w:tcBorders>
                  <w:noWrap w:val="0"/>
                  <w:vAlign w:val="center"/>
                </w:tcPr>
                <w:p w14:paraId="3323618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Z0+782.85</w:t>
                  </w:r>
                </w:p>
              </w:tc>
              <w:tc>
                <w:tcPr>
                  <w:tcW w:w="935" w:type="dxa"/>
                  <w:tcBorders>
                    <w:tl2br w:val="nil"/>
                    <w:tr2bl w:val="nil"/>
                  </w:tcBorders>
                  <w:noWrap w:val="0"/>
                  <w:vAlign w:val="center"/>
                </w:tcPr>
                <w:p w14:paraId="770C789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323.08</w:t>
                  </w:r>
                </w:p>
              </w:tc>
              <w:tc>
                <w:tcPr>
                  <w:tcW w:w="2286" w:type="dxa"/>
                  <w:tcBorders>
                    <w:tl2br w:val="nil"/>
                    <w:tr2bl w:val="nil"/>
                  </w:tcBorders>
                  <w:noWrap w:val="0"/>
                  <w:vAlign w:val="center"/>
                </w:tcPr>
                <w:p w14:paraId="49D5D601">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天然河岸高于防洪高程满足防洪要求，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42B79EB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12A6D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26" w:type="dxa"/>
                  <w:vMerge w:val="continue"/>
                  <w:tcBorders>
                    <w:tl2br w:val="nil"/>
                    <w:tr2bl w:val="nil"/>
                  </w:tcBorders>
                  <w:noWrap w:val="0"/>
                  <w:vAlign w:val="center"/>
                </w:tcPr>
                <w:p w14:paraId="32068496">
                  <w:pPr>
                    <w:pStyle w:val="76"/>
                    <w:spacing w:line="240" w:lineRule="auto"/>
                  </w:pPr>
                </w:p>
              </w:tc>
              <w:tc>
                <w:tcPr>
                  <w:tcW w:w="426" w:type="dxa"/>
                  <w:vMerge w:val="continue"/>
                  <w:tcBorders>
                    <w:tl2br w:val="nil"/>
                    <w:tr2bl w:val="nil"/>
                  </w:tcBorders>
                  <w:noWrap w:val="0"/>
                  <w:vAlign w:val="center"/>
                </w:tcPr>
                <w:p w14:paraId="6F594135">
                  <w:pPr>
                    <w:pStyle w:val="76"/>
                    <w:spacing w:line="240" w:lineRule="auto"/>
                  </w:pPr>
                </w:p>
              </w:tc>
              <w:tc>
                <w:tcPr>
                  <w:tcW w:w="581" w:type="dxa"/>
                  <w:vMerge w:val="continue"/>
                  <w:tcBorders>
                    <w:tl2br w:val="nil"/>
                    <w:tr2bl w:val="nil"/>
                  </w:tcBorders>
                  <w:noWrap w:val="0"/>
                  <w:vAlign w:val="center"/>
                </w:tcPr>
                <w:p w14:paraId="3A8790A7">
                  <w:pPr>
                    <w:pStyle w:val="76"/>
                    <w:spacing w:line="240" w:lineRule="auto"/>
                  </w:pPr>
                </w:p>
              </w:tc>
              <w:tc>
                <w:tcPr>
                  <w:tcW w:w="1319" w:type="dxa"/>
                  <w:tcBorders>
                    <w:tl2br w:val="nil"/>
                    <w:tr2bl w:val="nil"/>
                  </w:tcBorders>
                  <w:noWrap w:val="0"/>
                  <w:vAlign w:val="center"/>
                </w:tcPr>
                <w:p w14:paraId="1BB7607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Z0+782.85</w:t>
                  </w:r>
                </w:p>
              </w:tc>
              <w:tc>
                <w:tcPr>
                  <w:tcW w:w="1192" w:type="dxa"/>
                  <w:gridSpan w:val="2"/>
                  <w:tcBorders>
                    <w:tl2br w:val="nil"/>
                    <w:tr2bl w:val="nil"/>
                  </w:tcBorders>
                  <w:noWrap w:val="0"/>
                  <w:vAlign w:val="center"/>
                </w:tcPr>
                <w:p w14:paraId="67856C9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Z0+787.93</w:t>
                  </w:r>
                </w:p>
              </w:tc>
              <w:tc>
                <w:tcPr>
                  <w:tcW w:w="935" w:type="dxa"/>
                  <w:tcBorders>
                    <w:tl2br w:val="nil"/>
                    <w:tr2bl w:val="nil"/>
                  </w:tcBorders>
                  <w:noWrap w:val="0"/>
                  <w:vAlign w:val="center"/>
                </w:tcPr>
                <w:p w14:paraId="2AFDAA46">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r>
                    <w:rPr>
                      <w:rFonts w:hint="eastAsia" w:ascii="Times New Roman" w:hAnsi="Times New Roman" w:eastAsia="宋体" w:cs="Times New Roman"/>
                      <w:color w:val="auto"/>
                      <w:lang w:val="en-US" w:eastAsia="zh-CN"/>
                    </w:rPr>
                    <w:t>8</w:t>
                  </w:r>
                </w:p>
              </w:tc>
              <w:tc>
                <w:tcPr>
                  <w:tcW w:w="2286" w:type="dxa"/>
                  <w:tcBorders>
                    <w:tl2br w:val="nil"/>
                    <w:tr2bl w:val="nil"/>
                  </w:tcBorders>
                  <w:noWrap w:val="0"/>
                  <w:vAlign w:val="center"/>
                </w:tcPr>
                <w:p w14:paraId="6F02DDF5">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现状为砌石护岸满足防洪要求，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244ABB8C">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00B2E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26" w:type="dxa"/>
                  <w:vMerge w:val="continue"/>
                  <w:tcBorders>
                    <w:tl2br w:val="nil"/>
                    <w:tr2bl w:val="nil"/>
                  </w:tcBorders>
                  <w:noWrap w:val="0"/>
                  <w:vAlign w:val="center"/>
                </w:tcPr>
                <w:p w14:paraId="1F060B6F">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1C35246D">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65BA366E">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6E24A7D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Z0+787.9</w:t>
                  </w:r>
                </w:p>
              </w:tc>
              <w:tc>
                <w:tcPr>
                  <w:tcW w:w="1192" w:type="dxa"/>
                  <w:gridSpan w:val="2"/>
                  <w:tcBorders>
                    <w:tl2br w:val="nil"/>
                    <w:tr2bl w:val="nil"/>
                  </w:tcBorders>
                  <w:noWrap w:val="0"/>
                  <w:vAlign w:val="center"/>
                </w:tcPr>
                <w:p w14:paraId="1808005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Z1+083.04</w:t>
                  </w:r>
                </w:p>
              </w:tc>
              <w:tc>
                <w:tcPr>
                  <w:tcW w:w="935" w:type="dxa"/>
                  <w:tcBorders>
                    <w:tl2br w:val="nil"/>
                    <w:tr2bl w:val="nil"/>
                  </w:tcBorders>
                  <w:noWrap w:val="0"/>
                  <w:vAlign w:val="center"/>
                </w:tcPr>
                <w:p w14:paraId="35D788D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295.11</w:t>
                  </w:r>
                </w:p>
              </w:tc>
              <w:tc>
                <w:tcPr>
                  <w:tcW w:w="2286" w:type="dxa"/>
                  <w:tcBorders>
                    <w:tl2br w:val="nil"/>
                    <w:tr2bl w:val="nil"/>
                  </w:tcBorders>
                  <w:noWrap w:val="0"/>
                  <w:vAlign w:val="center"/>
                </w:tcPr>
                <w:p w14:paraId="2F7F4EAA">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天然河岸高于防洪高程满足防洪要求，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31F33AB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324DA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26" w:type="dxa"/>
                  <w:vMerge w:val="continue"/>
                  <w:tcBorders>
                    <w:tl2br w:val="nil"/>
                    <w:tr2bl w:val="nil"/>
                  </w:tcBorders>
                  <w:noWrap w:val="0"/>
                  <w:vAlign w:val="center"/>
                </w:tcPr>
                <w:p w14:paraId="11123B27">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A9C6614">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CE42EB9">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1A94F82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Z1+083.04</w:t>
                  </w:r>
                </w:p>
              </w:tc>
              <w:tc>
                <w:tcPr>
                  <w:tcW w:w="1192" w:type="dxa"/>
                  <w:gridSpan w:val="2"/>
                  <w:tcBorders>
                    <w:tl2br w:val="nil"/>
                    <w:tr2bl w:val="nil"/>
                  </w:tcBorders>
                  <w:noWrap w:val="0"/>
                  <w:vAlign w:val="center"/>
                </w:tcPr>
                <w:p w14:paraId="1B45719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Z1+514.38</w:t>
                  </w:r>
                </w:p>
              </w:tc>
              <w:tc>
                <w:tcPr>
                  <w:tcW w:w="935" w:type="dxa"/>
                  <w:tcBorders>
                    <w:tl2br w:val="nil"/>
                    <w:tr2bl w:val="nil"/>
                  </w:tcBorders>
                  <w:noWrap w:val="0"/>
                  <w:vAlign w:val="center"/>
                </w:tcPr>
                <w:p w14:paraId="7427BF2D">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431.34</w:t>
                  </w:r>
                </w:p>
              </w:tc>
              <w:tc>
                <w:tcPr>
                  <w:tcW w:w="2286" w:type="dxa"/>
                  <w:tcBorders>
                    <w:tl2br w:val="nil"/>
                    <w:tr2bl w:val="nil"/>
                  </w:tcBorders>
                  <w:noWrap w:val="0"/>
                  <w:vAlign w:val="center"/>
                </w:tcPr>
                <w:p w14:paraId="287802E6">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现状为砌石护岸满足防洪要求，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1CB392BA">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5E685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26" w:type="dxa"/>
                  <w:vMerge w:val="continue"/>
                  <w:tcBorders>
                    <w:tl2br w:val="nil"/>
                    <w:tr2bl w:val="nil"/>
                  </w:tcBorders>
                  <w:noWrap w:val="0"/>
                  <w:vAlign w:val="center"/>
                </w:tcPr>
                <w:p w14:paraId="49E062BF">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08DB09E9">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5696D072">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563A14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Z1+514.38</w:t>
                  </w:r>
                </w:p>
              </w:tc>
              <w:tc>
                <w:tcPr>
                  <w:tcW w:w="1192" w:type="dxa"/>
                  <w:gridSpan w:val="2"/>
                  <w:tcBorders>
                    <w:tl2br w:val="nil"/>
                    <w:tr2bl w:val="nil"/>
                  </w:tcBorders>
                  <w:noWrap w:val="0"/>
                  <w:vAlign w:val="center"/>
                </w:tcPr>
                <w:p w14:paraId="6577AD7F">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Z2+413.06</w:t>
                  </w:r>
                </w:p>
              </w:tc>
              <w:tc>
                <w:tcPr>
                  <w:tcW w:w="935" w:type="dxa"/>
                  <w:tcBorders>
                    <w:tl2br w:val="nil"/>
                    <w:tr2bl w:val="nil"/>
                  </w:tcBorders>
                  <w:noWrap w:val="0"/>
                  <w:vAlign w:val="center"/>
                </w:tcPr>
                <w:p w14:paraId="663AC5A6">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898.68 </w:t>
                  </w:r>
                </w:p>
              </w:tc>
              <w:tc>
                <w:tcPr>
                  <w:tcW w:w="2286" w:type="dxa"/>
                  <w:tcBorders>
                    <w:tl2br w:val="nil"/>
                    <w:tr2bl w:val="nil"/>
                  </w:tcBorders>
                  <w:noWrap w:val="0"/>
                  <w:vAlign w:val="center"/>
                </w:tcPr>
                <w:p w14:paraId="4612071E">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676C55E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0C017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26" w:type="dxa"/>
                  <w:vMerge w:val="continue"/>
                  <w:tcBorders>
                    <w:tl2br w:val="nil"/>
                    <w:tr2bl w:val="nil"/>
                  </w:tcBorders>
                  <w:noWrap w:val="0"/>
                  <w:vAlign w:val="center"/>
                </w:tcPr>
                <w:p w14:paraId="56D96744">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40057D6C">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0D439C5D">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60EBF96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Z2+413.06</w:t>
                  </w:r>
                </w:p>
              </w:tc>
              <w:tc>
                <w:tcPr>
                  <w:tcW w:w="1192" w:type="dxa"/>
                  <w:gridSpan w:val="2"/>
                  <w:tcBorders>
                    <w:tl2br w:val="nil"/>
                    <w:tr2bl w:val="nil"/>
                  </w:tcBorders>
                  <w:noWrap w:val="0"/>
                  <w:vAlign w:val="center"/>
                </w:tcPr>
                <w:p w14:paraId="6DDE1E5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Z2+790.85</w:t>
                  </w:r>
                </w:p>
              </w:tc>
              <w:tc>
                <w:tcPr>
                  <w:tcW w:w="935" w:type="dxa"/>
                  <w:tcBorders>
                    <w:tl2br w:val="nil"/>
                    <w:tr2bl w:val="nil"/>
                  </w:tcBorders>
                  <w:noWrap w:val="0"/>
                  <w:vAlign w:val="center"/>
                </w:tcPr>
                <w:p w14:paraId="3CCA57DD">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377.79</w:t>
                  </w:r>
                </w:p>
              </w:tc>
              <w:tc>
                <w:tcPr>
                  <w:tcW w:w="2286" w:type="dxa"/>
                  <w:tcBorders>
                    <w:tl2br w:val="nil"/>
                    <w:tr2bl w:val="nil"/>
                  </w:tcBorders>
                  <w:noWrap w:val="0"/>
                  <w:vAlign w:val="center"/>
                </w:tcPr>
                <w:p w14:paraId="4A41DFA0">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现状为砌石护岸满足防洪要求，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24F0C1C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71352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6" w:type="dxa"/>
                  <w:vMerge w:val="continue"/>
                  <w:tcBorders>
                    <w:tl2br w:val="nil"/>
                    <w:tr2bl w:val="nil"/>
                  </w:tcBorders>
                  <w:noWrap w:val="0"/>
                  <w:vAlign w:val="center"/>
                </w:tcPr>
                <w:p w14:paraId="1567A894">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385F0FA4">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276065A">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6B48A104">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Z2+790.85</w:t>
                  </w:r>
                </w:p>
              </w:tc>
              <w:tc>
                <w:tcPr>
                  <w:tcW w:w="1192" w:type="dxa"/>
                  <w:gridSpan w:val="2"/>
                  <w:tcBorders>
                    <w:tl2br w:val="nil"/>
                    <w:tr2bl w:val="nil"/>
                  </w:tcBorders>
                  <w:noWrap w:val="0"/>
                  <w:vAlign w:val="center"/>
                </w:tcPr>
                <w:p w14:paraId="2C80801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Z3+028.13</w:t>
                  </w:r>
                </w:p>
              </w:tc>
              <w:tc>
                <w:tcPr>
                  <w:tcW w:w="935" w:type="dxa"/>
                  <w:tcBorders>
                    <w:tl2br w:val="nil"/>
                    <w:tr2bl w:val="nil"/>
                  </w:tcBorders>
                  <w:noWrap w:val="0"/>
                  <w:vAlign w:val="center"/>
                </w:tcPr>
                <w:p w14:paraId="1131E95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237.28</w:t>
                  </w:r>
                </w:p>
              </w:tc>
              <w:tc>
                <w:tcPr>
                  <w:tcW w:w="2286" w:type="dxa"/>
                  <w:tcBorders>
                    <w:tl2br w:val="nil"/>
                    <w:tr2bl w:val="nil"/>
                  </w:tcBorders>
                  <w:noWrap w:val="0"/>
                  <w:vAlign w:val="center"/>
                </w:tcPr>
                <w:p w14:paraId="5AE3742D">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现状无防洪保护对象，</w:t>
                  </w:r>
                </w:p>
                <w:p w14:paraId="6FC54991">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7FF12210">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6ED6D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6" w:type="dxa"/>
                  <w:vMerge w:val="continue"/>
                  <w:tcBorders>
                    <w:tl2br w:val="nil"/>
                    <w:tr2bl w:val="nil"/>
                  </w:tcBorders>
                  <w:noWrap w:val="0"/>
                  <w:vAlign w:val="center"/>
                </w:tcPr>
                <w:p w14:paraId="3E048F16">
                  <w:pPr>
                    <w:pStyle w:val="76"/>
                    <w:spacing w:line="240" w:lineRule="auto"/>
                  </w:pPr>
                </w:p>
              </w:tc>
              <w:tc>
                <w:tcPr>
                  <w:tcW w:w="426" w:type="dxa"/>
                  <w:vMerge w:val="continue"/>
                  <w:tcBorders>
                    <w:tl2br w:val="nil"/>
                    <w:tr2bl w:val="nil"/>
                  </w:tcBorders>
                  <w:noWrap w:val="0"/>
                  <w:vAlign w:val="center"/>
                </w:tcPr>
                <w:p w14:paraId="0DB6F956">
                  <w:pPr>
                    <w:pStyle w:val="76"/>
                    <w:spacing w:line="240" w:lineRule="auto"/>
                  </w:pPr>
                </w:p>
              </w:tc>
              <w:tc>
                <w:tcPr>
                  <w:tcW w:w="581" w:type="dxa"/>
                  <w:vMerge w:val="continue"/>
                  <w:tcBorders>
                    <w:tl2br w:val="nil"/>
                    <w:tr2bl w:val="nil"/>
                  </w:tcBorders>
                  <w:noWrap w:val="0"/>
                  <w:vAlign w:val="center"/>
                </w:tcPr>
                <w:p w14:paraId="0B71EBB2">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03CE31FD">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Z3+028.13</w:t>
                  </w:r>
                </w:p>
              </w:tc>
              <w:tc>
                <w:tcPr>
                  <w:tcW w:w="1192" w:type="dxa"/>
                  <w:gridSpan w:val="2"/>
                  <w:tcBorders>
                    <w:tl2br w:val="nil"/>
                    <w:tr2bl w:val="nil"/>
                  </w:tcBorders>
                  <w:noWrap w:val="0"/>
                  <w:vAlign w:val="center"/>
                </w:tcPr>
                <w:p w14:paraId="1F8A218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Z3+056.84</w:t>
                  </w:r>
                </w:p>
              </w:tc>
              <w:tc>
                <w:tcPr>
                  <w:tcW w:w="935" w:type="dxa"/>
                  <w:tcBorders>
                    <w:tl2br w:val="nil"/>
                    <w:tr2bl w:val="nil"/>
                  </w:tcBorders>
                  <w:noWrap w:val="0"/>
                  <w:vAlign w:val="center"/>
                </w:tcPr>
                <w:p w14:paraId="4A1F099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28.71</w:t>
                  </w:r>
                </w:p>
              </w:tc>
              <w:tc>
                <w:tcPr>
                  <w:tcW w:w="2286" w:type="dxa"/>
                  <w:tcBorders>
                    <w:tl2br w:val="nil"/>
                    <w:tr2bl w:val="nil"/>
                  </w:tcBorders>
                  <w:noWrap w:val="0"/>
                  <w:vAlign w:val="center"/>
                </w:tcPr>
                <w:p w14:paraId="22F39ED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现状为砌石护岸满足防洪要求，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5EA5B4DC">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73BDC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6" w:type="dxa"/>
                  <w:vMerge w:val="continue"/>
                  <w:tcBorders>
                    <w:tl2br w:val="nil"/>
                    <w:tr2bl w:val="nil"/>
                  </w:tcBorders>
                  <w:noWrap w:val="0"/>
                  <w:vAlign w:val="center"/>
                </w:tcPr>
                <w:p w14:paraId="48725F2E">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06333ED1">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676A45D">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C425C8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Z3+056.84</w:t>
                  </w:r>
                </w:p>
              </w:tc>
              <w:tc>
                <w:tcPr>
                  <w:tcW w:w="1192" w:type="dxa"/>
                  <w:gridSpan w:val="2"/>
                  <w:tcBorders>
                    <w:tl2br w:val="nil"/>
                    <w:tr2bl w:val="nil"/>
                  </w:tcBorders>
                  <w:noWrap w:val="0"/>
                  <w:vAlign w:val="center"/>
                </w:tcPr>
                <w:p w14:paraId="7D7AB0C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Z3+222.10</w:t>
                  </w:r>
                </w:p>
              </w:tc>
              <w:tc>
                <w:tcPr>
                  <w:tcW w:w="935" w:type="dxa"/>
                  <w:tcBorders>
                    <w:tl2br w:val="nil"/>
                    <w:tr2bl w:val="nil"/>
                  </w:tcBorders>
                  <w:noWrap w:val="0"/>
                  <w:vAlign w:val="center"/>
                </w:tcPr>
                <w:p w14:paraId="7395310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165.26</w:t>
                  </w:r>
                </w:p>
              </w:tc>
              <w:tc>
                <w:tcPr>
                  <w:tcW w:w="2286" w:type="dxa"/>
                  <w:tcBorders>
                    <w:tl2br w:val="nil"/>
                    <w:tr2bl w:val="nil"/>
                  </w:tcBorders>
                  <w:noWrap w:val="0"/>
                  <w:vAlign w:val="center"/>
                </w:tcPr>
                <w:p w14:paraId="30F52428">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51516D2B">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26177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6" w:type="dxa"/>
                  <w:vMerge w:val="continue"/>
                  <w:tcBorders>
                    <w:tl2br w:val="nil"/>
                    <w:tr2bl w:val="nil"/>
                  </w:tcBorders>
                  <w:noWrap w:val="0"/>
                  <w:vAlign w:val="center"/>
                </w:tcPr>
                <w:p w14:paraId="384EF732">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DBE7ADB">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FFF615B">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4EA1EB1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Z3+222.10</w:t>
                  </w:r>
                </w:p>
              </w:tc>
              <w:tc>
                <w:tcPr>
                  <w:tcW w:w="1192" w:type="dxa"/>
                  <w:gridSpan w:val="2"/>
                  <w:tcBorders>
                    <w:tl2br w:val="nil"/>
                    <w:tr2bl w:val="nil"/>
                  </w:tcBorders>
                  <w:noWrap w:val="0"/>
                  <w:vAlign w:val="center"/>
                </w:tcPr>
                <w:p w14:paraId="111D88D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Z3+633.52</w:t>
                  </w:r>
                </w:p>
              </w:tc>
              <w:tc>
                <w:tcPr>
                  <w:tcW w:w="935" w:type="dxa"/>
                  <w:tcBorders>
                    <w:tl2br w:val="nil"/>
                    <w:tr2bl w:val="nil"/>
                  </w:tcBorders>
                  <w:noWrap w:val="0"/>
                  <w:vAlign w:val="center"/>
                </w:tcPr>
                <w:p w14:paraId="2012747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411.42</w:t>
                  </w:r>
                </w:p>
              </w:tc>
              <w:tc>
                <w:tcPr>
                  <w:tcW w:w="2286" w:type="dxa"/>
                  <w:tcBorders>
                    <w:tl2br w:val="nil"/>
                    <w:tr2bl w:val="nil"/>
                  </w:tcBorders>
                  <w:noWrap w:val="0"/>
                  <w:vAlign w:val="center"/>
                </w:tcPr>
                <w:p w14:paraId="6F22529A">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w:t>
                  </w:r>
                  <w:r>
                    <w:rPr>
                      <w:rFonts w:hint="default" w:ascii="Times New Roman" w:hAnsi="Times New Roman" w:eastAsia="宋体" w:cs="Times New Roman"/>
                      <w:color w:val="auto"/>
                      <w:lang w:val="en-US" w:eastAsia="zh-CN"/>
                    </w:rPr>
                    <w:t>局部砌石护岸</w:t>
                  </w:r>
                  <w:r>
                    <w:rPr>
                      <w:rFonts w:hint="eastAsia"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1B567F91">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7ECBB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6" w:type="dxa"/>
                  <w:vMerge w:val="continue"/>
                  <w:tcBorders>
                    <w:tl2br w:val="nil"/>
                    <w:tr2bl w:val="nil"/>
                  </w:tcBorders>
                  <w:noWrap w:val="0"/>
                  <w:vAlign w:val="center"/>
                </w:tcPr>
                <w:p w14:paraId="2E7E3850">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26FFC87">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CC51811">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51E3B3EF">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Z3+633.52</w:t>
                  </w:r>
                </w:p>
              </w:tc>
              <w:tc>
                <w:tcPr>
                  <w:tcW w:w="1192" w:type="dxa"/>
                  <w:gridSpan w:val="2"/>
                  <w:tcBorders>
                    <w:tl2br w:val="nil"/>
                    <w:tr2bl w:val="nil"/>
                  </w:tcBorders>
                  <w:noWrap w:val="0"/>
                  <w:vAlign w:val="center"/>
                </w:tcPr>
                <w:p w14:paraId="1B54E4FC">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Z3+823.90</w:t>
                  </w:r>
                </w:p>
              </w:tc>
              <w:tc>
                <w:tcPr>
                  <w:tcW w:w="935" w:type="dxa"/>
                  <w:tcBorders>
                    <w:tl2br w:val="nil"/>
                    <w:tr2bl w:val="nil"/>
                  </w:tcBorders>
                  <w:noWrap w:val="0"/>
                  <w:vAlign w:val="center"/>
                </w:tcPr>
                <w:p w14:paraId="3FC652C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190.38</w:t>
                  </w:r>
                </w:p>
              </w:tc>
              <w:tc>
                <w:tcPr>
                  <w:tcW w:w="2286" w:type="dxa"/>
                  <w:tcBorders>
                    <w:tl2br w:val="nil"/>
                    <w:tr2bl w:val="nil"/>
                  </w:tcBorders>
                  <w:noWrap w:val="0"/>
                  <w:vAlign w:val="center"/>
                </w:tcPr>
                <w:p w14:paraId="1B77E50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68FA731F">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1D2D3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11D5520C">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6B4CE478">
                  <w:pPr>
                    <w:pStyle w:val="76"/>
                    <w:spacing w:line="240" w:lineRule="auto"/>
                    <w:rPr>
                      <w:rFonts w:hint="default" w:ascii="Times New Roman" w:hAnsi="Times New Roman" w:eastAsia="宋体" w:cs="Times New Roman"/>
                      <w:color w:val="auto"/>
                      <w:lang w:val="en-US" w:eastAsia="zh-CN"/>
                    </w:rPr>
                  </w:pPr>
                </w:p>
              </w:tc>
              <w:tc>
                <w:tcPr>
                  <w:tcW w:w="581" w:type="dxa"/>
                  <w:vMerge w:val="restart"/>
                  <w:tcBorders>
                    <w:tl2br w:val="nil"/>
                    <w:tr2bl w:val="nil"/>
                  </w:tcBorders>
                  <w:noWrap w:val="0"/>
                  <w:vAlign w:val="center"/>
                </w:tcPr>
                <w:p w14:paraId="3365334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右岸</w:t>
                  </w:r>
                </w:p>
              </w:tc>
              <w:tc>
                <w:tcPr>
                  <w:tcW w:w="1319" w:type="dxa"/>
                  <w:tcBorders>
                    <w:tl2br w:val="nil"/>
                    <w:tr2bl w:val="nil"/>
                  </w:tcBorders>
                  <w:noWrap w:val="0"/>
                  <w:vAlign w:val="center"/>
                </w:tcPr>
                <w:p w14:paraId="44E4445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Y0+000.00</w:t>
                  </w:r>
                </w:p>
              </w:tc>
              <w:tc>
                <w:tcPr>
                  <w:tcW w:w="1192" w:type="dxa"/>
                  <w:gridSpan w:val="2"/>
                  <w:tcBorders>
                    <w:tl2br w:val="nil"/>
                    <w:tr2bl w:val="nil"/>
                  </w:tcBorders>
                  <w:noWrap w:val="0"/>
                  <w:vAlign w:val="center"/>
                </w:tcPr>
                <w:p w14:paraId="0C127E29">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Y0+186.37</w:t>
                  </w:r>
                </w:p>
              </w:tc>
              <w:tc>
                <w:tcPr>
                  <w:tcW w:w="935" w:type="dxa"/>
                  <w:tcBorders>
                    <w:tl2br w:val="nil"/>
                    <w:tr2bl w:val="nil"/>
                  </w:tcBorders>
                  <w:noWrap w:val="0"/>
                  <w:vAlign w:val="center"/>
                </w:tcPr>
                <w:p w14:paraId="15FE06A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186.37</w:t>
                  </w:r>
                </w:p>
              </w:tc>
              <w:tc>
                <w:tcPr>
                  <w:tcW w:w="2286" w:type="dxa"/>
                  <w:tcBorders>
                    <w:tl2br w:val="nil"/>
                    <w:tr2bl w:val="nil"/>
                  </w:tcBorders>
                  <w:noWrap w:val="0"/>
                  <w:vAlign w:val="center"/>
                </w:tcPr>
                <w:p w14:paraId="36CAFA7E">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7FA8425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2D564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680533FA">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74CAE6A7">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60EDAF7">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37BA14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Y0+186.37</w:t>
                  </w:r>
                </w:p>
              </w:tc>
              <w:tc>
                <w:tcPr>
                  <w:tcW w:w="1192" w:type="dxa"/>
                  <w:gridSpan w:val="2"/>
                  <w:tcBorders>
                    <w:tl2br w:val="nil"/>
                    <w:tr2bl w:val="nil"/>
                  </w:tcBorders>
                  <w:noWrap w:val="0"/>
                  <w:vAlign w:val="center"/>
                </w:tcPr>
                <w:p w14:paraId="54C88A6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Y0+355.39</w:t>
                  </w:r>
                </w:p>
              </w:tc>
              <w:tc>
                <w:tcPr>
                  <w:tcW w:w="935" w:type="dxa"/>
                  <w:tcBorders>
                    <w:tl2br w:val="nil"/>
                    <w:tr2bl w:val="nil"/>
                  </w:tcBorders>
                  <w:noWrap w:val="0"/>
                  <w:vAlign w:val="center"/>
                </w:tcPr>
                <w:p w14:paraId="5E9C898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169.02</w:t>
                  </w:r>
                </w:p>
              </w:tc>
              <w:tc>
                <w:tcPr>
                  <w:tcW w:w="2286" w:type="dxa"/>
                  <w:tcBorders>
                    <w:tl2br w:val="nil"/>
                    <w:tr2bl w:val="nil"/>
                  </w:tcBorders>
                  <w:noWrap w:val="0"/>
                  <w:vAlign w:val="center"/>
                </w:tcPr>
                <w:p w14:paraId="50DFEBFB">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现状为砌石护脚，满足防洪要求，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450E2F18">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0D410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6538AD5">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790F0162">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C8920A8">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41B50DA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Y0+355.39</w:t>
                  </w:r>
                </w:p>
              </w:tc>
              <w:tc>
                <w:tcPr>
                  <w:tcW w:w="1192" w:type="dxa"/>
                  <w:gridSpan w:val="2"/>
                  <w:tcBorders>
                    <w:tl2br w:val="nil"/>
                    <w:tr2bl w:val="nil"/>
                  </w:tcBorders>
                  <w:noWrap w:val="0"/>
                  <w:vAlign w:val="center"/>
                </w:tcPr>
                <w:p w14:paraId="3AA6749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Y0+670.05</w:t>
                  </w:r>
                </w:p>
              </w:tc>
              <w:tc>
                <w:tcPr>
                  <w:tcW w:w="935" w:type="dxa"/>
                  <w:tcBorders>
                    <w:tl2br w:val="nil"/>
                    <w:tr2bl w:val="nil"/>
                  </w:tcBorders>
                  <w:noWrap w:val="0"/>
                  <w:vAlign w:val="center"/>
                </w:tcPr>
                <w:p w14:paraId="792F966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314.66</w:t>
                  </w:r>
                </w:p>
              </w:tc>
              <w:tc>
                <w:tcPr>
                  <w:tcW w:w="2286" w:type="dxa"/>
                  <w:tcBorders>
                    <w:tl2br w:val="nil"/>
                    <w:tr2bl w:val="nil"/>
                  </w:tcBorders>
                  <w:noWrap w:val="0"/>
                  <w:vAlign w:val="center"/>
                </w:tcPr>
                <w:p w14:paraId="5561AD86">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1D8AE65F">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7A584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46C97608">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74C0FE13">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A094666">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1ADD4FC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Y0+670.05</w:t>
                  </w:r>
                </w:p>
              </w:tc>
              <w:tc>
                <w:tcPr>
                  <w:tcW w:w="1192" w:type="dxa"/>
                  <w:gridSpan w:val="2"/>
                  <w:tcBorders>
                    <w:tl2br w:val="nil"/>
                    <w:tr2bl w:val="nil"/>
                  </w:tcBorders>
                  <w:noWrap w:val="0"/>
                  <w:vAlign w:val="center"/>
                </w:tcPr>
                <w:p w14:paraId="2317E46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Y0+860.96</w:t>
                  </w:r>
                </w:p>
              </w:tc>
              <w:tc>
                <w:tcPr>
                  <w:tcW w:w="935" w:type="dxa"/>
                  <w:tcBorders>
                    <w:tl2br w:val="nil"/>
                    <w:tr2bl w:val="nil"/>
                  </w:tcBorders>
                  <w:noWrap w:val="0"/>
                  <w:vAlign w:val="center"/>
                </w:tcPr>
                <w:p w14:paraId="725EF2B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190.91</w:t>
                  </w:r>
                </w:p>
              </w:tc>
              <w:tc>
                <w:tcPr>
                  <w:tcW w:w="2286" w:type="dxa"/>
                  <w:tcBorders>
                    <w:tl2br w:val="nil"/>
                    <w:tr2bl w:val="nil"/>
                  </w:tcBorders>
                  <w:noWrap w:val="0"/>
                  <w:vAlign w:val="center"/>
                </w:tcPr>
                <w:p w14:paraId="60CABCBC">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天然河岸高于防洪高程满足防洪要求，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11B58FE3">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2B23A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1C8C38AC">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686602C5">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18B5F12B">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014BECC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Y0+860.96</w:t>
                  </w:r>
                </w:p>
              </w:tc>
              <w:tc>
                <w:tcPr>
                  <w:tcW w:w="1192" w:type="dxa"/>
                  <w:gridSpan w:val="2"/>
                  <w:tcBorders>
                    <w:tl2br w:val="nil"/>
                    <w:tr2bl w:val="nil"/>
                  </w:tcBorders>
                  <w:noWrap w:val="0"/>
                  <w:vAlign w:val="center"/>
                </w:tcPr>
                <w:p w14:paraId="1F726139">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Y0+866.0</w:t>
                  </w:r>
                  <w:r>
                    <w:rPr>
                      <w:rFonts w:hint="eastAsia" w:ascii="Times New Roman" w:hAnsi="Times New Roman" w:eastAsia="宋体" w:cs="Times New Roman"/>
                      <w:color w:val="auto"/>
                      <w:lang w:val="en-US" w:eastAsia="zh-CN"/>
                    </w:rPr>
                    <w:t>3</w:t>
                  </w:r>
                </w:p>
              </w:tc>
              <w:tc>
                <w:tcPr>
                  <w:tcW w:w="935" w:type="dxa"/>
                  <w:tcBorders>
                    <w:tl2br w:val="nil"/>
                    <w:tr2bl w:val="nil"/>
                  </w:tcBorders>
                  <w:noWrap w:val="0"/>
                  <w:vAlign w:val="center"/>
                </w:tcPr>
                <w:p w14:paraId="70C6510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5.07</w:t>
                  </w:r>
                </w:p>
              </w:tc>
              <w:tc>
                <w:tcPr>
                  <w:tcW w:w="2286" w:type="dxa"/>
                  <w:tcBorders>
                    <w:tl2br w:val="nil"/>
                    <w:tr2bl w:val="nil"/>
                  </w:tcBorders>
                  <w:noWrap w:val="0"/>
                  <w:vAlign w:val="center"/>
                </w:tcPr>
                <w:p w14:paraId="5300E869">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现状为砌石护脚，满足防洪要求，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4E6533A3">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1EBD8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5A981F7A">
                  <w:pPr>
                    <w:pStyle w:val="76"/>
                    <w:spacing w:line="240" w:lineRule="auto"/>
                    <w:rPr>
                      <w:rFonts w:hint="default" w:ascii="Times New Roman" w:hAnsi="Times New Roman" w:eastAsia="宋体" w:cs="Times New Roman"/>
                      <w:color w:val="auto"/>
                      <w:lang w:val="en-US" w:eastAsia="zh-CN"/>
                    </w:rPr>
                  </w:pPr>
                </w:p>
                <w:p w14:paraId="0268B617">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2DFF63BC">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59CD30F9">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606CE1C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Y0+866.03</w:t>
                  </w:r>
                </w:p>
              </w:tc>
              <w:tc>
                <w:tcPr>
                  <w:tcW w:w="1192" w:type="dxa"/>
                  <w:gridSpan w:val="2"/>
                  <w:tcBorders>
                    <w:tl2br w:val="nil"/>
                    <w:tr2bl w:val="nil"/>
                  </w:tcBorders>
                  <w:noWrap w:val="0"/>
                  <w:vAlign w:val="center"/>
                </w:tcPr>
                <w:p w14:paraId="6381DF1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Y1+259.26</w:t>
                  </w:r>
                </w:p>
              </w:tc>
              <w:tc>
                <w:tcPr>
                  <w:tcW w:w="935" w:type="dxa"/>
                  <w:tcBorders>
                    <w:tl2br w:val="nil"/>
                    <w:tr2bl w:val="nil"/>
                  </w:tcBorders>
                  <w:noWrap w:val="0"/>
                  <w:vAlign w:val="center"/>
                </w:tcPr>
                <w:p w14:paraId="6E6816FE">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393.23</w:t>
                  </w:r>
                </w:p>
              </w:tc>
              <w:tc>
                <w:tcPr>
                  <w:tcW w:w="2286" w:type="dxa"/>
                  <w:tcBorders>
                    <w:tl2br w:val="nil"/>
                    <w:tr2bl w:val="nil"/>
                  </w:tcBorders>
                  <w:noWrap w:val="0"/>
                  <w:vAlign w:val="center"/>
                </w:tcPr>
                <w:p w14:paraId="0128282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66B53F6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0754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0EA1894A">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D4B5CDD">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6EABC86">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22FB2AF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Y1+259.26</w:t>
                  </w:r>
                </w:p>
              </w:tc>
              <w:tc>
                <w:tcPr>
                  <w:tcW w:w="1192" w:type="dxa"/>
                  <w:gridSpan w:val="2"/>
                  <w:tcBorders>
                    <w:tl2br w:val="nil"/>
                    <w:tr2bl w:val="nil"/>
                  </w:tcBorders>
                  <w:noWrap w:val="0"/>
                  <w:vAlign w:val="center"/>
                </w:tcPr>
                <w:p w14:paraId="6D1ACAE4">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Y1+383.70</w:t>
                  </w:r>
                </w:p>
              </w:tc>
              <w:tc>
                <w:tcPr>
                  <w:tcW w:w="935" w:type="dxa"/>
                  <w:tcBorders>
                    <w:tl2br w:val="nil"/>
                    <w:tr2bl w:val="nil"/>
                  </w:tcBorders>
                  <w:noWrap w:val="0"/>
                  <w:vAlign w:val="center"/>
                </w:tcPr>
                <w:p w14:paraId="0B69F02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124.44</w:t>
                  </w:r>
                </w:p>
              </w:tc>
              <w:tc>
                <w:tcPr>
                  <w:tcW w:w="2286" w:type="dxa"/>
                  <w:tcBorders>
                    <w:tl2br w:val="nil"/>
                    <w:tr2bl w:val="nil"/>
                  </w:tcBorders>
                  <w:noWrap w:val="0"/>
                  <w:vAlign w:val="center"/>
                </w:tcPr>
                <w:p w14:paraId="391DB9A8">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1367B5D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5EF87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FB64FA3">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330F96F">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4A9CE422">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1A9A6F5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Y1+383.70</w:t>
                  </w:r>
                </w:p>
              </w:tc>
              <w:tc>
                <w:tcPr>
                  <w:tcW w:w="1192" w:type="dxa"/>
                  <w:gridSpan w:val="2"/>
                  <w:tcBorders>
                    <w:tl2br w:val="nil"/>
                    <w:tr2bl w:val="nil"/>
                  </w:tcBorders>
                  <w:noWrap w:val="0"/>
                  <w:vAlign w:val="center"/>
                </w:tcPr>
                <w:p w14:paraId="55C8201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Y1+483.63</w:t>
                  </w:r>
                </w:p>
              </w:tc>
              <w:tc>
                <w:tcPr>
                  <w:tcW w:w="935" w:type="dxa"/>
                  <w:tcBorders>
                    <w:tl2br w:val="nil"/>
                    <w:tr2bl w:val="nil"/>
                  </w:tcBorders>
                  <w:noWrap w:val="0"/>
                  <w:vAlign w:val="center"/>
                </w:tcPr>
                <w:p w14:paraId="7B4F6E2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99.93</w:t>
                  </w:r>
                </w:p>
              </w:tc>
              <w:tc>
                <w:tcPr>
                  <w:tcW w:w="2286" w:type="dxa"/>
                  <w:tcBorders>
                    <w:tl2br w:val="nil"/>
                    <w:tr2bl w:val="nil"/>
                  </w:tcBorders>
                  <w:noWrap w:val="0"/>
                  <w:vAlign w:val="center"/>
                </w:tcPr>
                <w:p w14:paraId="59D0C8A4">
                  <w:pPr>
                    <w:pStyle w:val="76"/>
                    <w:spacing w:line="240" w:lineRule="auto"/>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现状为砌石护脚，满足防洪要求，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4358099A">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3ADBB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329D866">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7A6825F3">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78CB1611">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B1CAB1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Y1+483.63</w:t>
                  </w:r>
                </w:p>
              </w:tc>
              <w:tc>
                <w:tcPr>
                  <w:tcW w:w="1192" w:type="dxa"/>
                  <w:gridSpan w:val="2"/>
                  <w:tcBorders>
                    <w:tl2br w:val="nil"/>
                    <w:tr2bl w:val="nil"/>
                  </w:tcBorders>
                  <w:noWrap w:val="0"/>
                  <w:vAlign w:val="center"/>
                </w:tcPr>
                <w:p w14:paraId="7609D1C6">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Y1+793.37</w:t>
                  </w:r>
                </w:p>
              </w:tc>
              <w:tc>
                <w:tcPr>
                  <w:tcW w:w="935" w:type="dxa"/>
                  <w:tcBorders>
                    <w:tl2br w:val="nil"/>
                    <w:tr2bl w:val="nil"/>
                  </w:tcBorders>
                  <w:noWrap w:val="0"/>
                  <w:vAlign w:val="center"/>
                </w:tcPr>
                <w:p w14:paraId="6A2F38E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309.74</w:t>
                  </w:r>
                </w:p>
              </w:tc>
              <w:tc>
                <w:tcPr>
                  <w:tcW w:w="2286" w:type="dxa"/>
                  <w:tcBorders>
                    <w:tl2br w:val="nil"/>
                    <w:tr2bl w:val="nil"/>
                  </w:tcBorders>
                  <w:noWrap w:val="0"/>
                  <w:vAlign w:val="center"/>
                </w:tcPr>
                <w:p w14:paraId="420C84AC">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30A10FA9">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2F0A6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C302C70">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F408FE7">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4C3976B0">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4CDAE05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Y1+793.37</w:t>
                  </w:r>
                </w:p>
              </w:tc>
              <w:tc>
                <w:tcPr>
                  <w:tcW w:w="1192" w:type="dxa"/>
                  <w:gridSpan w:val="2"/>
                  <w:tcBorders>
                    <w:tl2br w:val="nil"/>
                    <w:tr2bl w:val="nil"/>
                  </w:tcBorders>
                  <w:noWrap w:val="0"/>
                  <w:vAlign w:val="center"/>
                </w:tcPr>
                <w:p w14:paraId="07B1962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Y2+052.99</w:t>
                  </w:r>
                </w:p>
              </w:tc>
              <w:tc>
                <w:tcPr>
                  <w:tcW w:w="935" w:type="dxa"/>
                  <w:tcBorders>
                    <w:tl2br w:val="nil"/>
                    <w:tr2bl w:val="nil"/>
                  </w:tcBorders>
                  <w:noWrap w:val="0"/>
                  <w:vAlign w:val="center"/>
                </w:tcPr>
                <w:p w14:paraId="0ADF85A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259.62</w:t>
                  </w:r>
                </w:p>
              </w:tc>
              <w:tc>
                <w:tcPr>
                  <w:tcW w:w="2286" w:type="dxa"/>
                  <w:tcBorders>
                    <w:tl2br w:val="nil"/>
                    <w:tr2bl w:val="nil"/>
                  </w:tcBorders>
                  <w:noWrap w:val="0"/>
                  <w:vAlign w:val="center"/>
                </w:tcPr>
                <w:p w14:paraId="78861F13">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7079A6F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496BD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6792CB54">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0F89A3F9">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02FD4DB4">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8BF552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Y2+052.99</w:t>
                  </w:r>
                </w:p>
              </w:tc>
              <w:tc>
                <w:tcPr>
                  <w:tcW w:w="1192" w:type="dxa"/>
                  <w:gridSpan w:val="2"/>
                  <w:tcBorders>
                    <w:tl2br w:val="nil"/>
                    <w:tr2bl w:val="nil"/>
                  </w:tcBorders>
                  <w:noWrap w:val="0"/>
                  <w:vAlign w:val="center"/>
                </w:tcPr>
                <w:p w14:paraId="1807AFEC">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Y2+225.64</w:t>
                  </w:r>
                </w:p>
              </w:tc>
              <w:tc>
                <w:tcPr>
                  <w:tcW w:w="935" w:type="dxa"/>
                  <w:tcBorders>
                    <w:tl2br w:val="nil"/>
                    <w:tr2bl w:val="nil"/>
                  </w:tcBorders>
                  <w:noWrap w:val="0"/>
                  <w:vAlign w:val="center"/>
                </w:tcPr>
                <w:p w14:paraId="28FB490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172.65</w:t>
                  </w:r>
                </w:p>
              </w:tc>
              <w:tc>
                <w:tcPr>
                  <w:tcW w:w="2286" w:type="dxa"/>
                  <w:tcBorders>
                    <w:tl2br w:val="nil"/>
                    <w:tr2bl w:val="nil"/>
                  </w:tcBorders>
                  <w:noWrap w:val="0"/>
                  <w:vAlign w:val="center"/>
                </w:tcPr>
                <w:p w14:paraId="4BC00183">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11F38E6E">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1D21A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ABED4B4">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65958983">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42E6C70F">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186BEDF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Y2+225.64</w:t>
                  </w:r>
                </w:p>
              </w:tc>
              <w:tc>
                <w:tcPr>
                  <w:tcW w:w="1192" w:type="dxa"/>
                  <w:gridSpan w:val="2"/>
                  <w:tcBorders>
                    <w:tl2br w:val="nil"/>
                    <w:tr2bl w:val="nil"/>
                  </w:tcBorders>
                  <w:noWrap w:val="0"/>
                  <w:vAlign w:val="center"/>
                </w:tcPr>
                <w:p w14:paraId="2A22F08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Y2+464.67</w:t>
                  </w:r>
                </w:p>
              </w:tc>
              <w:tc>
                <w:tcPr>
                  <w:tcW w:w="935" w:type="dxa"/>
                  <w:tcBorders>
                    <w:tl2br w:val="nil"/>
                    <w:tr2bl w:val="nil"/>
                  </w:tcBorders>
                  <w:noWrap w:val="0"/>
                  <w:vAlign w:val="center"/>
                </w:tcPr>
                <w:p w14:paraId="3EC193D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239.03</w:t>
                  </w:r>
                </w:p>
              </w:tc>
              <w:tc>
                <w:tcPr>
                  <w:tcW w:w="2286" w:type="dxa"/>
                  <w:tcBorders>
                    <w:tl2br w:val="nil"/>
                    <w:tr2bl w:val="nil"/>
                  </w:tcBorders>
                  <w:noWrap w:val="0"/>
                  <w:vAlign w:val="center"/>
                </w:tcPr>
                <w:p w14:paraId="1C6C19A8">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396EBEDA">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CA7E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6980FB25">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11BAE52">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28E9ADED">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278C18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Y2+464.67</w:t>
                  </w:r>
                </w:p>
              </w:tc>
              <w:tc>
                <w:tcPr>
                  <w:tcW w:w="1192" w:type="dxa"/>
                  <w:gridSpan w:val="2"/>
                  <w:tcBorders>
                    <w:tl2br w:val="nil"/>
                    <w:tr2bl w:val="nil"/>
                  </w:tcBorders>
                  <w:noWrap w:val="0"/>
                  <w:vAlign w:val="center"/>
                </w:tcPr>
                <w:p w14:paraId="07799E37">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Y2+681.87</w:t>
                  </w:r>
                </w:p>
              </w:tc>
              <w:tc>
                <w:tcPr>
                  <w:tcW w:w="935" w:type="dxa"/>
                  <w:tcBorders>
                    <w:tl2br w:val="nil"/>
                    <w:tr2bl w:val="nil"/>
                  </w:tcBorders>
                  <w:noWrap w:val="0"/>
                  <w:vAlign w:val="center"/>
                </w:tcPr>
                <w:p w14:paraId="11A3C2A4">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217.2</w:t>
                  </w:r>
                </w:p>
              </w:tc>
              <w:tc>
                <w:tcPr>
                  <w:tcW w:w="2286" w:type="dxa"/>
                  <w:tcBorders>
                    <w:tl2br w:val="nil"/>
                    <w:tr2bl w:val="nil"/>
                  </w:tcBorders>
                  <w:noWrap w:val="0"/>
                  <w:vAlign w:val="center"/>
                </w:tcPr>
                <w:p w14:paraId="7DF5D85E">
                  <w:pPr>
                    <w:pStyle w:val="76"/>
                    <w:spacing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现状为砌石护脚，满足防洪要求，</w:t>
                  </w:r>
                  <w:r>
                    <w:rPr>
                      <w:rFonts w:hint="default" w:ascii="Times New Roman" w:hAnsi="Times New Roman" w:eastAsia="宋体" w:cs="Times New Roman"/>
                      <w:color w:val="auto"/>
                      <w:lang w:val="en-US" w:eastAsia="zh-CN"/>
                    </w:rPr>
                    <w:t>不治理</w:t>
                  </w:r>
                </w:p>
              </w:tc>
              <w:tc>
                <w:tcPr>
                  <w:tcW w:w="682" w:type="dxa"/>
                  <w:tcBorders>
                    <w:tl2br w:val="nil"/>
                    <w:tr2bl w:val="nil"/>
                  </w:tcBorders>
                  <w:noWrap w:val="0"/>
                  <w:vAlign w:val="center"/>
                </w:tcPr>
                <w:p w14:paraId="6E8E474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2DD22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1A492703">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06EE9204">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86F116E">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6389C61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Y2+681.87</w:t>
                  </w:r>
                </w:p>
              </w:tc>
              <w:tc>
                <w:tcPr>
                  <w:tcW w:w="1192" w:type="dxa"/>
                  <w:gridSpan w:val="2"/>
                  <w:tcBorders>
                    <w:tl2br w:val="nil"/>
                    <w:tr2bl w:val="nil"/>
                  </w:tcBorders>
                  <w:noWrap w:val="0"/>
                  <w:vAlign w:val="center"/>
                </w:tcPr>
                <w:p w14:paraId="56CF235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Y2+876.51</w:t>
                  </w:r>
                </w:p>
              </w:tc>
              <w:tc>
                <w:tcPr>
                  <w:tcW w:w="935" w:type="dxa"/>
                  <w:tcBorders>
                    <w:tl2br w:val="nil"/>
                    <w:tr2bl w:val="nil"/>
                  </w:tcBorders>
                  <w:noWrap w:val="0"/>
                  <w:vAlign w:val="center"/>
                </w:tcPr>
                <w:p w14:paraId="64DBC5A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194.64</w:t>
                  </w:r>
                </w:p>
              </w:tc>
              <w:tc>
                <w:tcPr>
                  <w:tcW w:w="2286" w:type="dxa"/>
                  <w:tcBorders>
                    <w:tl2br w:val="nil"/>
                    <w:tr2bl w:val="nil"/>
                  </w:tcBorders>
                  <w:noWrap w:val="0"/>
                  <w:vAlign w:val="center"/>
                </w:tcPr>
                <w:p w14:paraId="17507D03">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1287E7B6">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3312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84E0593">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491970F0">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28A17EB2">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796CEC52">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Y2+876.51</w:t>
                  </w:r>
                </w:p>
              </w:tc>
              <w:tc>
                <w:tcPr>
                  <w:tcW w:w="1192" w:type="dxa"/>
                  <w:gridSpan w:val="2"/>
                  <w:tcBorders>
                    <w:tl2br w:val="nil"/>
                    <w:tr2bl w:val="nil"/>
                  </w:tcBorders>
                  <w:noWrap w:val="0"/>
                  <w:vAlign w:val="center"/>
                </w:tcPr>
                <w:p w14:paraId="2568FD7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Y3+045.92</w:t>
                  </w:r>
                </w:p>
              </w:tc>
              <w:tc>
                <w:tcPr>
                  <w:tcW w:w="935" w:type="dxa"/>
                  <w:tcBorders>
                    <w:tl2br w:val="nil"/>
                    <w:tr2bl w:val="nil"/>
                  </w:tcBorders>
                  <w:noWrap w:val="0"/>
                  <w:vAlign w:val="center"/>
                </w:tcPr>
                <w:p w14:paraId="0FBFAA7C">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169.41</w:t>
                  </w:r>
                </w:p>
              </w:tc>
              <w:tc>
                <w:tcPr>
                  <w:tcW w:w="2286" w:type="dxa"/>
                  <w:tcBorders>
                    <w:tl2br w:val="nil"/>
                    <w:tr2bl w:val="nil"/>
                  </w:tcBorders>
                  <w:noWrap w:val="0"/>
                  <w:vAlign w:val="center"/>
                </w:tcPr>
                <w:p w14:paraId="5C6446DA">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1DA148F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49A16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5F3A2745">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65D6D385">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3740A964">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3390850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Y3+045.92</w:t>
                  </w:r>
                </w:p>
              </w:tc>
              <w:tc>
                <w:tcPr>
                  <w:tcW w:w="1192" w:type="dxa"/>
                  <w:gridSpan w:val="2"/>
                  <w:tcBorders>
                    <w:tl2br w:val="nil"/>
                    <w:tr2bl w:val="nil"/>
                  </w:tcBorders>
                  <w:noWrap w:val="0"/>
                  <w:vAlign w:val="center"/>
                </w:tcPr>
                <w:p w14:paraId="36CEB9A5">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Y3+119.97</w:t>
                  </w:r>
                </w:p>
              </w:tc>
              <w:tc>
                <w:tcPr>
                  <w:tcW w:w="935" w:type="dxa"/>
                  <w:tcBorders>
                    <w:tl2br w:val="nil"/>
                    <w:tr2bl w:val="nil"/>
                  </w:tcBorders>
                  <w:noWrap w:val="0"/>
                  <w:vAlign w:val="center"/>
                </w:tcPr>
                <w:p w14:paraId="0A31AA47">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74.05</w:t>
                  </w:r>
                </w:p>
              </w:tc>
              <w:tc>
                <w:tcPr>
                  <w:tcW w:w="2286" w:type="dxa"/>
                  <w:tcBorders>
                    <w:tl2br w:val="nil"/>
                    <w:tr2bl w:val="nil"/>
                  </w:tcBorders>
                  <w:noWrap w:val="0"/>
                  <w:vAlign w:val="center"/>
                </w:tcPr>
                <w:p w14:paraId="6E171F25">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r>
                    <w:rPr>
                      <w:rFonts w:hint="default" w:ascii="Times New Roman" w:hAnsi="Times New Roman" w:eastAsia="宋体" w:cs="Times New Roman"/>
                      <w:color w:val="auto"/>
                      <w:lang w:val="en-US" w:eastAsia="zh-CN"/>
                    </w:rPr>
                    <w:t>钢筋石笼护岸</w:t>
                  </w:r>
                </w:p>
              </w:tc>
              <w:tc>
                <w:tcPr>
                  <w:tcW w:w="682" w:type="dxa"/>
                  <w:tcBorders>
                    <w:tl2br w:val="nil"/>
                    <w:tr2bl w:val="nil"/>
                  </w:tcBorders>
                  <w:noWrap w:val="0"/>
                  <w:vAlign w:val="center"/>
                </w:tcPr>
                <w:p w14:paraId="52F25104">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0F181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0F79C8F">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6FB8DE64">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6BF38AF9">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0101A450">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Y3+119.97</w:t>
                  </w:r>
                </w:p>
              </w:tc>
              <w:tc>
                <w:tcPr>
                  <w:tcW w:w="1192" w:type="dxa"/>
                  <w:gridSpan w:val="2"/>
                  <w:tcBorders>
                    <w:tl2br w:val="nil"/>
                    <w:tr2bl w:val="nil"/>
                  </w:tcBorders>
                  <w:noWrap w:val="0"/>
                  <w:vAlign w:val="center"/>
                </w:tcPr>
                <w:p w14:paraId="4061BAA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Y3+397.41</w:t>
                  </w:r>
                </w:p>
              </w:tc>
              <w:tc>
                <w:tcPr>
                  <w:tcW w:w="935" w:type="dxa"/>
                  <w:tcBorders>
                    <w:tl2br w:val="nil"/>
                    <w:tr2bl w:val="nil"/>
                  </w:tcBorders>
                  <w:noWrap w:val="0"/>
                  <w:vAlign w:val="center"/>
                </w:tcPr>
                <w:p w14:paraId="58E15AEE">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277.44</w:t>
                  </w:r>
                </w:p>
              </w:tc>
              <w:tc>
                <w:tcPr>
                  <w:tcW w:w="2286" w:type="dxa"/>
                  <w:tcBorders>
                    <w:tl2br w:val="nil"/>
                    <w:tr2bl w:val="nil"/>
                  </w:tcBorders>
                  <w:noWrap w:val="0"/>
                  <w:vAlign w:val="center"/>
                </w:tcPr>
                <w:p w14:paraId="4B8CCB49">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紧邻山体，不治理</w:t>
                  </w:r>
                </w:p>
              </w:tc>
              <w:tc>
                <w:tcPr>
                  <w:tcW w:w="682" w:type="dxa"/>
                  <w:tcBorders>
                    <w:tl2br w:val="nil"/>
                    <w:tr2bl w:val="nil"/>
                  </w:tcBorders>
                  <w:noWrap w:val="0"/>
                  <w:vAlign w:val="center"/>
                </w:tcPr>
                <w:p w14:paraId="403173D9">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66FAD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02FF0DDC">
                  <w:pPr>
                    <w:pStyle w:val="76"/>
                    <w:spacing w:line="240" w:lineRule="auto"/>
                    <w:rPr>
                      <w:rFonts w:hint="default" w:ascii="Times New Roman" w:hAnsi="Times New Roman" w:eastAsia="宋体" w:cs="Times New Roman"/>
                      <w:color w:val="auto"/>
                      <w:lang w:val="en-US" w:eastAsia="zh-CN"/>
                    </w:rPr>
                  </w:pPr>
                </w:p>
              </w:tc>
              <w:tc>
                <w:tcPr>
                  <w:tcW w:w="426" w:type="dxa"/>
                  <w:vMerge w:val="continue"/>
                  <w:tcBorders>
                    <w:tl2br w:val="nil"/>
                    <w:tr2bl w:val="nil"/>
                  </w:tcBorders>
                  <w:noWrap w:val="0"/>
                  <w:vAlign w:val="center"/>
                </w:tcPr>
                <w:p w14:paraId="529F8089">
                  <w:pPr>
                    <w:pStyle w:val="76"/>
                    <w:spacing w:line="240" w:lineRule="auto"/>
                    <w:rPr>
                      <w:rFonts w:hint="default" w:ascii="Times New Roman" w:hAnsi="Times New Roman" w:eastAsia="宋体" w:cs="Times New Roman"/>
                      <w:color w:val="auto"/>
                      <w:lang w:val="en-US" w:eastAsia="zh-CN"/>
                    </w:rPr>
                  </w:pPr>
                </w:p>
              </w:tc>
              <w:tc>
                <w:tcPr>
                  <w:tcW w:w="581" w:type="dxa"/>
                  <w:vMerge w:val="continue"/>
                  <w:tcBorders>
                    <w:tl2br w:val="nil"/>
                    <w:tr2bl w:val="nil"/>
                  </w:tcBorders>
                  <w:noWrap w:val="0"/>
                  <w:vAlign w:val="center"/>
                </w:tcPr>
                <w:p w14:paraId="57AC5B51">
                  <w:pPr>
                    <w:pStyle w:val="76"/>
                    <w:spacing w:line="240" w:lineRule="auto"/>
                    <w:rPr>
                      <w:rFonts w:hint="default" w:ascii="Times New Roman" w:hAnsi="Times New Roman" w:eastAsia="宋体" w:cs="Times New Roman"/>
                      <w:color w:val="auto"/>
                      <w:lang w:val="en-US" w:eastAsia="zh-CN"/>
                    </w:rPr>
                  </w:pPr>
                </w:p>
              </w:tc>
              <w:tc>
                <w:tcPr>
                  <w:tcW w:w="1319" w:type="dxa"/>
                  <w:tcBorders>
                    <w:tl2br w:val="nil"/>
                    <w:tr2bl w:val="nil"/>
                  </w:tcBorders>
                  <w:noWrap w:val="0"/>
                  <w:vAlign w:val="center"/>
                </w:tcPr>
                <w:p w14:paraId="5385CA8F">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Y3+397.41</w:t>
                  </w:r>
                </w:p>
              </w:tc>
              <w:tc>
                <w:tcPr>
                  <w:tcW w:w="1192" w:type="dxa"/>
                  <w:gridSpan w:val="2"/>
                  <w:tcBorders>
                    <w:tl2br w:val="nil"/>
                    <w:tr2bl w:val="nil"/>
                  </w:tcBorders>
                  <w:noWrap w:val="0"/>
                  <w:vAlign w:val="center"/>
                </w:tcPr>
                <w:p w14:paraId="605A00CC">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Y3+770.62</w:t>
                  </w:r>
                </w:p>
              </w:tc>
              <w:tc>
                <w:tcPr>
                  <w:tcW w:w="935" w:type="dxa"/>
                  <w:tcBorders>
                    <w:tl2br w:val="nil"/>
                    <w:tr2bl w:val="nil"/>
                  </w:tcBorders>
                  <w:noWrap w:val="0"/>
                  <w:vAlign w:val="center"/>
                </w:tcPr>
                <w:p w14:paraId="5203E518">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373.21</w:t>
                  </w:r>
                </w:p>
              </w:tc>
              <w:tc>
                <w:tcPr>
                  <w:tcW w:w="2286" w:type="dxa"/>
                  <w:tcBorders>
                    <w:tl2br w:val="nil"/>
                    <w:tr2bl w:val="nil"/>
                  </w:tcBorders>
                  <w:noWrap w:val="0"/>
                  <w:vAlign w:val="center"/>
                </w:tcPr>
                <w:p w14:paraId="1E0C2CBC">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现状为高岸坡不治理</w:t>
                  </w:r>
                </w:p>
              </w:tc>
              <w:tc>
                <w:tcPr>
                  <w:tcW w:w="682" w:type="dxa"/>
                  <w:tcBorders>
                    <w:tl2br w:val="nil"/>
                    <w:tr2bl w:val="nil"/>
                  </w:tcBorders>
                  <w:noWrap w:val="0"/>
                  <w:vAlign w:val="center"/>
                </w:tcPr>
                <w:p w14:paraId="4A0DEC31">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保留</w:t>
                  </w:r>
                </w:p>
              </w:tc>
            </w:tr>
            <w:tr w14:paraId="4DD41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DD017F4">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1418532A">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亲水踏步</w:t>
                  </w:r>
                </w:p>
              </w:tc>
              <w:tc>
                <w:tcPr>
                  <w:tcW w:w="5732" w:type="dxa"/>
                  <w:gridSpan w:val="5"/>
                  <w:tcBorders>
                    <w:tl2br w:val="nil"/>
                    <w:tr2bl w:val="nil"/>
                  </w:tcBorders>
                  <w:noWrap w:val="0"/>
                  <w:vAlign w:val="center"/>
                </w:tcPr>
                <w:p w14:paraId="3B3B50F5">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在河道岸坡每隔400m 左右设置一道人行亲水踏步，共设置踏步10座。踏步阶梯宽度为1.0m， 基础采用浆砌石结构，护面采用C20混凝土，台阶断面尺寸为25cm×20cm， 级数视实际堤防高度确定，台阶从堤顶向下布置到河底，天面应设置防滑槽</w:t>
                  </w:r>
                  <w:r>
                    <w:rPr>
                      <w:rFonts w:hint="eastAsia" w:ascii="Times New Roman" w:hAnsi="Times New Roman" w:eastAsia="宋体" w:cs="Times New Roman"/>
                      <w:color w:val="auto"/>
                      <w:lang w:val="en-US" w:eastAsia="zh-CN"/>
                    </w:rPr>
                    <w:t>。</w:t>
                  </w:r>
                </w:p>
              </w:tc>
              <w:tc>
                <w:tcPr>
                  <w:tcW w:w="682" w:type="dxa"/>
                  <w:tcBorders>
                    <w:tl2br w:val="nil"/>
                    <w:tr2bl w:val="nil"/>
                  </w:tcBorders>
                  <w:noWrap w:val="0"/>
                  <w:vAlign w:val="center"/>
                </w:tcPr>
                <w:p w14:paraId="14C2F9C2">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16FC9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l2br w:val="nil"/>
                    <w:tr2bl w:val="nil"/>
                  </w:tcBorders>
                  <w:noWrap w:val="0"/>
                  <w:vAlign w:val="center"/>
                </w:tcPr>
                <w:p w14:paraId="5539DDC0">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公用工程</w:t>
                  </w:r>
                </w:p>
              </w:tc>
              <w:tc>
                <w:tcPr>
                  <w:tcW w:w="1007" w:type="dxa"/>
                  <w:gridSpan w:val="2"/>
                  <w:tcBorders>
                    <w:tl2br w:val="nil"/>
                    <w:tr2bl w:val="nil"/>
                  </w:tcBorders>
                  <w:noWrap w:val="0"/>
                  <w:vAlign w:val="center"/>
                </w:tcPr>
                <w:p w14:paraId="0B5DD0F4">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供水</w:t>
                  </w:r>
                </w:p>
              </w:tc>
              <w:tc>
                <w:tcPr>
                  <w:tcW w:w="5732" w:type="dxa"/>
                  <w:gridSpan w:val="5"/>
                  <w:tcBorders>
                    <w:tl2br w:val="nil"/>
                    <w:tr2bl w:val="nil"/>
                  </w:tcBorders>
                  <w:noWrap w:val="0"/>
                  <w:vAlign w:val="center"/>
                </w:tcPr>
                <w:p w14:paraId="5E2F7BBA">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施工生活用水可从附近的村庄内取用自来水</w:t>
                  </w:r>
                  <w:r>
                    <w:rPr>
                      <w:rFonts w:hint="eastAsia" w:ascii="Times New Roman" w:hAnsi="Times New Roman" w:eastAsia="宋体" w:cs="Times New Roman"/>
                      <w:color w:val="auto"/>
                      <w:lang w:val="en-US" w:eastAsia="zh-CN"/>
                    </w:rPr>
                    <w:t>，施工用水可利用移动式抽水泵从原河道内取水即可满足施工用水要求。</w:t>
                  </w:r>
                </w:p>
              </w:tc>
              <w:tc>
                <w:tcPr>
                  <w:tcW w:w="682" w:type="dxa"/>
                  <w:tcBorders>
                    <w:tl2br w:val="nil"/>
                    <w:tr2bl w:val="nil"/>
                  </w:tcBorders>
                  <w:noWrap w:val="0"/>
                  <w:vAlign w:val="center"/>
                </w:tcPr>
                <w:p w14:paraId="532986A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6BFC9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76AEF860">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5AA6F926">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供电</w:t>
                  </w:r>
                </w:p>
              </w:tc>
              <w:tc>
                <w:tcPr>
                  <w:tcW w:w="5732" w:type="dxa"/>
                  <w:gridSpan w:val="5"/>
                  <w:tcBorders>
                    <w:tl2br w:val="nil"/>
                    <w:tr2bl w:val="nil"/>
                  </w:tcBorders>
                  <w:noWrap w:val="0"/>
                  <w:vAlign w:val="center"/>
                </w:tcPr>
                <w:p w14:paraId="40E01E2A">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由于河道沿线村庄较多，施工期均可从附近村庄就近架设短距离临时线路接通电源，不需添设施工变压器。</w:t>
                  </w:r>
                </w:p>
              </w:tc>
              <w:tc>
                <w:tcPr>
                  <w:tcW w:w="682" w:type="dxa"/>
                  <w:tcBorders>
                    <w:tl2br w:val="nil"/>
                    <w:tr2bl w:val="nil"/>
                  </w:tcBorders>
                  <w:noWrap w:val="0"/>
                  <w:vAlign w:val="center"/>
                </w:tcPr>
                <w:p w14:paraId="5AA00530">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03445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539DF0DD">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76AA1B57">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排水</w:t>
                  </w:r>
                </w:p>
              </w:tc>
              <w:tc>
                <w:tcPr>
                  <w:tcW w:w="5732" w:type="dxa"/>
                  <w:gridSpan w:val="5"/>
                  <w:tcBorders>
                    <w:tl2br w:val="nil"/>
                    <w:tr2bl w:val="nil"/>
                  </w:tcBorders>
                  <w:noWrap w:val="0"/>
                  <w:vAlign w:val="center"/>
                </w:tcPr>
                <w:p w14:paraId="6A7BE592">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项目施工期有少量施工废水产生，经沉淀后回用于施工</w:t>
                  </w:r>
                  <w:r>
                    <w:rPr>
                      <w:rFonts w:hint="eastAsia" w:ascii="Times New Roman" w:hAnsi="Times New Roman" w:eastAsia="宋体" w:cs="Times New Roman"/>
                      <w:color w:val="auto"/>
                      <w:lang w:val="en-US" w:eastAsia="zh-CN"/>
                    </w:rPr>
                    <w:t>工序</w:t>
                  </w:r>
                  <w:r>
                    <w:rPr>
                      <w:rFonts w:hint="default" w:ascii="Times New Roman" w:hAnsi="Times New Roman" w:eastAsia="宋体" w:cs="Times New Roman"/>
                      <w:color w:val="auto"/>
                      <w:lang w:val="en-US" w:eastAsia="zh-CN"/>
                    </w:rPr>
                    <w:t>和施工区</w:t>
                  </w:r>
                  <w:r>
                    <w:rPr>
                      <w:rFonts w:hint="eastAsia" w:ascii="Times New Roman" w:hAnsi="Times New Roman" w:eastAsia="宋体" w:cs="Times New Roman"/>
                      <w:color w:val="auto"/>
                      <w:lang w:val="en-US" w:eastAsia="zh-CN"/>
                    </w:rPr>
                    <w:t>洒水</w:t>
                  </w:r>
                  <w:r>
                    <w:rPr>
                      <w:rFonts w:hint="default" w:ascii="Times New Roman" w:hAnsi="Times New Roman" w:eastAsia="宋体" w:cs="Times New Roman"/>
                      <w:color w:val="auto"/>
                      <w:lang w:val="en-US" w:eastAsia="zh-CN"/>
                    </w:rPr>
                    <w:t>降尘，运营期不产生废水。</w:t>
                  </w:r>
                </w:p>
              </w:tc>
              <w:tc>
                <w:tcPr>
                  <w:tcW w:w="682" w:type="dxa"/>
                  <w:tcBorders>
                    <w:tl2br w:val="nil"/>
                    <w:tr2bl w:val="nil"/>
                  </w:tcBorders>
                  <w:noWrap w:val="0"/>
                  <w:vAlign w:val="center"/>
                </w:tcPr>
                <w:p w14:paraId="0248BFB3">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642C6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tcBorders>
                    <w:tl2br w:val="nil"/>
                    <w:tr2bl w:val="nil"/>
                  </w:tcBorders>
                  <w:noWrap w:val="0"/>
                  <w:vAlign w:val="center"/>
                </w:tcPr>
                <w:p w14:paraId="33DB1C41">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辅助工程</w:t>
                  </w:r>
                </w:p>
              </w:tc>
              <w:tc>
                <w:tcPr>
                  <w:tcW w:w="1007" w:type="dxa"/>
                  <w:gridSpan w:val="2"/>
                  <w:tcBorders>
                    <w:tl2br w:val="nil"/>
                    <w:tr2bl w:val="nil"/>
                  </w:tcBorders>
                  <w:noWrap w:val="0"/>
                  <w:vAlign w:val="center"/>
                </w:tcPr>
                <w:p w14:paraId="30A2A07E">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导流工程</w:t>
                  </w:r>
                </w:p>
              </w:tc>
              <w:tc>
                <w:tcPr>
                  <w:tcW w:w="5732" w:type="dxa"/>
                  <w:gridSpan w:val="5"/>
                  <w:tcBorders>
                    <w:tl2br w:val="nil"/>
                    <w:tr2bl w:val="nil"/>
                  </w:tcBorders>
                  <w:noWrap w:val="0"/>
                  <w:vAlign w:val="center"/>
                </w:tcPr>
                <w:p w14:paraId="051EEFC7">
                  <w:pPr>
                    <w:keepNext w:val="0"/>
                    <w:keepLines w:val="0"/>
                    <w:pageBreakBefore w:val="0"/>
                    <w:widowControl w:val="0"/>
                    <w:kinsoku/>
                    <w:wordWrap/>
                    <w:overflowPunct/>
                    <w:topLinePunct w:val="0"/>
                    <w:autoSpaceDE/>
                    <w:autoSpaceDN/>
                    <w:bidi w:val="0"/>
                    <w:adjustRightInd/>
                    <w:snapToGrid/>
                    <w:spacing w:line="240" w:lineRule="auto"/>
                    <w:ind w:left="0" w:right="0"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1"/>
                      <w:kern w:val="2"/>
                      <w:sz w:val="21"/>
                      <w:szCs w:val="21"/>
                      <w:lang w:val="en-US" w:eastAsia="zh-CN" w:bidi="ar-SA"/>
                    </w:rPr>
                    <w:t>钢筋石笼护岸施工可在水下作业完成，施工期为枯水期，无需施工导流。</w:t>
                  </w:r>
                </w:p>
              </w:tc>
              <w:tc>
                <w:tcPr>
                  <w:tcW w:w="682" w:type="dxa"/>
                  <w:tcBorders>
                    <w:tl2br w:val="nil"/>
                    <w:tr2bl w:val="nil"/>
                  </w:tcBorders>
                  <w:noWrap w:val="0"/>
                  <w:vAlign w:val="center"/>
                </w:tcPr>
                <w:p w14:paraId="4C9ED36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56ED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tcBorders>
                    <w:tl2br w:val="nil"/>
                    <w:tr2bl w:val="nil"/>
                  </w:tcBorders>
                  <w:noWrap w:val="0"/>
                  <w:vAlign w:val="center"/>
                </w:tcPr>
                <w:p w14:paraId="54674744">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施工临时工程</w:t>
                  </w:r>
                </w:p>
              </w:tc>
              <w:tc>
                <w:tcPr>
                  <w:tcW w:w="1007" w:type="dxa"/>
                  <w:gridSpan w:val="2"/>
                  <w:tcBorders>
                    <w:tl2br w:val="nil"/>
                    <w:tr2bl w:val="nil"/>
                  </w:tcBorders>
                  <w:noWrap w:val="0"/>
                  <w:vAlign w:val="center"/>
                </w:tcPr>
                <w:p w14:paraId="6F3416E5">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施工道路</w:t>
                  </w:r>
                </w:p>
              </w:tc>
              <w:tc>
                <w:tcPr>
                  <w:tcW w:w="5732" w:type="dxa"/>
                  <w:gridSpan w:val="5"/>
                  <w:tcBorders>
                    <w:tl2br w:val="nil"/>
                    <w:tr2bl w:val="nil"/>
                  </w:tcBorders>
                  <w:noWrap w:val="0"/>
                  <w:vAlign w:val="center"/>
                </w:tcPr>
                <w:p w14:paraId="59DB49A2">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需设置临时施工便道5km，组成施工道路网，以保证工程建设物资运输和施工的顺利进行</w:t>
                  </w:r>
                  <w:r>
                    <w:rPr>
                      <w:rFonts w:hint="eastAsia" w:ascii="Times New Roman" w:hAnsi="Times New Roman" w:eastAsia="宋体" w:cs="Times New Roman"/>
                      <w:color w:val="auto"/>
                      <w:lang w:val="en-US" w:eastAsia="zh-CN"/>
                    </w:rPr>
                    <w:t>。项目施工临时道路占地</w:t>
                  </w:r>
                  <w:r>
                    <w:rPr>
                      <w:rFonts w:hint="default" w:ascii="Times New Roman" w:hAnsi="Times New Roman" w:eastAsia="宋体" w:cs="Times New Roman"/>
                      <w:spacing w:val="6"/>
                      <w:sz w:val="21"/>
                      <w:szCs w:val="21"/>
                      <w:lang w:val="en-US" w:eastAsia="zh-CN"/>
                    </w:rPr>
                    <w:t>1.20</w:t>
                  </w:r>
                  <w:r>
                    <w:rPr>
                      <w:rFonts w:hint="eastAsia" w:ascii="Times New Roman" w:hAnsi="Times New Roman" w:eastAsia="宋体" w:cs="Times New Roman"/>
                      <w:color w:val="auto"/>
                      <w:lang w:val="en-US" w:eastAsia="zh-CN"/>
                    </w:rPr>
                    <w:t>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tc>
              <w:tc>
                <w:tcPr>
                  <w:tcW w:w="682" w:type="dxa"/>
                  <w:tcBorders>
                    <w:tl2br w:val="nil"/>
                    <w:tr2bl w:val="nil"/>
                  </w:tcBorders>
                  <w:noWrap w:val="0"/>
                  <w:vAlign w:val="center"/>
                </w:tcPr>
                <w:p w14:paraId="149C26CB">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5A748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59F99CA1">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75A78735">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施工营地</w:t>
                  </w:r>
                </w:p>
              </w:tc>
              <w:tc>
                <w:tcPr>
                  <w:tcW w:w="5732" w:type="dxa"/>
                  <w:gridSpan w:val="5"/>
                  <w:tcBorders>
                    <w:tl2br w:val="nil"/>
                    <w:tr2bl w:val="nil"/>
                  </w:tcBorders>
                  <w:noWrap w:val="0"/>
                  <w:vAlign w:val="center"/>
                </w:tcPr>
                <w:p w14:paraId="5767067A">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施工生产区主要布置于河道两岸临时征地范围内的开阔地带，沿岸共设3个综合施工生产区</w:t>
                  </w:r>
                  <w:r>
                    <w:rPr>
                      <w:rFonts w:hint="eastAsia" w:ascii="Times New Roman" w:hAnsi="Times New Roman" w:eastAsia="宋体" w:cs="Times New Roman"/>
                      <w:color w:val="auto"/>
                      <w:lang w:val="en-US" w:eastAsia="zh-CN"/>
                    </w:rPr>
                    <w:t>，施工活办公用房租用</w:t>
                  </w:r>
                  <w:r>
                    <w:rPr>
                      <w:rFonts w:hint="default" w:ascii="Times New Roman" w:hAnsi="Times New Roman" w:eastAsia="宋体" w:cs="Times New Roman"/>
                      <w:color w:val="auto"/>
                      <w:lang w:val="en-US" w:eastAsia="zh-CN"/>
                    </w:rPr>
                    <w:t>周边村庄房屋</w:t>
                  </w:r>
                  <w:r>
                    <w:rPr>
                      <w:rFonts w:hint="eastAsia" w:ascii="Times New Roman" w:hAnsi="Times New Roman" w:eastAsia="宋体" w:cs="Times New Roman"/>
                      <w:color w:val="auto"/>
                      <w:lang w:val="en-US" w:eastAsia="zh-CN"/>
                    </w:rPr>
                    <w:t>，项目施工营地共计占地0.94hm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tc>
              <w:tc>
                <w:tcPr>
                  <w:tcW w:w="682" w:type="dxa"/>
                  <w:tcBorders>
                    <w:tl2br w:val="nil"/>
                    <w:tr2bl w:val="nil"/>
                  </w:tcBorders>
                  <w:noWrap w:val="0"/>
                  <w:vAlign w:val="center"/>
                </w:tcPr>
                <w:p w14:paraId="46F68B38">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6031A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5958FBCE">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4F05561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临时表土堆场</w:t>
                  </w:r>
                </w:p>
              </w:tc>
              <w:tc>
                <w:tcPr>
                  <w:tcW w:w="5732" w:type="dxa"/>
                  <w:gridSpan w:val="5"/>
                  <w:tcBorders>
                    <w:tl2br w:val="nil"/>
                    <w:tr2bl w:val="nil"/>
                  </w:tcBorders>
                  <w:noWrap w:val="0"/>
                  <w:vAlign w:val="center"/>
                </w:tcPr>
                <w:p w14:paraId="7C7F9287">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在施工生产生活区、临时道路区工程占地范围内规划了表土临时堆场</w:t>
                  </w:r>
                  <w:r>
                    <w:rPr>
                      <w:rFonts w:hint="eastAsia" w:ascii="Times New Roman" w:hAnsi="Times New Roman" w:eastAsia="宋体" w:cs="Times New Roman"/>
                      <w:color w:val="auto"/>
                      <w:lang w:val="en-US" w:eastAsia="zh-CN"/>
                    </w:rPr>
                    <w:t>，施工生产区表土堆场面积为0.25hm</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，临时道路区表土堆场</w:t>
                  </w:r>
                  <w:r>
                    <w:rPr>
                      <w:rFonts w:hint="eastAsia" w:ascii="Times New Roman" w:hAnsi="Times New Roman" w:eastAsia="宋体" w:cs="Times New Roman"/>
                      <w:color w:val="auto"/>
                      <w:lang w:val="en-US" w:eastAsia="zh-CN"/>
                    </w:rPr>
                    <w:t>面积为0.26hm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color w:val="auto"/>
                      <w:lang w:eastAsia="zh-CN"/>
                    </w:rPr>
                    <w:t>堆存过程中采取降尘及防止水土流失措施。严禁长期堆存，施工结束后及时对临时占用土地进行恢复治理。</w:t>
                  </w:r>
                </w:p>
              </w:tc>
              <w:tc>
                <w:tcPr>
                  <w:tcW w:w="682" w:type="dxa"/>
                  <w:tcBorders>
                    <w:tl2br w:val="nil"/>
                    <w:tr2bl w:val="nil"/>
                  </w:tcBorders>
                  <w:noWrap w:val="0"/>
                  <w:vAlign w:val="center"/>
                </w:tcPr>
                <w:p w14:paraId="0AC1D34F">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233C6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3F2B8433">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5FA61340">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弃渣场</w:t>
                  </w:r>
                </w:p>
              </w:tc>
              <w:tc>
                <w:tcPr>
                  <w:tcW w:w="5732" w:type="dxa"/>
                  <w:gridSpan w:val="5"/>
                  <w:tcBorders>
                    <w:tl2br w:val="nil"/>
                    <w:tr2bl w:val="nil"/>
                  </w:tcBorders>
                  <w:noWrap w:val="0"/>
                  <w:vAlign w:val="center"/>
                </w:tcPr>
                <w:p w14:paraId="3F1DD6E1">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工程建设无永久弃渣产生，项目不设置弃渣场。</w:t>
                  </w:r>
                </w:p>
              </w:tc>
              <w:tc>
                <w:tcPr>
                  <w:tcW w:w="682" w:type="dxa"/>
                  <w:tcBorders>
                    <w:tl2br w:val="nil"/>
                    <w:tr2bl w:val="nil"/>
                  </w:tcBorders>
                  <w:noWrap w:val="0"/>
                  <w:vAlign w:val="center"/>
                </w:tcPr>
                <w:p w14:paraId="05F49443">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3DEE0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3450244D">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19EB8C3D">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砂石料场</w:t>
                  </w:r>
                </w:p>
              </w:tc>
              <w:tc>
                <w:tcPr>
                  <w:tcW w:w="5732" w:type="dxa"/>
                  <w:gridSpan w:val="5"/>
                  <w:tcBorders>
                    <w:tl2br w:val="nil"/>
                    <w:tr2bl w:val="nil"/>
                  </w:tcBorders>
                  <w:noWrap w:val="0"/>
                  <w:vAlign w:val="center"/>
                </w:tcPr>
                <w:p w14:paraId="1D2901CE">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本工程砂石料全部外购，不设置砂石料加工系统</w:t>
                  </w:r>
                  <w:r>
                    <w:rPr>
                      <w:rFonts w:hint="eastAsia" w:ascii="Times New Roman" w:hAnsi="Times New Roman" w:eastAsia="宋体" w:cs="Times New Roman"/>
                      <w:color w:val="auto"/>
                      <w:lang w:val="en-US" w:eastAsia="zh-CN"/>
                    </w:rPr>
                    <w:t>，不再设置砂石料场，砂石料及水泥等外购后运至施工区临时堆存。</w:t>
                  </w:r>
                </w:p>
              </w:tc>
              <w:tc>
                <w:tcPr>
                  <w:tcW w:w="682" w:type="dxa"/>
                  <w:tcBorders>
                    <w:tl2br w:val="nil"/>
                    <w:tr2bl w:val="nil"/>
                  </w:tcBorders>
                  <w:noWrap w:val="0"/>
                  <w:vAlign w:val="center"/>
                </w:tcPr>
                <w:p w14:paraId="00D92361">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256AB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7643AE4">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0811CA6D">
                  <w:pPr>
                    <w:pStyle w:val="35"/>
                    <w:keepNext/>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lang w:val="en-US" w:eastAsia="zh-CN"/>
                    </w:rPr>
                  </w:pPr>
                  <w:r>
                    <w:rPr>
                      <w:rFonts w:hint="eastAsia"/>
                      <w:color w:val="auto"/>
                      <w:lang w:eastAsia="zh-CN"/>
                    </w:rPr>
                    <w:t>混凝土拌合站</w:t>
                  </w:r>
                </w:p>
              </w:tc>
              <w:tc>
                <w:tcPr>
                  <w:tcW w:w="5732" w:type="dxa"/>
                  <w:gridSpan w:val="5"/>
                  <w:tcBorders>
                    <w:tl2br w:val="nil"/>
                    <w:tr2bl w:val="nil"/>
                  </w:tcBorders>
                  <w:noWrap w:val="0"/>
                  <w:vAlign w:val="center"/>
                </w:tcPr>
                <w:p w14:paraId="61388693">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lang w:val="en-US" w:eastAsia="zh-CN"/>
                    </w:rPr>
                  </w:pPr>
                  <w:r>
                    <w:rPr>
                      <w:rFonts w:hint="eastAsia"/>
                      <w:color w:val="auto"/>
                    </w:rPr>
                    <w:t>混凝土拌和站及相应的骨料堆放场均布置在</w:t>
                  </w:r>
                  <w:r>
                    <w:rPr>
                      <w:rFonts w:hint="default" w:ascii="Times New Roman" w:hAnsi="Times New Roman" w:eastAsia="宋体" w:cs="Times New Roman"/>
                      <w:color w:val="auto"/>
                      <w:lang w:val="en-US" w:eastAsia="zh-CN"/>
                    </w:rPr>
                    <w:t>临时征地范围内的开阔地带</w:t>
                  </w:r>
                  <w:r>
                    <w:rPr>
                      <w:rFonts w:hint="eastAsia"/>
                      <w:color w:val="auto"/>
                    </w:rPr>
                    <w:t>，根据堤线长度，均衡布置，采用移动式混凝土</w:t>
                  </w:r>
                  <w:r>
                    <w:rPr>
                      <w:rFonts w:hint="eastAsia"/>
                      <w:color w:val="auto"/>
                      <w:lang w:eastAsia="zh-CN"/>
                    </w:rPr>
                    <w:t>拌和站。</w:t>
                  </w:r>
                </w:p>
              </w:tc>
              <w:tc>
                <w:tcPr>
                  <w:tcW w:w="682" w:type="dxa"/>
                  <w:tcBorders>
                    <w:tl2br w:val="nil"/>
                    <w:tr2bl w:val="nil"/>
                  </w:tcBorders>
                  <w:noWrap w:val="0"/>
                  <w:vAlign w:val="center"/>
                </w:tcPr>
                <w:p w14:paraId="4F0CA26C">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131ED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Merge w:val="restart"/>
                  <w:tcBorders>
                    <w:tl2br w:val="nil"/>
                    <w:tr2bl w:val="nil"/>
                  </w:tcBorders>
                  <w:noWrap w:val="0"/>
                  <w:vAlign w:val="center"/>
                </w:tcPr>
                <w:p w14:paraId="63F19C66">
                  <w:pPr>
                    <w:pStyle w:val="76"/>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环保工程</w:t>
                  </w:r>
                </w:p>
              </w:tc>
              <w:tc>
                <w:tcPr>
                  <w:tcW w:w="1007" w:type="dxa"/>
                  <w:gridSpan w:val="2"/>
                  <w:vMerge w:val="restart"/>
                  <w:tcBorders>
                    <w:tl2br w:val="nil"/>
                    <w:tr2bl w:val="nil"/>
                  </w:tcBorders>
                  <w:noWrap w:val="0"/>
                  <w:vAlign w:val="center"/>
                </w:tcPr>
                <w:p w14:paraId="4501609C">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施工期废气</w:t>
                  </w:r>
                </w:p>
              </w:tc>
              <w:tc>
                <w:tcPr>
                  <w:tcW w:w="5732" w:type="dxa"/>
                  <w:gridSpan w:val="5"/>
                  <w:tcBorders>
                    <w:tl2br w:val="nil"/>
                    <w:tr2bl w:val="nil"/>
                  </w:tcBorders>
                  <w:noWrap w:val="0"/>
                  <w:vAlign w:val="center"/>
                </w:tcPr>
                <w:p w14:paraId="306BEFDD">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lang w:val="en-US" w:eastAsia="zh-CN"/>
                    </w:rPr>
                  </w:pPr>
                  <w:r>
                    <w:rPr>
                      <w:color w:val="auto"/>
                    </w:rPr>
                    <w:t>施工过程中产生的粉尘，采取洒水降尘措施降低粉尘的逸散。</w:t>
                  </w:r>
                </w:p>
              </w:tc>
              <w:tc>
                <w:tcPr>
                  <w:tcW w:w="682" w:type="dxa"/>
                  <w:vMerge w:val="restart"/>
                  <w:tcBorders>
                    <w:tl2br w:val="nil"/>
                    <w:tr2bl w:val="nil"/>
                  </w:tcBorders>
                  <w:noWrap w:val="0"/>
                  <w:vAlign w:val="center"/>
                </w:tcPr>
                <w:p w14:paraId="64FA0C74">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11825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Merge w:val="continue"/>
                  <w:tcBorders>
                    <w:tl2br w:val="nil"/>
                    <w:tr2bl w:val="nil"/>
                  </w:tcBorders>
                  <w:noWrap w:val="0"/>
                  <w:vAlign w:val="center"/>
                </w:tcPr>
                <w:p w14:paraId="50F93AF5">
                  <w:pPr>
                    <w:pStyle w:val="76"/>
                    <w:spacing w:line="240" w:lineRule="auto"/>
                  </w:pPr>
                </w:p>
              </w:tc>
              <w:tc>
                <w:tcPr>
                  <w:tcW w:w="1007" w:type="dxa"/>
                  <w:gridSpan w:val="2"/>
                  <w:vMerge w:val="continue"/>
                  <w:tcBorders>
                    <w:tl2br w:val="nil"/>
                    <w:tr2bl w:val="nil"/>
                  </w:tcBorders>
                  <w:noWrap w:val="0"/>
                  <w:vAlign w:val="center"/>
                </w:tcPr>
                <w:p w14:paraId="7C5FAEFB">
                  <w:pPr>
                    <w:pStyle w:val="76"/>
                    <w:spacing w:line="240" w:lineRule="auto"/>
                  </w:pPr>
                </w:p>
              </w:tc>
              <w:tc>
                <w:tcPr>
                  <w:tcW w:w="5732" w:type="dxa"/>
                  <w:gridSpan w:val="5"/>
                  <w:tcBorders>
                    <w:tl2br w:val="nil"/>
                    <w:tr2bl w:val="nil"/>
                  </w:tcBorders>
                  <w:noWrap w:val="0"/>
                  <w:vAlign w:val="center"/>
                </w:tcPr>
                <w:p w14:paraId="5517262E">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lang w:val="en-US" w:eastAsia="zh-CN"/>
                    </w:rPr>
                  </w:pPr>
                  <w:r>
                    <w:rPr>
                      <w:color w:val="auto"/>
                    </w:rPr>
                    <w:t>项目建筑砂石料在运输过程中产生的粉尘，采用防尘布遮盖，防止运输过程中施工材料的洒落。</w:t>
                  </w:r>
                </w:p>
              </w:tc>
              <w:tc>
                <w:tcPr>
                  <w:tcW w:w="682" w:type="dxa"/>
                  <w:vMerge w:val="continue"/>
                  <w:tcBorders>
                    <w:tl2br w:val="nil"/>
                    <w:tr2bl w:val="nil"/>
                  </w:tcBorders>
                  <w:noWrap w:val="0"/>
                  <w:vAlign w:val="center"/>
                </w:tcPr>
                <w:p w14:paraId="0FE4D51E">
                  <w:pPr>
                    <w:pStyle w:val="76"/>
                    <w:spacing w:line="240" w:lineRule="auto"/>
                    <w:rPr>
                      <w:rFonts w:hint="eastAsia" w:ascii="Times New Roman" w:hAnsi="Times New Roman" w:eastAsia="宋体" w:cs="Times New Roman"/>
                      <w:color w:val="auto"/>
                      <w:lang w:val="en-US" w:eastAsia="zh-CN"/>
                    </w:rPr>
                  </w:pPr>
                </w:p>
              </w:tc>
            </w:tr>
            <w:tr w14:paraId="6311C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Merge w:val="continue"/>
                  <w:tcBorders>
                    <w:tl2br w:val="nil"/>
                    <w:tr2bl w:val="nil"/>
                  </w:tcBorders>
                  <w:noWrap w:val="0"/>
                  <w:vAlign w:val="center"/>
                </w:tcPr>
                <w:p w14:paraId="353893E0">
                  <w:pPr>
                    <w:pStyle w:val="76"/>
                    <w:spacing w:line="240" w:lineRule="auto"/>
                    <w:rPr>
                      <w:rFonts w:hint="eastAsia" w:ascii="Times New Roman" w:hAnsi="Times New Roman" w:eastAsia="宋体" w:cs="Times New Roman"/>
                      <w:color w:val="auto"/>
                      <w:lang w:val="en-US" w:eastAsia="zh-CN"/>
                    </w:rPr>
                  </w:pPr>
                </w:p>
              </w:tc>
              <w:tc>
                <w:tcPr>
                  <w:tcW w:w="1007" w:type="dxa"/>
                  <w:gridSpan w:val="2"/>
                  <w:vMerge w:val="continue"/>
                  <w:tcBorders>
                    <w:tl2br w:val="nil"/>
                    <w:tr2bl w:val="nil"/>
                  </w:tcBorders>
                  <w:noWrap w:val="0"/>
                  <w:vAlign w:val="center"/>
                </w:tcPr>
                <w:p w14:paraId="565C1B19">
                  <w:pPr>
                    <w:pStyle w:val="76"/>
                    <w:spacing w:line="240" w:lineRule="auto"/>
                    <w:rPr>
                      <w:rFonts w:hint="eastAsia" w:ascii="Times New Roman" w:hAnsi="Times New Roman" w:eastAsia="宋体" w:cs="Times New Roman"/>
                      <w:color w:val="auto"/>
                      <w:lang w:val="en-US" w:eastAsia="zh-CN"/>
                    </w:rPr>
                  </w:pPr>
                </w:p>
              </w:tc>
              <w:tc>
                <w:tcPr>
                  <w:tcW w:w="5732" w:type="dxa"/>
                  <w:gridSpan w:val="5"/>
                  <w:tcBorders>
                    <w:tl2br w:val="nil"/>
                    <w:tr2bl w:val="nil"/>
                  </w:tcBorders>
                  <w:noWrap w:val="0"/>
                  <w:vAlign w:val="center"/>
                </w:tcPr>
                <w:p w14:paraId="5CF768D8">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lang w:val="en-US" w:eastAsia="zh-CN"/>
                    </w:rPr>
                  </w:pPr>
                  <w:r>
                    <w:rPr>
                      <w:color w:val="auto"/>
                    </w:rPr>
                    <w:t>项目施工营地堆存的砂石料、水泥等建筑材料会产生一定的粉尘，砂石料、水泥应采用防尘布遮盖、并采取洒水降尘等措施以减缓区域粉尘影响。</w:t>
                  </w:r>
                </w:p>
              </w:tc>
              <w:tc>
                <w:tcPr>
                  <w:tcW w:w="682" w:type="dxa"/>
                  <w:vMerge w:val="continue"/>
                  <w:tcBorders>
                    <w:tl2br w:val="nil"/>
                    <w:tr2bl w:val="nil"/>
                  </w:tcBorders>
                  <w:noWrap w:val="0"/>
                  <w:vAlign w:val="center"/>
                </w:tcPr>
                <w:p w14:paraId="28CFDE0C">
                  <w:pPr>
                    <w:pStyle w:val="76"/>
                    <w:spacing w:line="240" w:lineRule="auto"/>
                    <w:rPr>
                      <w:rFonts w:hint="eastAsia" w:ascii="Times New Roman" w:hAnsi="Times New Roman" w:eastAsia="宋体" w:cs="Times New Roman"/>
                      <w:color w:val="auto"/>
                      <w:lang w:val="en-US" w:eastAsia="zh-CN"/>
                    </w:rPr>
                  </w:pPr>
                </w:p>
              </w:tc>
            </w:tr>
            <w:tr w14:paraId="027CA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Merge w:val="continue"/>
                  <w:tcBorders>
                    <w:tl2br w:val="nil"/>
                    <w:tr2bl w:val="nil"/>
                  </w:tcBorders>
                  <w:noWrap w:val="0"/>
                  <w:vAlign w:val="center"/>
                </w:tcPr>
                <w:p w14:paraId="374EAAE3">
                  <w:pPr>
                    <w:pStyle w:val="76"/>
                    <w:spacing w:line="240" w:lineRule="auto"/>
                    <w:rPr>
                      <w:rFonts w:hint="eastAsia" w:ascii="Times New Roman" w:hAnsi="Times New Roman" w:eastAsia="宋体" w:cs="Times New Roman"/>
                      <w:color w:val="auto"/>
                      <w:lang w:val="en-US" w:eastAsia="zh-CN"/>
                    </w:rPr>
                  </w:pPr>
                </w:p>
              </w:tc>
              <w:tc>
                <w:tcPr>
                  <w:tcW w:w="1007" w:type="dxa"/>
                  <w:gridSpan w:val="2"/>
                  <w:vMerge w:val="continue"/>
                  <w:tcBorders>
                    <w:tl2br w:val="nil"/>
                    <w:tr2bl w:val="nil"/>
                  </w:tcBorders>
                  <w:noWrap w:val="0"/>
                  <w:vAlign w:val="center"/>
                </w:tcPr>
                <w:p w14:paraId="53528D4B">
                  <w:pPr>
                    <w:pStyle w:val="76"/>
                    <w:spacing w:line="240" w:lineRule="auto"/>
                    <w:rPr>
                      <w:rFonts w:hint="eastAsia" w:ascii="Times New Roman" w:hAnsi="Times New Roman" w:eastAsia="宋体" w:cs="Times New Roman"/>
                      <w:color w:val="auto"/>
                      <w:lang w:val="en-US" w:eastAsia="zh-CN"/>
                    </w:rPr>
                  </w:pPr>
                </w:p>
              </w:tc>
              <w:tc>
                <w:tcPr>
                  <w:tcW w:w="5732" w:type="dxa"/>
                  <w:gridSpan w:val="5"/>
                  <w:tcBorders>
                    <w:tl2br w:val="nil"/>
                    <w:tr2bl w:val="nil"/>
                  </w:tcBorders>
                  <w:noWrap w:val="0"/>
                  <w:vAlign w:val="center"/>
                </w:tcPr>
                <w:p w14:paraId="6D7CBDB5">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lang w:val="en-US" w:eastAsia="zh-CN"/>
                    </w:rPr>
                  </w:pPr>
                  <w:r>
                    <w:rPr>
                      <w:color w:val="auto"/>
                    </w:rPr>
                    <w:t>工程施工机械应加强设备养护，</w:t>
                  </w:r>
                  <w:r>
                    <w:rPr>
                      <w:rFonts w:hint="default" w:ascii="Times New Roman" w:hAnsi="Times New Roman" w:eastAsia="宋体" w:cs="Times New Roman"/>
                      <w:color w:val="auto"/>
                      <w:lang w:val="en-US" w:eastAsia="zh-CN"/>
                    </w:rPr>
                    <w:t>使用优质燃油</w:t>
                  </w:r>
                  <w:r>
                    <w:rPr>
                      <w:rFonts w:hint="eastAsia" w:ascii="Times New Roman" w:hAnsi="Times New Roman" w:eastAsia="宋体" w:cs="Times New Roman"/>
                      <w:color w:val="auto"/>
                      <w:lang w:val="en-US" w:eastAsia="zh-CN"/>
                    </w:rPr>
                    <w:t>，</w:t>
                  </w:r>
                  <w:r>
                    <w:rPr>
                      <w:color w:val="auto"/>
                    </w:rPr>
                    <w:t>施工机械产生的废气经大气稀释扩散后影响较小。</w:t>
                  </w:r>
                </w:p>
              </w:tc>
              <w:tc>
                <w:tcPr>
                  <w:tcW w:w="682" w:type="dxa"/>
                  <w:vMerge w:val="continue"/>
                  <w:tcBorders>
                    <w:tl2br w:val="nil"/>
                    <w:tr2bl w:val="nil"/>
                  </w:tcBorders>
                  <w:noWrap w:val="0"/>
                  <w:vAlign w:val="center"/>
                </w:tcPr>
                <w:p w14:paraId="34FD29FD">
                  <w:pPr>
                    <w:pStyle w:val="76"/>
                    <w:spacing w:line="240" w:lineRule="auto"/>
                    <w:rPr>
                      <w:rFonts w:hint="eastAsia" w:ascii="Times New Roman" w:hAnsi="Times New Roman" w:eastAsia="宋体" w:cs="Times New Roman"/>
                      <w:color w:val="auto"/>
                      <w:lang w:val="en-US" w:eastAsia="zh-CN"/>
                    </w:rPr>
                  </w:pPr>
                </w:p>
              </w:tc>
            </w:tr>
            <w:tr w14:paraId="0ABDD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26" w:type="dxa"/>
                  <w:vMerge w:val="continue"/>
                  <w:tcBorders>
                    <w:tl2br w:val="nil"/>
                    <w:tr2bl w:val="nil"/>
                  </w:tcBorders>
                  <w:noWrap w:val="0"/>
                  <w:vAlign w:val="center"/>
                </w:tcPr>
                <w:p w14:paraId="75619692">
                  <w:pPr>
                    <w:pStyle w:val="76"/>
                    <w:spacing w:line="240" w:lineRule="auto"/>
                    <w:rPr>
                      <w:rFonts w:hint="default" w:ascii="Times New Roman" w:hAnsi="Times New Roman" w:eastAsia="宋体" w:cs="Times New Roman"/>
                      <w:color w:val="auto"/>
                      <w:lang w:val="en-US" w:eastAsia="zh-CN"/>
                    </w:rPr>
                  </w:pPr>
                </w:p>
              </w:tc>
              <w:tc>
                <w:tcPr>
                  <w:tcW w:w="1007" w:type="dxa"/>
                  <w:gridSpan w:val="2"/>
                  <w:vMerge w:val="restart"/>
                  <w:tcBorders>
                    <w:tl2br w:val="nil"/>
                    <w:tr2bl w:val="nil"/>
                  </w:tcBorders>
                  <w:noWrap w:val="0"/>
                  <w:vAlign w:val="center"/>
                </w:tcPr>
                <w:p w14:paraId="24CD44E2">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施工期废水</w:t>
                  </w:r>
                </w:p>
              </w:tc>
              <w:tc>
                <w:tcPr>
                  <w:tcW w:w="5732" w:type="dxa"/>
                  <w:gridSpan w:val="5"/>
                  <w:tcBorders>
                    <w:tl2br w:val="nil"/>
                    <w:tr2bl w:val="nil"/>
                  </w:tcBorders>
                  <w:noWrap w:val="0"/>
                  <w:vAlign w:val="center"/>
                </w:tcPr>
                <w:p w14:paraId="1606EE24">
                  <w:pPr>
                    <w:pStyle w:val="76"/>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机械清洗废水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在每个混凝土搅拌机旁边设置一个废水收集桶，机械清洗废水沉淀处理后排入二次沉淀桶收集上清液，处理后的上清液综合利用于</w:t>
                  </w:r>
                  <w:r>
                    <w:rPr>
                      <w:rFonts w:hint="eastAsia" w:ascii="Times New Roman" w:hAnsi="Times New Roman" w:eastAsia="宋体" w:cs="Times New Roman"/>
                      <w:color w:val="auto"/>
                      <w:lang w:val="en-US" w:eastAsia="zh-CN"/>
                    </w:rPr>
                    <w:t>施工工序</w:t>
                  </w:r>
                  <w:r>
                    <w:rPr>
                      <w:rFonts w:hint="default" w:ascii="Times New Roman" w:hAnsi="Times New Roman" w:eastAsia="宋体" w:cs="Times New Roman"/>
                      <w:color w:val="auto"/>
                      <w:lang w:val="en-US" w:eastAsia="zh-CN"/>
                    </w:rPr>
                    <w:t>及洒水抑尘，不外排</w:t>
                  </w:r>
                  <w:r>
                    <w:rPr>
                      <w:rFonts w:hint="eastAsia" w:ascii="Times New Roman" w:hAnsi="Times New Roman" w:eastAsia="宋体" w:cs="Times New Roman"/>
                      <w:color w:val="auto"/>
                      <w:lang w:val="en-US" w:eastAsia="zh-CN"/>
                    </w:rPr>
                    <w:t>。</w:t>
                  </w:r>
                </w:p>
              </w:tc>
              <w:tc>
                <w:tcPr>
                  <w:tcW w:w="682" w:type="dxa"/>
                  <w:vMerge w:val="restart"/>
                  <w:tcBorders>
                    <w:tl2br w:val="nil"/>
                    <w:tr2bl w:val="nil"/>
                  </w:tcBorders>
                  <w:noWrap w:val="0"/>
                  <w:vAlign w:val="center"/>
                </w:tcPr>
                <w:p w14:paraId="02939F19">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4DDDF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426" w:type="dxa"/>
                  <w:vMerge w:val="continue"/>
                  <w:tcBorders>
                    <w:tl2br w:val="nil"/>
                    <w:tr2bl w:val="nil"/>
                  </w:tcBorders>
                  <w:noWrap w:val="0"/>
                  <w:vAlign w:val="center"/>
                </w:tcPr>
                <w:p w14:paraId="58C5CDE3">
                  <w:pPr>
                    <w:pStyle w:val="76"/>
                    <w:spacing w:line="240" w:lineRule="auto"/>
                  </w:pPr>
                </w:p>
              </w:tc>
              <w:tc>
                <w:tcPr>
                  <w:tcW w:w="1007" w:type="dxa"/>
                  <w:gridSpan w:val="2"/>
                  <w:vMerge w:val="continue"/>
                  <w:tcBorders>
                    <w:tl2br w:val="nil"/>
                    <w:tr2bl w:val="nil"/>
                  </w:tcBorders>
                  <w:noWrap w:val="0"/>
                  <w:vAlign w:val="center"/>
                </w:tcPr>
                <w:p w14:paraId="651075F0">
                  <w:pPr>
                    <w:pStyle w:val="76"/>
                    <w:spacing w:line="240" w:lineRule="auto"/>
                  </w:pPr>
                </w:p>
              </w:tc>
              <w:tc>
                <w:tcPr>
                  <w:tcW w:w="5732" w:type="dxa"/>
                  <w:gridSpan w:val="5"/>
                  <w:tcBorders>
                    <w:tl2br w:val="nil"/>
                    <w:tr2bl w:val="nil"/>
                  </w:tcBorders>
                  <w:noWrap w:val="0"/>
                  <w:vAlign w:val="center"/>
                </w:tcPr>
                <w:p w14:paraId="005C04E0">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生活废水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租赁周边村庄房屋办公及食宿，均不在项目区食宿，生活污水仅涉及少量的洗手、如厕废水，该部分废水依托村落及乡镇现有生活设施解决生活污水排放问题，废水不外排</w:t>
                  </w:r>
                </w:p>
              </w:tc>
              <w:tc>
                <w:tcPr>
                  <w:tcW w:w="682" w:type="dxa"/>
                  <w:vMerge w:val="continue"/>
                  <w:tcBorders>
                    <w:tl2br w:val="nil"/>
                    <w:tr2bl w:val="nil"/>
                  </w:tcBorders>
                  <w:noWrap w:val="0"/>
                  <w:vAlign w:val="center"/>
                </w:tcPr>
                <w:p w14:paraId="2E2B3DFC">
                  <w:pPr>
                    <w:pStyle w:val="76"/>
                    <w:spacing w:line="240" w:lineRule="auto"/>
                    <w:rPr>
                      <w:rFonts w:hint="eastAsia" w:ascii="Times New Roman" w:hAnsi="Times New Roman" w:eastAsia="宋体" w:cs="Times New Roman"/>
                      <w:color w:val="auto"/>
                      <w:lang w:val="en-US" w:eastAsia="zh-CN"/>
                    </w:rPr>
                  </w:pPr>
                </w:p>
              </w:tc>
            </w:tr>
            <w:tr w14:paraId="5DC67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426" w:type="dxa"/>
                  <w:vMerge w:val="continue"/>
                  <w:tcBorders>
                    <w:tl2br w:val="nil"/>
                    <w:tr2bl w:val="nil"/>
                  </w:tcBorders>
                  <w:noWrap w:val="0"/>
                  <w:vAlign w:val="center"/>
                </w:tcPr>
                <w:p w14:paraId="09BDD6A3">
                  <w:pPr>
                    <w:pStyle w:val="76"/>
                    <w:spacing w:line="240" w:lineRule="auto"/>
                    <w:rPr>
                      <w:rFonts w:hint="eastAsia" w:ascii="Times New Roman" w:hAnsi="Times New Roman" w:eastAsia="宋体" w:cs="Times New Roman"/>
                      <w:color w:val="auto"/>
                      <w:lang w:val="en-US" w:eastAsia="zh-CN"/>
                    </w:rPr>
                  </w:pPr>
                </w:p>
              </w:tc>
              <w:tc>
                <w:tcPr>
                  <w:tcW w:w="1007" w:type="dxa"/>
                  <w:gridSpan w:val="2"/>
                  <w:vMerge w:val="continue"/>
                  <w:tcBorders>
                    <w:tl2br w:val="nil"/>
                    <w:tr2bl w:val="nil"/>
                  </w:tcBorders>
                  <w:noWrap w:val="0"/>
                  <w:vAlign w:val="center"/>
                </w:tcPr>
                <w:p w14:paraId="47B8F2A5">
                  <w:pPr>
                    <w:pStyle w:val="76"/>
                    <w:spacing w:line="240" w:lineRule="auto"/>
                    <w:rPr>
                      <w:rFonts w:hint="eastAsia" w:ascii="Times New Roman" w:hAnsi="Times New Roman" w:eastAsia="宋体" w:cs="Times New Roman"/>
                      <w:color w:val="auto"/>
                      <w:lang w:val="en-US" w:eastAsia="zh-CN"/>
                    </w:rPr>
                  </w:pPr>
                </w:p>
              </w:tc>
              <w:tc>
                <w:tcPr>
                  <w:tcW w:w="5732" w:type="dxa"/>
                  <w:gridSpan w:val="5"/>
                  <w:tcBorders>
                    <w:tl2br w:val="nil"/>
                    <w:tr2bl w:val="nil"/>
                  </w:tcBorders>
                  <w:noWrap w:val="0"/>
                  <w:vAlign w:val="center"/>
                </w:tcPr>
                <w:p w14:paraId="059CBCC7">
                  <w:pPr>
                    <w:pStyle w:val="76"/>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雨季施工区地表</w:t>
                  </w:r>
                  <w:r>
                    <w:rPr>
                      <w:rFonts w:hint="eastAsia" w:ascii="Times New Roman" w:hAnsi="Times New Roman" w:eastAsia="宋体" w:cs="Times New Roman"/>
                      <w:color w:val="auto"/>
                      <w:lang w:val="en-US" w:eastAsia="zh-CN"/>
                    </w:rPr>
                    <w:t>径流</w:t>
                  </w:r>
                  <w:r>
                    <w:rPr>
                      <w:rFonts w:hint="default" w:ascii="Times New Roman" w:hAnsi="Times New Roman" w:eastAsia="宋体" w:cs="Times New Roman"/>
                      <w:color w:val="auto"/>
                      <w:lang w:val="en-US" w:eastAsia="zh-CN"/>
                    </w:rPr>
                    <w:t>：合理安排工期，施工过程选择在枯水期进行；施工过程中临时堆土采取覆盖措施，建筑材料、弃渣堆场应远离河道，并进行覆盖；靠近河道一侧的施工场地设置临时截流沟，地表径流截留、收集沉淀后回用于施工过程及周边植被绿化浇洒。</w:t>
                  </w:r>
                </w:p>
              </w:tc>
              <w:tc>
                <w:tcPr>
                  <w:tcW w:w="682" w:type="dxa"/>
                  <w:vMerge w:val="continue"/>
                  <w:tcBorders>
                    <w:tl2br w:val="nil"/>
                    <w:tr2bl w:val="nil"/>
                  </w:tcBorders>
                  <w:noWrap w:val="0"/>
                  <w:vAlign w:val="center"/>
                </w:tcPr>
                <w:p w14:paraId="63FA3921">
                  <w:pPr>
                    <w:pStyle w:val="76"/>
                    <w:spacing w:line="240" w:lineRule="auto"/>
                    <w:rPr>
                      <w:rFonts w:hint="eastAsia" w:ascii="Times New Roman" w:hAnsi="Times New Roman" w:eastAsia="宋体" w:cs="Times New Roman"/>
                      <w:color w:val="auto"/>
                      <w:lang w:val="en-US" w:eastAsia="zh-CN"/>
                    </w:rPr>
                  </w:pPr>
                </w:p>
              </w:tc>
            </w:tr>
            <w:tr w14:paraId="7D9C3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3C2F9B57">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2ABD30CF">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施工期噪声</w:t>
                  </w:r>
                </w:p>
              </w:tc>
              <w:tc>
                <w:tcPr>
                  <w:tcW w:w="5732" w:type="dxa"/>
                  <w:gridSpan w:val="5"/>
                  <w:tcBorders>
                    <w:tl2br w:val="nil"/>
                    <w:tr2bl w:val="nil"/>
                  </w:tcBorders>
                  <w:noWrap w:val="0"/>
                  <w:vAlign w:val="center"/>
                </w:tcPr>
                <w:p w14:paraId="3D8B4A5B">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eastAsia"/>
                      <w:color w:val="auto"/>
                    </w:rPr>
                    <w:t>施工过程中，</w:t>
                  </w:r>
                  <w:r>
                    <w:rPr>
                      <w:rFonts w:hint="default" w:ascii="Times New Roman" w:hAnsi="Times New Roman" w:eastAsia="宋体" w:cs="Times New Roman"/>
                      <w:color w:val="auto"/>
                      <w:lang w:val="en-US" w:eastAsia="zh-CN"/>
                    </w:rPr>
                    <w:t>施工过程中要尽量选用低噪声设备</w:t>
                  </w:r>
                  <w:r>
                    <w:rPr>
                      <w:rFonts w:hint="eastAsia" w:ascii="Times New Roman" w:hAnsi="Times New Roman" w:eastAsia="宋体" w:cs="Times New Roman"/>
                      <w:color w:val="auto"/>
                      <w:lang w:val="en-US" w:eastAsia="zh-CN"/>
                    </w:rPr>
                    <w:t>，加强设备维修养护，</w:t>
                  </w:r>
                  <w:r>
                    <w:rPr>
                      <w:rFonts w:hint="eastAsia"/>
                      <w:color w:val="auto"/>
                      <w:lang w:eastAsia="zh-CN"/>
                    </w:rPr>
                    <w:t>合理布设施工器械，</w:t>
                  </w:r>
                  <w:r>
                    <w:rPr>
                      <w:rFonts w:hint="default" w:ascii="Times New Roman" w:hAnsi="Times New Roman" w:eastAsia="宋体" w:cs="Times New Roman"/>
                      <w:color w:val="auto"/>
                      <w:lang w:val="en-US" w:eastAsia="zh-CN"/>
                    </w:rPr>
                    <w:t>施工场地周围有敏感点的地方设立临时声屏障减少鸣笛次数</w:t>
                  </w:r>
                  <w:r>
                    <w:rPr>
                      <w:rFonts w:hint="eastAsia" w:ascii="Times New Roman" w:hAnsi="Times New Roman" w:eastAsia="宋体" w:cs="Times New Roman"/>
                      <w:color w:val="auto"/>
                      <w:lang w:val="en-US" w:eastAsia="zh-CN"/>
                    </w:rPr>
                    <w:t>，</w:t>
                  </w:r>
                  <w:r>
                    <w:rPr>
                      <w:rFonts w:hint="eastAsia" w:eastAsia="宋体"/>
                      <w:color w:val="auto"/>
                      <w:lang w:eastAsia="zh-CN"/>
                    </w:rPr>
                    <w:t>合理安排施工时间，</w:t>
                  </w:r>
                  <w:r>
                    <w:rPr>
                      <w:rFonts w:hint="eastAsia"/>
                      <w:color w:val="auto"/>
                    </w:rPr>
                    <w:t>夜间禁止施工。</w:t>
                  </w:r>
                </w:p>
              </w:tc>
              <w:tc>
                <w:tcPr>
                  <w:tcW w:w="682" w:type="dxa"/>
                  <w:tcBorders>
                    <w:tl2br w:val="nil"/>
                    <w:tr2bl w:val="nil"/>
                  </w:tcBorders>
                  <w:noWrap w:val="0"/>
                  <w:vAlign w:val="center"/>
                </w:tcPr>
                <w:p w14:paraId="20036382">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1DA5C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426" w:type="dxa"/>
                  <w:vMerge w:val="continue"/>
                  <w:tcBorders>
                    <w:tl2br w:val="nil"/>
                    <w:tr2bl w:val="nil"/>
                  </w:tcBorders>
                  <w:noWrap w:val="0"/>
                  <w:vAlign w:val="center"/>
                </w:tcPr>
                <w:p w14:paraId="0A295ED9">
                  <w:pPr>
                    <w:pStyle w:val="76"/>
                    <w:spacing w:line="240" w:lineRule="auto"/>
                    <w:rPr>
                      <w:rFonts w:hint="default" w:ascii="Times New Roman" w:hAnsi="Times New Roman" w:eastAsia="宋体" w:cs="Times New Roman"/>
                      <w:color w:val="auto"/>
                      <w:lang w:val="en-US" w:eastAsia="zh-CN"/>
                    </w:rPr>
                  </w:pPr>
                </w:p>
              </w:tc>
              <w:tc>
                <w:tcPr>
                  <w:tcW w:w="1007" w:type="dxa"/>
                  <w:gridSpan w:val="2"/>
                  <w:vMerge w:val="restart"/>
                  <w:tcBorders>
                    <w:tl2br w:val="nil"/>
                    <w:tr2bl w:val="nil"/>
                  </w:tcBorders>
                  <w:noWrap w:val="0"/>
                  <w:vAlign w:val="center"/>
                </w:tcPr>
                <w:p w14:paraId="7C4604BB">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施工期固废</w:t>
                  </w:r>
                </w:p>
              </w:tc>
              <w:tc>
                <w:tcPr>
                  <w:tcW w:w="5732" w:type="dxa"/>
                  <w:gridSpan w:val="5"/>
                  <w:tcBorders>
                    <w:tl2br w:val="nil"/>
                    <w:tr2bl w:val="nil"/>
                  </w:tcBorders>
                  <w:noWrap w:val="0"/>
                  <w:vAlign w:val="center"/>
                </w:tcPr>
                <w:p w14:paraId="68CD0E67">
                  <w:pPr>
                    <w:pStyle w:val="76"/>
                    <w:spacing w:line="240" w:lineRule="auto"/>
                    <w:jc w:val="both"/>
                    <w:rPr>
                      <w:rFonts w:hint="default" w:ascii="Times New Roman" w:hAnsi="Times New Roman" w:eastAsia="宋体" w:cs="Times New Roman"/>
                      <w:color w:val="auto"/>
                      <w:lang w:val="en-US" w:eastAsia="zh-CN"/>
                    </w:rPr>
                  </w:pPr>
                  <w:r>
                    <w:rPr>
                      <w:rFonts w:hint="eastAsia" w:cs="Times New Roman"/>
                      <w:color w:val="auto"/>
                      <w:lang w:val="en-US" w:eastAsia="zh-CN"/>
                    </w:rPr>
                    <w:t>废弃土石方</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项目总开挖方</w:t>
                  </w:r>
                  <w:r>
                    <w:rPr>
                      <w:rFonts w:hint="eastAsia" w:ascii="Times New Roman" w:hAnsi="Times New Roman" w:eastAsia="宋体" w:cs="Times New Roman"/>
                      <w:color w:val="auto"/>
                      <w:lang w:val="en-US" w:eastAsia="zh-CN"/>
                    </w:rPr>
                    <w:t>6.51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，回填利用</w:t>
                  </w:r>
                  <w:r>
                    <w:rPr>
                      <w:rFonts w:hint="eastAsia" w:ascii="Times New Roman" w:hAnsi="Times New Roman" w:eastAsia="宋体" w:cs="Times New Roman"/>
                      <w:color w:val="auto"/>
                      <w:lang w:val="en-US" w:eastAsia="zh-CN"/>
                    </w:rPr>
                    <w:t>6.51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无废气土石方产生</w:t>
                  </w:r>
                  <w:r>
                    <w:rPr>
                      <w:rFonts w:hint="eastAsia"/>
                      <w:color w:val="auto"/>
                    </w:rPr>
                    <w:t>临时表土堆存过程中，堆放的四周采用编织袋挡墙，采用土工布覆盖；临时表土用于后期回填</w:t>
                  </w:r>
                  <w:r>
                    <w:rPr>
                      <w:rFonts w:hint="eastAsia"/>
                      <w:color w:val="auto"/>
                      <w:lang w:eastAsia="zh-CN"/>
                    </w:rPr>
                    <w:t>。</w:t>
                  </w:r>
                </w:p>
              </w:tc>
              <w:tc>
                <w:tcPr>
                  <w:tcW w:w="682" w:type="dxa"/>
                  <w:vMerge w:val="restart"/>
                  <w:tcBorders>
                    <w:tl2br w:val="nil"/>
                    <w:tr2bl w:val="nil"/>
                  </w:tcBorders>
                  <w:noWrap w:val="0"/>
                  <w:vAlign w:val="center"/>
                </w:tcPr>
                <w:p w14:paraId="49286820">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2EEEF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26" w:type="dxa"/>
                  <w:vMerge w:val="continue"/>
                  <w:tcBorders>
                    <w:tl2br w:val="nil"/>
                    <w:tr2bl w:val="nil"/>
                  </w:tcBorders>
                  <w:noWrap w:val="0"/>
                  <w:vAlign w:val="center"/>
                </w:tcPr>
                <w:p w14:paraId="6B81C765">
                  <w:pPr>
                    <w:pStyle w:val="76"/>
                    <w:spacing w:line="240" w:lineRule="auto"/>
                  </w:pPr>
                </w:p>
              </w:tc>
              <w:tc>
                <w:tcPr>
                  <w:tcW w:w="1007" w:type="dxa"/>
                  <w:gridSpan w:val="2"/>
                  <w:vMerge w:val="continue"/>
                  <w:tcBorders>
                    <w:tl2br w:val="nil"/>
                    <w:tr2bl w:val="nil"/>
                  </w:tcBorders>
                  <w:noWrap w:val="0"/>
                  <w:vAlign w:val="center"/>
                </w:tcPr>
                <w:p w14:paraId="73B4B3AB">
                  <w:pPr>
                    <w:pStyle w:val="76"/>
                    <w:spacing w:line="240" w:lineRule="auto"/>
                  </w:pPr>
                </w:p>
              </w:tc>
              <w:tc>
                <w:tcPr>
                  <w:tcW w:w="5732" w:type="dxa"/>
                  <w:gridSpan w:val="5"/>
                  <w:tcBorders>
                    <w:tl2br w:val="nil"/>
                    <w:tr2bl w:val="nil"/>
                  </w:tcBorders>
                  <w:noWrap w:val="0"/>
                  <w:vAlign w:val="center"/>
                </w:tcPr>
                <w:p w14:paraId="5D4AED2F">
                  <w:pPr>
                    <w:pStyle w:val="76"/>
                    <w:spacing w:line="240" w:lineRule="auto"/>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施工建筑垃圾</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建筑垃圾应分类堆放，能回收利用的尽量回收利用，能出售给废品回收站的出售给废品回收站，不能回收利用的按住建部门要求进行规范处置</w:t>
                  </w:r>
                  <w:r>
                    <w:rPr>
                      <w:rFonts w:hint="eastAsia" w:ascii="Times New Roman" w:hAnsi="Times New Roman" w:eastAsia="宋体" w:cs="Times New Roman"/>
                      <w:color w:val="auto"/>
                      <w:lang w:val="en-US" w:eastAsia="zh-CN"/>
                    </w:rPr>
                    <w:t>。</w:t>
                  </w:r>
                </w:p>
              </w:tc>
              <w:tc>
                <w:tcPr>
                  <w:tcW w:w="682" w:type="dxa"/>
                  <w:vMerge w:val="continue"/>
                  <w:tcBorders>
                    <w:tl2br w:val="nil"/>
                    <w:tr2bl w:val="nil"/>
                  </w:tcBorders>
                  <w:noWrap w:val="0"/>
                  <w:vAlign w:val="center"/>
                </w:tcPr>
                <w:p w14:paraId="33A654A9">
                  <w:pPr>
                    <w:pStyle w:val="76"/>
                    <w:spacing w:line="240" w:lineRule="auto"/>
                    <w:rPr>
                      <w:rFonts w:hint="default" w:ascii="Times New Roman" w:hAnsi="Times New Roman" w:eastAsia="宋体" w:cs="Times New Roman"/>
                      <w:color w:val="auto"/>
                      <w:lang w:val="en-US" w:eastAsia="zh-CN"/>
                    </w:rPr>
                  </w:pPr>
                </w:p>
              </w:tc>
            </w:tr>
            <w:tr w14:paraId="57AB8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26" w:type="dxa"/>
                  <w:vMerge w:val="continue"/>
                  <w:tcBorders>
                    <w:tl2br w:val="nil"/>
                    <w:tr2bl w:val="nil"/>
                  </w:tcBorders>
                  <w:noWrap w:val="0"/>
                  <w:vAlign w:val="center"/>
                </w:tcPr>
                <w:p w14:paraId="6355439A">
                  <w:pPr>
                    <w:pStyle w:val="76"/>
                    <w:spacing w:line="240" w:lineRule="auto"/>
                    <w:rPr>
                      <w:rFonts w:hint="default" w:ascii="Times New Roman" w:hAnsi="Times New Roman" w:eastAsia="宋体" w:cs="Times New Roman"/>
                      <w:color w:val="auto"/>
                      <w:lang w:val="en-US" w:eastAsia="zh-CN"/>
                    </w:rPr>
                  </w:pPr>
                </w:p>
              </w:tc>
              <w:tc>
                <w:tcPr>
                  <w:tcW w:w="1007" w:type="dxa"/>
                  <w:gridSpan w:val="2"/>
                  <w:vMerge w:val="continue"/>
                  <w:tcBorders>
                    <w:tl2br w:val="nil"/>
                    <w:tr2bl w:val="nil"/>
                  </w:tcBorders>
                  <w:noWrap w:val="0"/>
                  <w:vAlign w:val="center"/>
                </w:tcPr>
                <w:p w14:paraId="76EF93BA">
                  <w:pPr>
                    <w:pStyle w:val="76"/>
                    <w:spacing w:line="240" w:lineRule="auto"/>
                    <w:rPr>
                      <w:rFonts w:hint="default" w:ascii="Times New Roman" w:hAnsi="Times New Roman" w:eastAsia="宋体" w:cs="Times New Roman"/>
                      <w:color w:val="auto"/>
                      <w:lang w:val="en-US" w:eastAsia="zh-CN"/>
                    </w:rPr>
                  </w:pPr>
                </w:p>
              </w:tc>
              <w:tc>
                <w:tcPr>
                  <w:tcW w:w="5732" w:type="dxa"/>
                  <w:gridSpan w:val="5"/>
                  <w:tcBorders>
                    <w:tl2br w:val="nil"/>
                    <w:tr2bl w:val="nil"/>
                  </w:tcBorders>
                  <w:noWrap w:val="0"/>
                  <w:vAlign w:val="center"/>
                </w:tcPr>
                <w:p w14:paraId="5CF43A43">
                  <w:pPr>
                    <w:pStyle w:val="76"/>
                    <w:spacing w:line="240" w:lineRule="auto"/>
                    <w:jc w:val="both"/>
                    <w:rPr>
                      <w:rFonts w:hint="default" w:ascii="Times New Roman" w:hAnsi="Times New Roman" w:eastAsia="宋体" w:cs="Times New Roman"/>
                      <w:color w:val="auto"/>
                      <w:lang w:val="en-US" w:eastAsia="zh-CN"/>
                    </w:rPr>
                  </w:pPr>
                  <w:r>
                    <w:rPr>
                      <w:rFonts w:hint="eastAsia" w:cs="Times New Roman"/>
                      <w:color w:val="auto"/>
                      <w:lang w:val="en-US" w:eastAsia="zh-CN"/>
                    </w:rPr>
                    <w:t>施工</w:t>
                  </w:r>
                  <w:r>
                    <w:rPr>
                      <w:rFonts w:hint="default" w:ascii="Times New Roman" w:hAnsi="Times New Roman" w:eastAsia="宋体" w:cs="Times New Roman"/>
                      <w:color w:val="auto"/>
                      <w:lang w:val="en-US" w:eastAsia="zh-CN"/>
                    </w:rPr>
                    <w:t>生活垃圾</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施工区内设置垃圾箱，收集施工人员生活垃圾；划定卫生责任区， 并确定责任人和定期清扫的周期；生活垃圾收集后运至周边村庄生活垃圾堆存。</w:t>
                  </w:r>
                </w:p>
              </w:tc>
              <w:tc>
                <w:tcPr>
                  <w:tcW w:w="682" w:type="dxa"/>
                  <w:vMerge w:val="continue"/>
                  <w:tcBorders>
                    <w:tl2br w:val="nil"/>
                    <w:tr2bl w:val="nil"/>
                  </w:tcBorders>
                  <w:noWrap w:val="0"/>
                  <w:vAlign w:val="center"/>
                </w:tcPr>
                <w:p w14:paraId="6CD78117">
                  <w:pPr>
                    <w:pStyle w:val="76"/>
                    <w:spacing w:line="240" w:lineRule="auto"/>
                    <w:rPr>
                      <w:rFonts w:hint="default" w:ascii="Times New Roman" w:hAnsi="Times New Roman" w:eastAsia="宋体" w:cs="Times New Roman"/>
                      <w:color w:val="auto"/>
                      <w:lang w:val="en-US" w:eastAsia="zh-CN"/>
                    </w:rPr>
                  </w:pPr>
                </w:p>
              </w:tc>
            </w:tr>
            <w:tr w14:paraId="3F7072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26" w:type="dxa"/>
                  <w:vMerge w:val="continue"/>
                  <w:tcBorders>
                    <w:tl2br w:val="nil"/>
                    <w:tr2bl w:val="nil"/>
                  </w:tcBorders>
                  <w:noWrap w:val="0"/>
                  <w:vAlign w:val="center"/>
                </w:tcPr>
                <w:p w14:paraId="11B6A59C">
                  <w:pPr>
                    <w:pStyle w:val="76"/>
                    <w:spacing w:line="240" w:lineRule="auto"/>
                    <w:rPr>
                      <w:rFonts w:hint="default" w:ascii="Times New Roman" w:hAnsi="Times New Roman" w:eastAsia="宋体" w:cs="Times New Roman"/>
                      <w:color w:val="auto"/>
                      <w:lang w:val="en-US" w:eastAsia="zh-CN"/>
                    </w:rPr>
                  </w:pPr>
                </w:p>
              </w:tc>
              <w:tc>
                <w:tcPr>
                  <w:tcW w:w="1007" w:type="dxa"/>
                  <w:gridSpan w:val="2"/>
                  <w:vMerge w:val="continue"/>
                  <w:tcBorders>
                    <w:tl2br w:val="nil"/>
                    <w:tr2bl w:val="nil"/>
                  </w:tcBorders>
                  <w:noWrap w:val="0"/>
                  <w:vAlign w:val="center"/>
                </w:tcPr>
                <w:p w14:paraId="182BAC48">
                  <w:pPr>
                    <w:pStyle w:val="76"/>
                    <w:spacing w:line="240" w:lineRule="auto"/>
                    <w:rPr>
                      <w:rFonts w:hint="default" w:ascii="Times New Roman" w:hAnsi="Times New Roman" w:eastAsia="宋体" w:cs="Times New Roman"/>
                      <w:color w:val="auto"/>
                      <w:lang w:val="en-US" w:eastAsia="zh-CN"/>
                    </w:rPr>
                  </w:pPr>
                </w:p>
              </w:tc>
              <w:tc>
                <w:tcPr>
                  <w:tcW w:w="5732" w:type="dxa"/>
                  <w:gridSpan w:val="5"/>
                  <w:tcBorders>
                    <w:tl2br w:val="nil"/>
                    <w:tr2bl w:val="nil"/>
                  </w:tcBorders>
                  <w:noWrap w:val="0"/>
                  <w:vAlign w:val="center"/>
                </w:tcPr>
                <w:p w14:paraId="621923F1">
                  <w:pPr>
                    <w:pStyle w:val="76"/>
                    <w:spacing w:line="240" w:lineRule="auto"/>
                    <w:jc w:val="both"/>
                    <w:rPr>
                      <w:rFonts w:hint="default" w:ascii="Times New Roman" w:hAnsi="Times New Roman" w:eastAsia="宋体" w:cs="Times New Roman"/>
                      <w:color w:val="auto"/>
                      <w:lang w:val="en-US" w:eastAsia="zh-CN"/>
                    </w:rPr>
                  </w:pPr>
                  <w:r>
                    <w:rPr>
                      <w:rFonts w:hint="eastAsia" w:cs="Times New Roman"/>
                      <w:color w:val="auto"/>
                      <w:lang w:val="en-US" w:eastAsia="zh-CN"/>
                    </w:rPr>
                    <w:t>废机油：</w:t>
                  </w:r>
                  <w:r>
                    <w:rPr>
                      <w:rFonts w:hint="default" w:ascii="Times New Roman" w:hAnsi="Times New Roman" w:eastAsia="宋体" w:cs="Times New Roman"/>
                      <w:color w:val="auto"/>
                      <w:lang w:val="en-US" w:eastAsia="zh-CN"/>
                    </w:rPr>
                    <w:t>施工机械不在施工场地维修，车辆维修，施工机械设备开往附近修理厂维修，维修过程产生的废矿物油处置责任由修理厂承担，施工场地不涉及废矿物油的产生及储存</w:t>
                  </w:r>
                  <w:r>
                    <w:rPr>
                      <w:rFonts w:hint="eastAsia" w:ascii="Times New Roman" w:hAnsi="Times New Roman" w:eastAsia="宋体" w:cs="Times New Roman"/>
                      <w:color w:val="auto"/>
                      <w:lang w:val="en-US" w:eastAsia="zh-CN"/>
                    </w:rPr>
                    <w:t>。</w:t>
                  </w:r>
                </w:p>
              </w:tc>
              <w:tc>
                <w:tcPr>
                  <w:tcW w:w="682" w:type="dxa"/>
                  <w:vMerge w:val="continue"/>
                  <w:tcBorders>
                    <w:tl2br w:val="nil"/>
                    <w:tr2bl w:val="nil"/>
                  </w:tcBorders>
                  <w:noWrap w:val="0"/>
                  <w:vAlign w:val="center"/>
                </w:tcPr>
                <w:p w14:paraId="73D76F15">
                  <w:pPr>
                    <w:pStyle w:val="76"/>
                    <w:spacing w:line="240" w:lineRule="auto"/>
                    <w:rPr>
                      <w:rFonts w:hint="default" w:ascii="Times New Roman" w:hAnsi="Times New Roman" w:eastAsia="宋体" w:cs="Times New Roman"/>
                      <w:color w:val="auto"/>
                      <w:lang w:val="en-US" w:eastAsia="zh-CN"/>
                    </w:rPr>
                  </w:pPr>
                </w:p>
              </w:tc>
            </w:tr>
            <w:tr w14:paraId="08333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2D9EB8E5">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2683679C">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生态环境</w:t>
                  </w:r>
                </w:p>
              </w:tc>
              <w:tc>
                <w:tcPr>
                  <w:tcW w:w="5732" w:type="dxa"/>
                  <w:gridSpan w:val="5"/>
                  <w:tcBorders>
                    <w:tl2br w:val="nil"/>
                    <w:tr2bl w:val="nil"/>
                  </w:tcBorders>
                  <w:noWrap w:val="0"/>
                  <w:vAlign w:val="center"/>
                </w:tcPr>
                <w:p w14:paraId="38A600C1">
                  <w:pPr>
                    <w:pStyle w:val="76"/>
                    <w:spacing w:line="240" w:lineRule="auto"/>
                    <w:ind w:firstLine="42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工完毕后及时绿化、恢复植被、覆盖良土、复垦，并做好临时用地区绿化、恢复植被或覆盖良土复垦的监督和监管工作，确保临时用地的正常有序恢复</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采取围堰施工措施，禁止向河流直接排放施工废水，防止扰动水体；禁止施工期间的固体废弃物投入水中。</w:t>
                  </w:r>
                </w:p>
              </w:tc>
              <w:tc>
                <w:tcPr>
                  <w:tcW w:w="682" w:type="dxa"/>
                  <w:tcBorders>
                    <w:tl2br w:val="nil"/>
                    <w:tr2bl w:val="nil"/>
                  </w:tcBorders>
                  <w:noWrap w:val="0"/>
                  <w:vAlign w:val="center"/>
                </w:tcPr>
                <w:p w14:paraId="042C2581">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05162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noWrap w:val="0"/>
                  <w:vAlign w:val="center"/>
                </w:tcPr>
                <w:p w14:paraId="6EA6EB42">
                  <w:pPr>
                    <w:pStyle w:val="76"/>
                    <w:spacing w:line="240" w:lineRule="auto"/>
                    <w:rPr>
                      <w:rFonts w:hint="default" w:ascii="Times New Roman" w:hAnsi="Times New Roman" w:eastAsia="宋体" w:cs="Times New Roman"/>
                      <w:color w:val="auto"/>
                      <w:lang w:val="en-US" w:eastAsia="zh-CN"/>
                    </w:rPr>
                  </w:pPr>
                </w:p>
              </w:tc>
              <w:tc>
                <w:tcPr>
                  <w:tcW w:w="1007" w:type="dxa"/>
                  <w:gridSpan w:val="2"/>
                  <w:tcBorders>
                    <w:tl2br w:val="nil"/>
                    <w:tr2bl w:val="nil"/>
                  </w:tcBorders>
                  <w:noWrap w:val="0"/>
                  <w:vAlign w:val="center"/>
                </w:tcPr>
                <w:p w14:paraId="30565F1E">
                  <w:pPr>
                    <w:pStyle w:val="35"/>
                    <w:keepNext/>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lang w:val="en-US" w:eastAsia="zh-CN"/>
                    </w:rPr>
                  </w:pPr>
                  <w:r>
                    <w:rPr>
                      <w:rFonts w:hint="eastAsia"/>
                      <w:color w:val="auto"/>
                      <w:lang w:eastAsia="zh-CN"/>
                    </w:rPr>
                    <w:t>运营期</w:t>
                  </w:r>
                </w:p>
              </w:tc>
              <w:tc>
                <w:tcPr>
                  <w:tcW w:w="5732" w:type="dxa"/>
                  <w:gridSpan w:val="5"/>
                  <w:tcBorders>
                    <w:tl2br w:val="nil"/>
                    <w:tr2bl w:val="nil"/>
                  </w:tcBorders>
                  <w:noWrap w:val="0"/>
                  <w:vAlign w:val="center"/>
                </w:tcPr>
                <w:p w14:paraId="5F0AB136">
                  <w:pPr>
                    <w:pStyle w:val="35"/>
                    <w:keepNext/>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lang w:val="en-US" w:eastAsia="zh-CN"/>
                    </w:rPr>
                  </w:pPr>
                  <w:r>
                    <w:rPr>
                      <w:rFonts w:hint="eastAsia"/>
                      <w:color w:val="auto"/>
                      <w:lang w:eastAsia="zh-CN"/>
                    </w:rPr>
                    <w:t>本工程施工完成后，运营期不产生污染物，不需做运营期环境管理保护设计。</w:t>
                  </w:r>
                </w:p>
              </w:tc>
              <w:tc>
                <w:tcPr>
                  <w:tcW w:w="682" w:type="dxa"/>
                  <w:tcBorders>
                    <w:tl2br w:val="nil"/>
                    <w:tr2bl w:val="nil"/>
                  </w:tcBorders>
                  <w:noWrap w:val="0"/>
                  <w:vAlign w:val="center"/>
                </w:tcPr>
                <w:p w14:paraId="49ED5862">
                  <w:pPr>
                    <w:pStyle w:val="76"/>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bl>
          <w:p w14:paraId="60482E57">
            <w:pPr>
              <w:pStyle w:val="37"/>
              <w:numPr>
                <w:ilvl w:val="0"/>
                <w:numId w:val="0"/>
              </w:numPr>
              <w:bidi w:val="0"/>
              <w:ind w:left="0" w:leftChars="0" w:right="0" w:rightChars="0" w:firstLine="482" w:firstLineChars="200"/>
              <w:rPr>
                <w:rFonts w:hint="eastAsia" w:eastAsia="宋体"/>
                <w:b/>
                <w:bCs/>
                <w:color w:val="auto"/>
                <w:lang w:eastAsia="zh-CN"/>
              </w:rPr>
            </w:pPr>
            <w:r>
              <w:rPr>
                <w:rFonts w:hint="eastAsia" w:cs="Times New Roman"/>
                <w:b/>
                <w:bCs/>
                <w:color w:val="auto"/>
                <w:kern w:val="0"/>
                <w:sz w:val="24"/>
                <w:szCs w:val="24"/>
                <w:lang w:val="en-US" w:eastAsia="zh-CN" w:bidi="ar-SA"/>
              </w:rPr>
              <w:t>9</w:t>
            </w:r>
            <w:r>
              <w:rPr>
                <w:rFonts w:hint="eastAsia" w:ascii="Times New Roman" w:hAnsi="Times New Roman" w:eastAsia="宋体" w:cs="Times New Roman"/>
                <w:b/>
                <w:bCs/>
                <w:color w:val="auto"/>
                <w:kern w:val="0"/>
                <w:sz w:val="24"/>
                <w:szCs w:val="24"/>
                <w:lang w:val="en-US" w:eastAsia="zh-CN" w:bidi="ar-SA"/>
              </w:rPr>
              <w:t>、</w:t>
            </w:r>
            <w:r>
              <w:rPr>
                <w:rFonts w:hint="eastAsia"/>
                <w:b/>
                <w:bCs/>
                <w:color w:val="auto"/>
                <w:lang w:eastAsia="zh-CN"/>
              </w:rPr>
              <w:t>护岸工程</w:t>
            </w:r>
          </w:p>
          <w:p w14:paraId="6B39EFC5">
            <w:pPr>
              <w:keepNext w:val="0"/>
              <w:keepLines w:val="0"/>
              <w:widowControl/>
              <w:suppressLineNumbers w:val="0"/>
              <w:jc w:val="left"/>
            </w:pPr>
            <w:r>
              <w:rPr>
                <w:rFonts w:hint="default" w:ascii="Times New Roman" w:hAnsi="Times New Roman" w:eastAsia="宋体" w:cs="Times New Roman"/>
                <w:spacing w:val="-1"/>
                <w:sz w:val="24"/>
                <w:szCs w:val="24"/>
                <w:lang w:val="en-US" w:eastAsia="zh-CN"/>
              </w:rPr>
              <w:t>本工程段为新建钢筋石笼护岸方案，现状河道天然岸坎高程为设计护岸顶部高程采用钢筋石笼挡墙进行防护，钢筋石笼共设置2层。上层钢筋石笼顶宽1.0m，迎水面与背水面坡比为1</w:t>
            </w:r>
            <w:r>
              <w:rPr>
                <w:rFonts w:hint="eastAsia" w:ascii="Times New Roman" w:hAnsi="Times New Roman" w:cs="Times New Roman"/>
                <w:spacing w:val="-1"/>
                <w:sz w:val="24"/>
                <w:szCs w:val="24"/>
                <w:lang w:val="en-US" w:eastAsia="zh-CN"/>
              </w:rPr>
              <w:t>：</w:t>
            </w:r>
            <w:r>
              <w:rPr>
                <w:rFonts w:hint="default" w:ascii="Times New Roman" w:hAnsi="Times New Roman" w:eastAsia="宋体" w:cs="Times New Roman"/>
                <w:spacing w:val="-1"/>
                <w:sz w:val="24"/>
                <w:szCs w:val="24"/>
                <w:lang w:val="en-US" w:eastAsia="zh-CN"/>
              </w:rPr>
              <w:t>0.2。下层为基础层，矩形断面，深入河床以下1.2m，与上层居中对齐，错台宽0.2m，钢筋石笼纵向10m设置一道结构缝，钢筋石笼后采用开挖料回填。</w:t>
            </w:r>
            <w:r>
              <w:rPr>
                <w:rFonts w:hint="eastAsia" w:ascii="宋体" w:hAnsi="宋体" w:eastAsia="宋体" w:cs="宋体"/>
                <w:color w:val="000000" w:themeColor="text1"/>
                <w:kern w:val="0"/>
                <w:sz w:val="24"/>
                <w:szCs w:val="24"/>
                <w:lang w:val="en-US" w:eastAsia="zh-CN" w:bidi="ar"/>
                <w14:textFill>
                  <w14:solidFill>
                    <w14:schemeClr w14:val="tx1"/>
                  </w14:solidFill>
                </w14:textFill>
              </w:rPr>
              <w:t>钢筋石笼护岸采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Φ6@200×200 </w:t>
            </w:r>
            <w:r>
              <w:rPr>
                <w:rFonts w:hint="eastAsia" w:ascii="宋体" w:hAnsi="宋体" w:eastAsia="宋体" w:cs="宋体"/>
                <w:color w:val="000000" w:themeColor="text1"/>
                <w:kern w:val="0"/>
                <w:sz w:val="24"/>
                <w:szCs w:val="24"/>
                <w:lang w:val="en-US" w:eastAsia="zh-CN" w:bidi="ar"/>
                <w14:textFill>
                  <w14:solidFill>
                    <w14:schemeClr w14:val="tx1"/>
                  </w14:solidFill>
                </w14:textFill>
              </w:rPr>
              <w:t>钢筋双向铰结，上部梯形与下部矩形采用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Φ6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钢筋每间隔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0.5m </w:t>
            </w:r>
            <w:r>
              <w:rPr>
                <w:rFonts w:hint="eastAsia" w:ascii="宋体" w:hAnsi="宋体" w:eastAsia="宋体" w:cs="宋体"/>
                <w:color w:val="000000" w:themeColor="text1"/>
                <w:kern w:val="0"/>
                <w:sz w:val="24"/>
                <w:szCs w:val="24"/>
                <w:lang w:val="en-US" w:eastAsia="zh-CN" w:bidi="ar"/>
                <w14:textFill>
                  <w14:solidFill>
                    <w14:schemeClr w14:val="tx1"/>
                  </w14:solidFill>
                </w14:textFill>
              </w:rPr>
              <w:t>绑扎成一整体。</w:t>
            </w:r>
          </w:p>
          <w:p w14:paraId="36E08FDB">
            <w:pPr>
              <w:pStyle w:val="37"/>
              <w:keepNext w:val="0"/>
              <w:keepLines w:val="0"/>
              <w:pageBreakBefore w:val="0"/>
              <w:widowControl w:val="0"/>
              <w:kinsoku/>
              <w:wordWrap/>
              <w:overflowPunct/>
              <w:topLinePunct w:val="0"/>
              <w:autoSpaceDE/>
              <w:autoSpaceDN/>
              <w:bidi w:val="0"/>
              <w:snapToGrid/>
              <w:spacing w:line="360" w:lineRule="auto"/>
              <w:ind w:left="0" w:leftChars="0" w:right="0" w:firstLine="0" w:firstLineChars="0"/>
              <w:jc w:val="both"/>
              <w:rPr>
                <w:rFonts w:hint="default" w:ascii="Times New Roman" w:hAnsi="Times New Roman" w:eastAsia="宋体" w:cs="Times New Roman"/>
                <w:spacing w:val="-1"/>
                <w:sz w:val="24"/>
                <w:szCs w:val="24"/>
                <w:lang w:eastAsia="zh-CN"/>
              </w:rPr>
            </w:pPr>
            <w:r>
              <w:drawing>
                <wp:inline distT="0" distB="0" distL="114300" distR="114300">
                  <wp:extent cx="4897755" cy="2109470"/>
                  <wp:effectExtent l="0" t="0" r="171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97755" cy="2109470"/>
                          </a:xfrm>
                          <a:prstGeom prst="rect">
                            <a:avLst/>
                          </a:prstGeom>
                          <a:noFill/>
                          <a:ln>
                            <a:noFill/>
                          </a:ln>
                        </pic:spPr>
                      </pic:pic>
                    </a:graphicData>
                  </a:graphic>
                </wp:inline>
              </w:drawing>
            </w:r>
          </w:p>
          <w:p w14:paraId="70FFD4D6">
            <w:pPr>
              <w:pStyle w:val="37"/>
              <w:bidi w:val="0"/>
              <w:ind w:left="0" w:leftChars="0" w:firstLine="0" w:firstLineChars="0"/>
              <w:jc w:val="cente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2-1 钢筋石笼护岸横断面图</w:t>
            </w:r>
          </w:p>
          <w:p w14:paraId="5A82DE7D">
            <w:pPr>
              <w:pStyle w:val="37"/>
              <w:keepNext w:val="0"/>
              <w:keepLines w:val="0"/>
              <w:pageBreakBefore w:val="0"/>
              <w:widowControl w:val="0"/>
              <w:kinsoku/>
              <w:wordWrap/>
              <w:overflowPunct/>
              <w:topLinePunct w:val="0"/>
              <w:autoSpaceDE/>
              <w:autoSpaceDN/>
              <w:bidi w:val="0"/>
              <w:snapToGrid/>
              <w:spacing w:line="360" w:lineRule="auto"/>
              <w:ind w:left="0" w:right="0"/>
              <w:jc w:val="both"/>
              <w:rPr>
                <w:rFonts w:hint="default" w:ascii="Times New Roman" w:hAnsi="Times New Roman" w:cs="Times New Roman"/>
                <w:b/>
                <w:bCs/>
                <w:spacing w:val="-1"/>
                <w:sz w:val="24"/>
                <w:szCs w:val="24"/>
                <w:lang w:eastAsia="zh-CN"/>
              </w:rPr>
            </w:pPr>
            <w:r>
              <w:rPr>
                <w:rFonts w:hint="default" w:ascii="Times New Roman" w:hAnsi="Times New Roman" w:cs="Times New Roman"/>
                <w:b/>
                <w:bCs/>
                <w:spacing w:val="-1"/>
                <w:sz w:val="24"/>
                <w:szCs w:val="24"/>
                <w:lang w:val="en-US" w:eastAsia="zh-CN"/>
              </w:rPr>
              <w:t>10</w:t>
            </w:r>
            <w:r>
              <w:rPr>
                <w:rFonts w:hint="default" w:ascii="Times New Roman" w:hAnsi="Times New Roman" w:cs="Times New Roman"/>
                <w:b/>
                <w:bCs/>
                <w:spacing w:val="-1"/>
                <w:sz w:val="24"/>
                <w:szCs w:val="24"/>
                <w:lang w:eastAsia="zh-CN"/>
              </w:rPr>
              <w:t>、</w:t>
            </w:r>
            <w:r>
              <w:rPr>
                <w:rFonts w:hint="default" w:ascii="Times New Roman" w:hAnsi="Times New Roman" w:cs="Times New Roman"/>
                <w:b/>
                <w:bCs/>
                <w:spacing w:val="-1"/>
                <w:sz w:val="24"/>
                <w:szCs w:val="24"/>
                <w:lang w:val="en-US" w:eastAsia="zh-CN"/>
              </w:rPr>
              <w:t>亲水踏步</w:t>
            </w:r>
          </w:p>
          <w:p w14:paraId="61F84A5E">
            <w:pPr>
              <w:pStyle w:val="37"/>
              <w:keepNext w:val="0"/>
              <w:keepLines w:val="0"/>
              <w:pageBreakBefore w:val="0"/>
              <w:widowControl w:val="0"/>
              <w:kinsoku/>
              <w:wordWrap/>
              <w:overflowPunct/>
              <w:topLinePunct w:val="0"/>
              <w:autoSpaceDE/>
              <w:autoSpaceDN/>
              <w:bidi w:val="0"/>
              <w:snapToGrid/>
              <w:spacing w:line="360" w:lineRule="auto"/>
              <w:ind w:left="0" w:leftChars="0" w:right="0" w:firstLine="476" w:firstLineChars="200"/>
              <w:jc w:val="both"/>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为体现生态河道治理思路，充分体现人水和谐，在河道岸坡每隔400m 左右设置一道人行亲水踏步，共设置踏步10座。踏步阶梯宽度为1.0m， 基础采用浆砌石结构，护面采用C20混凝土，台阶断面尺寸为25cm×20cm， 级数视实际堤防高度确定，台阶从堤顶向下布置到河底，天面应设置防滑槽</w:t>
            </w:r>
            <w:r>
              <w:rPr>
                <w:rFonts w:hint="default" w:ascii="Times New Roman" w:hAnsi="Times New Roman" w:cs="Times New Roman"/>
                <w:spacing w:val="-1"/>
                <w:sz w:val="24"/>
                <w:szCs w:val="24"/>
                <w:lang w:val="en-US" w:eastAsia="zh-CN"/>
              </w:rPr>
              <w:t>。</w:t>
            </w:r>
          </w:p>
          <w:p w14:paraId="410D2D01">
            <w:pPr>
              <w:pStyle w:val="37"/>
              <w:keepNext w:val="0"/>
              <w:keepLines w:val="0"/>
              <w:pageBreakBefore w:val="0"/>
              <w:widowControl w:val="0"/>
              <w:kinsoku/>
              <w:wordWrap/>
              <w:overflowPunct/>
              <w:topLinePunct w:val="0"/>
              <w:autoSpaceDE/>
              <w:autoSpaceDN/>
              <w:bidi w:val="0"/>
              <w:snapToGrid/>
              <w:spacing w:line="360" w:lineRule="auto"/>
              <w:ind w:left="0" w:right="0"/>
              <w:jc w:val="both"/>
              <w:rPr>
                <w:rFonts w:hint="default" w:ascii="Times New Roman" w:hAnsi="Times New Roman" w:eastAsia="宋体" w:cs="Times New Roman"/>
                <w:b/>
                <w:bCs/>
                <w:spacing w:val="-1"/>
                <w:sz w:val="24"/>
                <w:szCs w:val="24"/>
                <w:lang w:val="en-US" w:eastAsia="zh-CN"/>
              </w:rPr>
            </w:pPr>
            <w:r>
              <w:rPr>
                <w:rFonts w:hint="default" w:ascii="Times New Roman" w:hAnsi="Times New Roman" w:eastAsia="宋体" w:cs="Times New Roman"/>
                <w:b/>
                <w:bCs/>
                <w:spacing w:val="-1"/>
                <w:sz w:val="24"/>
                <w:szCs w:val="24"/>
                <w:lang w:val="en-US" w:eastAsia="zh-CN"/>
              </w:rPr>
              <w:t xml:space="preserve">11、排涝设施 </w:t>
            </w:r>
          </w:p>
          <w:p w14:paraId="4EED3656">
            <w:pPr>
              <w:pStyle w:val="37"/>
              <w:keepNext w:val="0"/>
              <w:keepLines w:val="0"/>
              <w:pageBreakBefore w:val="0"/>
              <w:widowControl w:val="0"/>
              <w:kinsoku/>
              <w:wordWrap/>
              <w:overflowPunct/>
              <w:topLinePunct w:val="0"/>
              <w:autoSpaceDE/>
              <w:autoSpaceDN/>
              <w:bidi w:val="0"/>
              <w:snapToGrid/>
              <w:spacing w:line="360" w:lineRule="auto"/>
              <w:ind w:left="0" w:leftChars="0" w:right="0" w:firstLine="476" w:firstLineChars="200"/>
              <w:jc w:val="both"/>
              <w:rPr>
                <w:rFonts w:hint="default" w:ascii="Times New Roman" w:hAnsi="Times New Roman" w:eastAsia="宋体" w:cs="Times New Roman"/>
                <w:spacing w:val="-1"/>
                <w:sz w:val="24"/>
                <w:szCs w:val="24"/>
                <w:lang w:eastAsia="zh-CN"/>
              </w:rPr>
            </w:pPr>
            <w:r>
              <w:rPr>
                <w:rFonts w:hint="default" w:ascii="Times New Roman" w:hAnsi="Times New Roman" w:eastAsia="宋体" w:cs="Times New Roman"/>
                <w:spacing w:val="-1"/>
                <w:sz w:val="24"/>
                <w:szCs w:val="24"/>
                <w:lang w:val="en-US" w:eastAsia="zh-CN"/>
              </w:rPr>
              <w:t>本次治理河道长3.83km自北向南流，经调查本段河道两岸整治段现状无排涝口，故本次</w:t>
            </w:r>
            <w:r>
              <w:rPr>
                <w:rFonts w:hint="default" w:ascii="Times New Roman" w:hAnsi="Times New Roman" w:cs="Times New Roman"/>
                <w:spacing w:val="-1"/>
                <w:sz w:val="24"/>
                <w:szCs w:val="24"/>
                <w:lang w:val="en-US" w:eastAsia="zh-CN"/>
              </w:rPr>
              <w:t>项目不涉及排涝工程</w:t>
            </w:r>
            <w:r>
              <w:rPr>
                <w:rFonts w:hint="default" w:ascii="Times New Roman" w:hAnsi="Times New Roman" w:eastAsia="宋体" w:cs="Times New Roman"/>
                <w:spacing w:val="-1"/>
                <w:sz w:val="24"/>
                <w:szCs w:val="24"/>
                <w:lang w:val="en-US" w:eastAsia="zh-CN"/>
              </w:rPr>
              <w:t xml:space="preserve">。 </w:t>
            </w:r>
          </w:p>
          <w:p w14:paraId="0BF80989">
            <w:pPr>
              <w:pStyle w:val="37"/>
              <w:keepNext w:val="0"/>
              <w:keepLines w:val="0"/>
              <w:pageBreakBefore w:val="0"/>
              <w:widowControl w:val="0"/>
              <w:kinsoku/>
              <w:wordWrap/>
              <w:overflowPunct/>
              <w:topLinePunct w:val="0"/>
              <w:autoSpaceDE/>
              <w:autoSpaceDN/>
              <w:bidi w:val="0"/>
              <w:snapToGrid/>
              <w:spacing w:line="360" w:lineRule="auto"/>
              <w:ind w:left="0" w:leftChars="0" w:right="0" w:firstLine="478" w:firstLineChars="200"/>
              <w:jc w:val="both"/>
              <w:rPr>
                <w:rFonts w:hint="default" w:ascii="Times New Roman" w:hAnsi="Times New Roman" w:eastAsia="宋体" w:cs="Times New Roman"/>
                <w:b/>
                <w:bCs/>
                <w:spacing w:val="-1"/>
                <w:sz w:val="24"/>
                <w:szCs w:val="24"/>
                <w:lang w:eastAsia="zh-CN"/>
              </w:rPr>
            </w:pPr>
            <w:r>
              <w:rPr>
                <w:rFonts w:hint="default" w:ascii="Times New Roman" w:hAnsi="Times New Roman" w:cs="Times New Roman"/>
                <w:b/>
                <w:bCs/>
                <w:spacing w:val="-1"/>
                <w:sz w:val="24"/>
                <w:szCs w:val="24"/>
                <w:lang w:val="en-US" w:eastAsia="zh-CN"/>
              </w:rPr>
              <w:t>12</w:t>
            </w:r>
            <w:r>
              <w:rPr>
                <w:rFonts w:hint="default" w:ascii="Times New Roman" w:hAnsi="Times New Roman" w:eastAsia="宋体" w:cs="Times New Roman"/>
                <w:b/>
                <w:bCs/>
                <w:spacing w:val="-1"/>
                <w:sz w:val="24"/>
                <w:szCs w:val="24"/>
                <w:lang w:val="en-US" w:eastAsia="zh-CN"/>
              </w:rPr>
              <w:t xml:space="preserve">、其他工程 </w:t>
            </w:r>
          </w:p>
          <w:p w14:paraId="7FF6537C">
            <w:pPr>
              <w:pStyle w:val="37"/>
              <w:keepNext w:val="0"/>
              <w:keepLines w:val="0"/>
              <w:pageBreakBefore w:val="0"/>
              <w:widowControl w:val="0"/>
              <w:kinsoku/>
              <w:wordWrap/>
              <w:overflowPunct/>
              <w:topLinePunct w:val="0"/>
              <w:autoSpaceDE/>
              <w:autoSpaceDN/>
              <w:bidi w:val="0"/>
              <w:snapToGrid/>
              <w:spacing w:line="360" w:lineRule="auto"/>
              <w:ind w:left="0" w:leftChars="0" w:right="0" w:firstLine="476" w:firstLineChars="200"/>
              <w:jc w:val="both"/>
              <w:rPr>
                <w:rFonts w:hint="eastAsia" w:ascii="宋体" w:hAnsi="宋体" w:eastAsia="宋体" w:cs="宋体"/>
                <w:spacing w:val="-1"/>
                <w:sz w:val="24"/>
                <w:szCs w:val="24"/>
                <w:lang w:eastAsia="zh-CN"/>
              </w:rPr>
            </w:pPr>
            <w:r>
              <w:rPr>
                <w:rFonts w:hint="default" w:ascii="Times New Roman" w:hAnsi="Times New Roman" w:eastAsia="宋体" w:cs="Times New Roman"/>
                <w:spacing w:val="-1"/>
                <w:sz w:val="24"/>
                <w:szCs w:val="24"/>
                <w:lang w:val="en-US" w:eastAsia="zh-CN"/>
              </w:rPr>
              <w:t>本工程为河道工程，沿河存在落水风险，本次设计在亲水踏步、跨河桥梁、上堤路口、排涝口等存在落水风险的涉水位置处安装安全警示标牌，提醒沿岸居民、学生或路人注意安全，并告知本段河道、堤防的相关管理规定，严禁破坏堤防设施。为便于河道运行管理，本次在团结大沟取水坝、洞坎大桥、德宏师专东大门跨河大桥、治理终点处各安装1套不锈钢水位尺，水位尺可视刻度5.0m</w:t>
            </w:r>
            <w:r>
              <w:rPr>
                <w:rFonts w:hint="eastAsia" w:ascii="Times New Roman" w:hAnsi="Times New Roman" w:cs="Times New Roman"/>
                <w:spacing w:val="-1"/>
                <w:sz w:val="24"/>
                <w:szCs w:val="24"/>
                <w:lang w:val="en-US" w:eastAsia="zh-CN"/>
              </w:rPr>
              <w:t>。</w:t>
            </w:r>
          </w:p>
          <w:p w14:paraId="61E0E40D">
            <w:pPr>
              <w:pStyle w:val="37"/>
              <w:numPr>
                <w:ilvl w:val="0"/>
                <w:numId w:val="0"/>
              </w:numPr>
              <w:bidi w:val="0"/>
              <w:ind w:left="0" w:leftChars="0" w:right="0" w:rightChars="0" w:firstLine="482" w:firstLineChars="200"/>
              <w:rPr>
                <w:b/>
                <w:bCs/>
                <w:color w:val="auto"/>
              </w:rPr>
            </w:pPr>
            <w:r>
              <w:rPr>
                <w:rFonts w:hint="eastAsia" w:cs="Times New Roman"/>
                <w:b/>
                <w:bCs/>
                <w:color w:val="auto"/>
                <w:kern w:val="0"/>
                <w:sz w:val="24"/>
                <w:szCs w:val="24"/>
                <w:lang w:val="en-US" w:eastAsia="zh-CN" w:bidi="ar-SA"/>
              </w:rPr>
              <w:t>三</w:t>
            </w:r>
            <w:r>
              <w:rPr>
                <w:rFonts w:hint="eastAsia" w:ascii="Times New Roman" w:hAnsi="Times New Roman" w:eastAsia="宋体" w:cs="Times New Roman"/>
                <w:b/>
                <w:bCs/>
                <w:color w:val="auto"/>
                <w:kern w:val="0"/>
                <w:sz w:val="24"/>
                <w:szCs w:val="24"/>
                <w:lang w:val="en-US" w:eastAsia="zh-CN" w:bidi="ar-SA"/>
              </w:rPr>
              <w:t>、</w:t>
            </w:r>
            <w:r>
              <w:rPr>
                <w:b/>
                <w:bCs/>
                <w:color w:val="auto"/>
              </w:rPr>
              <w:t>主要施工设备</w:t>
            </w:r>
          </w:p>
          <w:p w14:paraId="252948AB">
            <w:pPr>
              <w:pStyle w:val="32"/>
              <w:bidi w:val="0"/>
              <w:spacing w:line="240" w:lineRule="auto"/>
              <w:rPr>
                <w:rFonts w:hint="default" w:eastAsia="宋体"/>
                <w:color w:val="auto"/>
                <w:lang w:val="en-US" w:eastAsia="zh-CN"/>
              </w:rPr>
            </w:pPr>
            <w:r>
              <w:rPr>
                <w:rFonts w:hint="eastAsia"/>
                <w:color w:val="auto"/>
                <w:lang w:val="en-US" w:eastAsia="zh-CN"/>
              </w:rPr>
              <w:t>表2-3 主要施工设备一览表</w:t>
            </w:r>
          </w:p>
          <w:tbl>
            <w:tblPr>
              <w:tblStyle w:val="23"/>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1"/>
              <w:gridCol w:w="6025"/>
            </w:tblGrid>
            <w:tr w14:paraId="3D12E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blHeader/>
              </w:trPr>
              <w:tc>
                <w:tcPr>
                  <w:tcW w:w="1175" w:type="pct"/>
                  <w:shd w:val="clear" w:color="auto" w:fill="auto"/>
                  <w:vAlign w:val="center"/>
                </w:tcPr>
                <w:p w14:paraId="11A8BD33">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序号</w:t>
                  </w:r>
                </w:p>
              </w:tc>
              <w:tc>
                <w:tcPr>
                  <w:tcW w:w="3824" w:type="pct"/>
                  <w:shd w:val="clear" w:color="auto" w:fill="auto"/>
                  <w:vAlign w:val="center"/>
                </w:tcPr>
                <w:p w14:paraId="0393C99B">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设备名称</w:t>
                  </w:r>
                </w:p>
              </w:tc>
            </w:tr>
            <w:tr w14:paraId="1EAA5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175" w:type="pct"/>
                  <w:shd w:val="clear" w:color="auto" w:fill="auto"/>
                  <w:vAlign w:val="center"/>
                </w:tcPr>
                <w:p w14:paraId="0865D54B">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1</w:t>
                  </w:r>
                </w:p>
              </w:tc>
              <w:tc>
                <w:tcPr>
                  <w:tcW w:w="3824" w:type="pct"/>
                  <w:shd w:val="clear" w:color="auto" w:fill="auto"/>
                  <w:vAlign w:val="center"/>
                </w:tcPr>
                <w:p w14:paraId="43AD4BB6">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挖掘机</w:t>
                  </w:r>
                </w:p>
              </w:tc>
            </w:tr>
            <w:tr w14:paraId="45A70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75" w:type="pct"/>
                  <w:shd w:val="clear" w:color="auto" w:fill="auto"/>
                  <w:vAlign w:val="center"/>
                </w:tcPr>
                <w:p w14:paraId="1290BC2B">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2</w:t>
                  </w:r>
                </w:p>
              </w:tc>
              <w:tc>
                <w:tcPr>
                  <w:tcW w:w="3824" w:type="pct"/>
                  <w:shd w:val="clear" w:color="auto" w:fill="auto"/>
                  <w:vAlign w:val="center"/>
                </w:tcPr>
                <w:p w14:paraId="76985BD3">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装载机</w:t>
                  </w:r>
                </w:p>
              </w:tc>
            </w:tr>
            <w:tr w14:paraId="128D4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1175" w:type="pct"/>
                  <w:shd w:val="clear" w:color="auto" w:fill="auto"/>
                  <w:vAlign w:val="center"/>
                </w:tcPr>
                <w:p w14:paraId="4963C8BD">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3</w:t>
                  </w:r>
                </w:p>
              </w:tc>
              <w:tc>
                <w:tcPr>
                  <w:tcW w:w="3824" w:type="pct"/>
                  <w:shd w:val="clear" w:color="auto" w:fill="auto"/>
                  <w:vAlign w:val="center"/>
                </w:tcPr>
                <w:p w14:paraId="5EF32834">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大型载重车</w:t>
                  </w:r>
                </w:p>
              </w:tc>
            </w:tr>
            <w:tr w14:paraId="4BC51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1175" w:type="pct"/>
                  <w:shd w:val="clear" w:color="auto" w:fill="auto"/>
                  <w:vAlign w:val="center"/>
                </w:tcPr>
                <w:p w14:paraId="1B333D36">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4</w:t>
                  </w:r>
                </w:p>
              </w:tc>
              <w:tc>
                <w:tcPr>
                  <w:tcW w:w="3824" w:type="pct"/>
                  <w:shd w:val="clear" w:color="auto" w:fill="auto"/>
                  <w:vAlign w:val="center"/>
                </w:tcPr>
                <w:p w14:paraId="34DC553C">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振捣器</w:t>
                  </w:r>
                </w:p>
              </w:tc>
            </w:tr>
            <w:tr w14:paraId="3B87B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1175" w:type="pct"/>
                  <w:shd w:val="clear" w:color="auto" w:fill="auto"/>
                  <w:vAlign w:val="center"/>
                </w:tcPr>
                <w:p w14:paraId="2A43D889">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5</w:t>
                  </w:r>
                </w:p>
              </w:tc>
              <w:tc>
                <w:tcPr>
                  <w:tcW w:w="3824" w:type="pct"/>
                  <w:shd w:val="clear" w:color="auto" w:fill="auto"/>
                  <w:vAlign w:val="center"/>
                </w:tcPr>
                <w:p w14:paraId="1606ED1F">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空压机</w:t>
                  </w:r>
                </w:p>
              </w:tc>
            </w:tr>
            <w:tr w14:paraId="56E20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175" w:type="pct"/>
                  <w:shd w:val="clear" w:color="auto" w:fill="auto"/>
                  <w:vAlign w:val="center"/>
                </w:tcPr>
                <w:p w14:paraId="00F6D785">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6</w:t>
                  </w:r>
                </w:p>
              </w:tc>
              <w:tc>
                <w:tcPr>
                  <w:tcW w:w="3824" w:type="pct"/>
                  <w:shd w:val="clear" w:color="auto" w:fill="auto"/>
                  <w:vAlign w:val="center"/>
                </w:tcPr>
                <w:p w14:paraId="732EAEFC">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rFonts w:hint="eastAsia"/>
                      <w:color w:val="auto"/>
                      <w:sz w:val="21"/>
                      <w:szCs w:val="21"/>
                    </w:rPr>
                    <w:t>0.4m</w:t>
                  </w:r>
                  <w:r>
                    <w:rPr>
                      <w:rFonts w:hint="eastAsia"/>
                      <w:color w:val="auto"/>
                      <w:sz w:val="21"/>
                      <w:szCs w:val="21"/>
                      <w:vertAlign w:val="superscript"/>
                    </w:rPr>
                    <w:t>3</w:t>
                  </w:r>
                  <w:r>
                    <w:rPr>
                      <w:rFonts w:hint="eastAsia"/>
                      <w:color w:val="auto"/>
                      <w:sz w:val="21"/>
                      <w:szCs w:val="21"/>
                    </w:rPr>
                    <w:t>混凝土搅拌机</w:t>
                  </w:r>
                </w:p>
              </w:tc>
            </w:tr>
            <w:tr w14:paraId="78FD8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1175" w:type="pct"/>
                  <w:shd w:val="clear" w:color="auto" w:fill="auto"/>
                  <w:vAlign w:val="center"/>
                </w:tcPr>
                <w:p w14:paraId="3231ABB6">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7</w:t>
                  </w:r>
                </w:p>
              </w:tc>
              <w:tc>
                <w:tcPr>
                  <w:tcW w:w="3824" w:type="pct"/>
                  <w:shd w:val="clear" w:color="auto" w:fill="auto"/>
                  <w:vAlign w:val="center"/>
                </w:tcPr>
                <w:p w14:paraId="179DA8C5">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电焊机</w:t>
                  </w:r>
                </w:p>
              </w:tc>
            </w:tr>
            <w:tr w14:paraId="49AB0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175" w:type="pct"/>
                  <w:shd w:val="clear" w:color="auto" w:fill="auto"/>
                  <w:vAlign w:val="center"/>
                </w:tcPr>
                <w:p w14:paraId="5FF93761">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rFonts w:hint="eastAsia"/>
                      <w:color w:val="auto"/>
                      <w:sz w:val="21"/>
                      <w:szCs w:val="21"/>
                      <w:lang w:val="en-US" w:eastAsia="zh-CN"/>
                    </w:rPr>
                    <w:t>8</w:t>
                  </w:r>
                </w:p>
              </w:tc>
              <w:tc>
                <w:tcPr>
                  <w:tcW w:w="3824" w:type="pct"/>
                  <w:shd w:val="clear" w:color="auto" w:fill="auto"/>
                  <w:vAlign w:val="center"/>
                </w:tcPr>
                <w:p w14:paraId="3E4D75A2">
                  <w:pPr>
                    <w:pStyle w:val="76"/>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中型载重车</w:t>
                  </w:r>
                </w:p>
              </w:tc>
            </w:tr>
            <w:tr w14:paraId="000B7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1175" w:type="pct"/>
                  <w:shd w:val="clear" w:color="auto" w:fill="auto"/>
                  <w:vAlign w:val="center"/>
                </w:tcPr>
                <w:p w14:paraId="6CF90132">
                  <w:pPr>
                    <w:pStyle w:val="76"/>
                    <w:keepNext w:val="0"/>
                    <w:keepLines w:val="0"/>
                    <w:pageBreakBefore w:val="0"/>
                    <w:kinsoku/>
                    <w:wordWrap/>
                    <w:overflowPunct/>
                    <w:topLinePunct w:val="0"/>
                    <w:autoSpaceDE/>
                    <w:autoSpaceDN/>
                    <w:bidi w:val="0"/>
                    <w:adjustRightInd/>
                    <w:snapToGri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9</w:t>
                  </w:r>
                </w:p>
              </w:tc>
              <w:tc>
                <w:tcPr>
                  <w:tcW w:w="3824" w:type="pct"/>
                  <w:shd w:val="clear" w:color="auto" w:fill="auto"/>
                  <w:vAlign w:val="center"/>
                </w:tcPr>
                <w:p w14:paraId="6F00101B">
                  <w:pPr>
                    <w:pStyle w:val="76"/>
                    <w:keepNext w:val="0"/>
                    <w:keepLines w:val="0"/>
                    <w:pageBreakBefore w:val="0"/>
                    <w:kinsoku/>
                    <w:wordWrap/>
                    <w:overflowPunct/>
                    <w:topLinePunct w:val="0"/>
                    <w:autoSpaceDE/>
                    <w:autoSpaceDN/>
                    <w:bidi w:val="0"/>
                    <w:adjustRightInd/>
                    <w:snapToGrid/>
                    <w:spacing w:line="240" w:lineRule="auto"/>
                    <w:textAlignment w:val="auto"/>
                    <w:rPr>
                      <w:rFonts w:hint="eastAsia" w:eastAsia="宋体"/>
                      <w:color w:val="auto"/>
                      <w:sz w:val="21"/>
                      <w:szCs w:val="21"/>
                      <w:lang w:eastAsia="zh-CN"/>
                    </w:rPr>
                  </w:pPr>
                  <w:r>
                    <w:rPr>
                      <w:rFonts w:hint="eastAsia"/>
                      <w:color w:val="auto"/>
                      <w:sz w:val="21"/>
                      <w:szCs w:val="21"/>
                      <w:lang w:eastAsia="zh-CN"/>
                    </w:rPr>
                    <w:t>污水泵</w:t>
                  </w:r>
                </w:p>
              </w:tc>
            </w:tr>
            <w:tr w14:paraId="6E6A75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175" w:type="pct"/>
                  <w:shd w:val="clear" w:color="auto" w:fill="auto"/>
                  <w:vAlign w:val="center"/>
                </w:tcPr>
                <w:p w14:paraId="7DE6AC20">
                  <w:pPr>
                    <w:pStyle w:val="76"/>
                    <w:keepNext w:val="0"/>
                    <w:keepLines w:val="0"/>
                    <w:pageBreakBefore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10</w:t>
                  </w:r>
                </w:p>
              </w:tc>
              <w:tc>
                <w:tcPr>
                  <w:tcW w:w="3824" w:type="pct"/>
                  <w:shd w:val="clear" w:color="auto" w:fill="auto"/>
                  <w:vAlign w:val="center"/>
                </w:tcPr>
                <w:p w14:paraId="701AD69F">
                  <w:pPr>
                    <w:pStyle w:val="3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1"/>
                      <w:szCs w:val="21"/>
                      <w:lang w:eastAsia="zh-CN"/>
                    </w:rPr>
                  </w:pPr>
                  <w:r>
                    <w:rPr>
                      <w:color w:val="auto"/>
                      <w:sz w:val="21"/>
                      <w:szCs w:val="21"/>
                    </w:rPr>
                    <w:t>柴油发电机（移动式85kw）</w:t>
                  </w:r>
                </w:p>
              </w:tc>
            </w:tr>
            <w:tr w14:paraId="6E1FF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1175" w:type="pct"/>
                  <w:shd w:val="clear" w:color="auto" w:fill="auto"/>
                  <w:vAlign w:val="center"/>
                </w:tcPr>
                <w:p w14:paraId="2BF26C11">
                  <w:pPr>
                    <w:pStyle w:val="76"/>
                    <w:keepNext w:val="0"/>
                    <w:keepLines w:val="0"/>
                    <w:pageBreakBefore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11</w:t>
                  </w:r>
                </w:p>
              </w:tc>
              <w:tc>
                <w:tcPr>
                  <w:tcW w:w="3824" w:type="pct"/>
                  <w:shd w:val="clear" w:color="auto" w:fill="auto"/>
                  <w:vAlign w:val="center"/>
                </w:tcPr>
                <w:p w14:paraId="39643D68">
                  <w:pPr>
                    <w:pStyle w:val="35"/>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钢筋切断机</w:t>
                  </w:r>
                </w:p>
              </w:tc>
            </w:tr>
            <w:tr w14:paraId="3FA4A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1175" w:type="pct"/>
                  <w:shd w:val="clear" w:color="auto" w:fill="auto"/>
                  <w:vAlign w:val="center"/>
                </w:tcPr>
                <w:p w14:paraId="0053E2E6">
                  <w:pPr>
                    <w:pStyle w:val="76"/>
                    <w:keepNext w:val="0"/>
                    <w:keepLines w:val="0"/>
                    <w:pageBreakBefore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12</w:t>
                  </w:r>
                </w:p>
              </w:tc>
              <w:tc>
                <w:tcPr>
                  <w:tcW w:w="3824" w:type="pct"/>
                  <w:shd w:val="clear" w:color="auto" w:fill="auto"/>
                  <w:vAlign w:val="center"/>
                </w:tcPr>
                <w:p w14:paraId="4CC05314">
                  <w:pPr>
                    <w:pStyle w:val="35"/>
                    <w:keepNext w:val="0"/>
                    <w:keepLines w:val="0"/>
                    <w:pageBreakBefore w:val="0"/>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蛙式夯实机</w:t>
                  </w:r>
                </w:p>
              </w:tc>
            </w:tr>
          </w:tbl>
          <w:p w14:paraId="0D8DDE78">
            <w:pPr>
              <w:pStyle w:val="37"/>
              <w:bidi w:val="0"/>
              <w:ind w:left="0" w:leftChars="0" w:firstLine="482" w:firstLineChars="200"/>
              <w:rPr>
                <w:rFonts w:hint="eastAsia"/>
                <w:b/>
                <w:bCs/>
                <w:color w:val="auto"/>
                <w:lang w:eastAsia="zh-CN"/>
              </w:rPr>
            </w:pPr>
            <w:r>
              <w:rPr>
                <w:rFonts w:hint="eastAsia"/>
                <w:b/>
                <w:bCs/>
                <w:color w:val="auto"/>
                <w:lang w:eastAsia="zh-CN"/>
              </w:rPr>
              <w:t>四、工程占地</w:t>
            </w:r>
          </w:p>
          <w:p w14:paraId="40668CA3">
            <w:pPr>
              <w:pStyle w:val="37"/>
              <w:bidi w:val="0"/>
              <w:rPr>
                <w:rFonts w:hint="eastAsia"/>
                <w:color w:val="auto"/>
              </w:rPr>
            </w:pPr>
            <w:r>
              <w:rPr>
                <w:rFonts w:hint="eastAsia"/>
                <w:color w:val="auto"/>
                <w:lang w:val="en-US" w:eastAsia="zh-CN"/>
              </w:rPr>
              <w:t>经调查分析计算，本工程不涉及基本农田和生态红线，不涉及永久占地，不涉及移民搬迁、拆迁房屋，不涉及其他专业项目设施。临时占地主要是施工工程中临时占用的施工运输公路、施工临时生活生产区等，临时占地2.14hm</w:t>
            </w:r>
            <w:r>
              <w:rPr>
                <w:rFonts w:hint="eastAsia"/>
                <w:color w:val="auto"/>
                <w:vertAlign w:val="superscript"/>
                <w:lang w:val="en-US" w:eastAsia="zh-CN"/>
              </w:rPr>
              <w:t>2</w:t>
            </w:r>
            <w:r>
              <w:rPr>
                <w:rFonts w:hint="eastAsia"/>
                <w:color w:val="auto"/>
                <w:lang w:val="en-US" w:eastAsia="zh-CN"/>
              </w:rPr>
              <w:t>，即32.12亩（包括水田11.65亩，旱地14.17亩，园地6.30亩）</w:t>
            </w:r>
            <w:r>
              <w:rPr>
                <w:rFonts w:hint="eastAsia"/>
                <w:color w:val="auto"/>
              </w:rPr>
              <w:t>。工程征占地</w:t>
            </w:r>
            <w:r>
              <w:rPr>
                <w:rFonts w:hint="eastAsia"/>
                <w:color w:val="auto"/>
                <w:lang w:eastAsia="zh-CN"/>
              </w:rPr>
              <w:t>类型</w:t>
            </w:r>
            <w:r>
              <w:rPr>
                <w:rFonts w:hint="eastAsia"/>
                <w:color w:val="auto"/>
              </w:rPr>
              <w:t>表</w:t>
            </w:r>
            <w:r>
              <w:rPr>
                <w:rFonts w:hint="eastAsia"/>
                <w:color w:val="auto"/>
                <w:lang w:val="en-US" w:eastAsia="zh-CN"/>
              </w:rPr>
              <w:t>2-4</w:t>
            </w:r>
            <w:r>
              <w:rPr>
                <w:rFonts w:hint="eastAsia"/>
                <w:color w:val="auto"/>
              </w:rPr>
              <w:t>。</w:t>
            </w:r>
          </w:p>
          <w:p w14:paraId="2F072303">
            <w:pPr>
              <w:pStyle w:val="37"/>
              <w:bidi w:val="0"/>
              <w:spacing w:line="240" w:lineRule="auto"/>
              <w:ind w:left="0" w:leftChars="0" w:firstLine="0" w:firstLineChars="0"/>
              <w:jc w:val="center"/>
              <w:rPr>
                <w:rStyle w:val="69"/>
                <w:rFonts w:hint="eastAsia" w:eastAsia="宋体"/>
                <w:b/>
                <w:bCs/>
                <w:sz w:val="21"/>
                <w:szCs w:val="21"/>
                <w:lang w:val="en-US" w:eastAsia="zh-CN"/>
              </w:rPr>
            </w:pPr>
            <w:r>
              <w:rPr>
                <w:rFonts w:hint="eastAsia"/>
                <w:b/>
                <w:bCs/>
                <w:color w:val="auto"/>
                <w:sz w:val="21"/>
                <w:szCs w:val="21"/>
                <w:lang w:val="en-US" w:eastAsia="zh-CN"/>
              </w:rPr>
              <w:t xml:space="preserve">   </w:t>
            </w:r>
            <w:r>
              <w:rPr>
                <w:rFonts w:hint="eastAsia"/>
                <w:b/>
                <w:bCs/>
                <w:color w:val="auto"/>
                <w:sz w:val="21"/>
                <w:szCs w:val="21"/>
              </w:rPr>
              <w:t xml:space="preserve">表 </w:t>
            </w:r>
            <w:r>
              <w:rPr>
                <w:rFonts w:hint="eastAsia"/>
                <w:b/>
                <w:bCs/>
                <w:color w:val="auto"/>
                <w:sz w:val="21"/>
                <w:szCs w:val="21"/>
                <w:lang w:val="en-US" w:eastAsia="zh-CN"/>
              </w:rPr>
              <w:t>2-4</w:t>
            </w:r>
            <w:r>
              <w:rPr>
                <w:rFonts w:hint="eastAsia"/>
                <w:b/>
                <w:bCs/>
                <w:color w:val="auto"/>
                <w:sz w:val="21"/>
                <w:szCs w:val="21"/>
              </w:rPr>
              <w:t>工程占地</w:t>
            </w:r>
            <w:r>
              <w:rPr>
                <w:rFonts w:hint="eastAsia"/>
                <w:b/>
                <w:bCs/>
                <w:color w:val="auto"/>
                <w:sz w:val="21"/>
                <w:szCs w:val="21"/>
                <w:lang w:eastAsia="zh-CN"/>
              </w:rPr>
              <w:t>类型</w:t>
            </w:r>
            <w:r>
              <w:rPr>
                <w:rFonts w:hint="eastAsia"/>
                <w:b/>
                <w:bCs/>
                <w:color w:val="auto"/>
                <w:sz w:val="21"/>
                <w:szCs w:val="21"/>
              </w:rPr>
              <w:t>统计汇总表    单位：hm</w:t>
            </w:r>
            <w:r>
              <w:rPr>
                <w:rFonts w:hint="eastAsia"/>
                <w:b/>
                <w:bCs/>
                <w:color w:val="auto"/>
                <w:sz w:val="21"/>
                <w:szCs w:val="21"/>
                <w:vertAlign w:val="superscript"/>
              </w:rPr>
              <w:t>2</w:t>
            </w:r>
          </w:p>
          <w:tbl>
            <w:tblPr>
              <w:tblStyle w:val="47"/>
              <w:tblW w:w="4990" w:type="pct"/>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27"/>
              <w:gridCol w:w="2929"/>
              <w:gridCol w:w="959"/>
              <w:gridCol w:w="1005"/>
              <w:gridCol w:w="970"/>
              <w:gridCol w:w="1172"/>
            </w:tblGrid>
            <w:tr w14:paraId="1CF3A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26" w:type="pct"/>
                  <w:tcBorders>
                    <w:tl2br w:val="nil"/>
                    <w:tr2bl w:val="nil"/>
                  </w:tcBorders>
                  <w:vAlign w:val="center"/>
                </w:tcPr>
                <w:p w14:paraId="28D8A97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序号</w:t>
                  </w:r>
                </w:p>
              </w:tc>
              <w:tc>
                <w:tcPr>
                  <w:tcW w:w="1861" w:type="pct"/>
                  <w:tcBorders>
                    <w:tl2br w:val="nil"/>
                    <w:tr2bl w:val="nil"/>
                  </w:tcBorders>
                  <w:vAlign w:val="center"/>
                </w:tcPr>
                <w:p w14:paraId="11770BE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项目区</w:t>
                  </w:r>
                </w:p>
              </w:tc>
              <w:tc>
                <w:tcPr>
                  <w:tcW w:w="610" w:type="pct"/>
                  <w:tcBorders>
                    <w:tl2br w:val="nil"/>
                    <w:tr2bl w:val="nil"/>
                  </w:tcBorders>
                  <w:vAlign w:val="center"/>
                </w:tcPr>
                <w:p w14:paraId="488CDF1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水田</w:t>
                  </w:r>
                </w:p>
              </w:tc>
              <w:tc>
                <w:tcPr>
                  <w:tcW w:w="639" w:type="pct"/>
                  <w:tcBorders>
                    <w:tl2br w:val="nil"/>
                    <w:tr2bl w:val="nil"/>
                  </w:tcBorders>
                  <w:vAlign w:val="center"/>
                </w:tcPr>
                <w:p w14:paraId="2D3D3D2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旱地</w:t>
                  </w:r>
                </w:p>
              </w:tc>
              <w:tc>
                <w:tcPr>
                  <w:tcW w:w="617" w:type="pct"/>
                  <w:tcBorders>
                    <w:tl2br w:val="nil"/>
                    <w:tr2bl w:val="nil"/>
                  </w:tcBorders>
                  <w:vAlign w:val="center"/>
                </w:tcPr>
                <w:p w14:paraId="2761B27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4"/>
                      <w:sz w:val="21"/>
                      <w:szCs w:val="21"/>
                    </w:rPr>
                    <w:t>园地</w:t>
                  </w:r>
                </w:p>
              </w:tc>
              <w:tc>
                <w:tcPr>
                  <w:tcW w:w="745" w:type="pct"/>
                  <w:tcBorders>
                    <w:tl2br w:val="nil"/>
                    <w:tr2bl w:val="nil"/>
                  </w:tcBorders>
                  <w:vAlign w:val="center"/>
                </w:tcPr>
                <w:p w14:paraId="7387F3F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szCs w:val="21"/>
                      <w:lang w:eastAsia="zh-CN"/>
                    </w:rPr>
                  </w:pPr>
                  <w:r>
                    <w:rPr>
                      <w:rFonts w:hint="eastAsia"/>
                      <w:sz w:val="21"/>
                      <w:szCs w:val="21"/>
                      <w:lang w:eastAsia="zh-CN"/>
                    </w:rPr>
                    <w:t>小计</w:t>
                  </w:r>
                </w:p>
              </w:tc>
            </w:tr>
            <w:tr w14:paraId="7AE5B3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2DCD260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position w:val="-4"/>
                      <w:sz w:val="21"/>
                      <w:szCs w:val="21"/>
                    </w:rPr>
                    <w:t>一</w:t>
                  </w:r>
                </w:p>
              </w:tc>
              <w:tc>
                <w:tcPr>
                  <w:tcW w:w="1861" w:type="pct"/>
                  <w:tcBorders>
                    <w:tl2br w:val="nil"/>
                    <w:tr2bl w:val="nil"/>
                  </w:tcBorders>
                  <w:vAlign w:val="center"/>
                </w:tcPr>
                <w:p w14:paraId="3102BC2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6"/>
                      <w:sz w:val="21"/>
                      <w:szCs w:val="21"/>
                    </w:rPr>
                    <w:t>永久占地</w:t>
                  </w:r>
                </w:p>
              </w:tc>
              <w:tc>
                <w:tcPr>
                  <w:tcW w:w="610" w:type="pct"/>
                  <w:tcBorders>
                    <w:tl2br w:val="nil"/>
                    <w:tr2bl w:val="nil"/>
                  </w:tcBorders>
                  <w:vAlign w:val="center"/>
                </w:tcPr>
                <w:p w14:paraId="388A67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639" w:type="pct"/>
                  <w:tcBorders>
                    <w:tl2br w:val="nil"/>
                    <w:tr2bl w:val="nil"/>
                  </w:tcBorders>
                  <w:vAlign w:val="center"/>
                </w:tcPr>
                <w:p w14:paraId="11B182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617" w:type="pct"/>
                  <w:tcBorders>
                    <w:tl2br w:val="nil"/>
                    <w:tr2bl w:val="nil"/>
                  </w:tcBorders>
                  <w:vAlign w:val="center"/>
                </w:tcPr>
                <w:p w14:paraId="0572D3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745" w:type="pct"/>
                  <w:tcBorders>
                    <w:tl2br w:val="nil"/>
                    <w:tr2bl w:val="nil"/>
                  </w:tcBorders>
                  <w:vAlign w:val="center"/>
                </w:tcPr>
                <w:p w14:paraId="30A2EA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pacing w:val="3"/>
                      <w:sz w:val="21"/>
                      <w:szCs w:val="21"/>
                      <w:lang w:val="en-US" w:eastAsia="zh-CN"/>
                    </w:rPr>
                    <w:t>0</w:t>
                  </w:r>
                </w:p>
              </w:tc>
            </w:tr>
            <w:tr w14:paraId="16B7C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5DC7EA1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5A02A08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堤防建设区</w:t>
                  </w:r>
                </w:p>
              </w:tc>
              <w:tc>
                <w:tcPr>
                  <w:tcW w:w="610" w:type="pct"/>
                  <w:tcBorders>
                    <w:tl2br w:val="nil"/>
                    <w:tr2bl w:val="nil"/>
                  </w:tcBorders>
                  <w:vAlign w:val="center"/>
                </w:tcPr>
                <w:p w14:paraId="6A13456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39" w:type="pct"/>
                  <w:tcBorders>
                    <w:tl2br w:val="nil"/>
                    <w:tr2bl w:val="nil"/>
                  </w:tcBorders>
                  <w:vAlign w:val="center"/>
                </w:tcPr>
                <w:p w14:paraId="02D3814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17" w:type="pct"/>
                  <w:tcBorders>
                    <w:tl2br w:val="nil"/>
                    <w:tr2bl w:val="nil"/>
                  </w:tcBorders>
                  <w:vAlign w:val="center"/>
                </w:tcPr>
                <w:p w14:paraId="70A2631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745" w:type="pct"/>
                  <w:tcBorders>
                    <w:tl2br w:val="nil"/>
                    <w:tr2bl w:val="nil"/>
                  </w:tcBorders>
                  <w:vAlign w:val="center"/>
                </w:tcPr>
                <w:p w14:paraId="553CE0D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eastAsia" w:ascii="Times New Roman" w:hAnsi="Times New Roman" w:eastAsia="宋体" w:cs="Times New Roman"/>
                      <w:spacing w:val="6"/>
                      <w:sz w:val="21"/>
                      <w:szCs w:val="21"/>
                      <w:lang w:val="en-US" w:eastAsia="zh-CN"/>
                    </w:rPr>
                    <w:t>0</w:t>
                  </w:r>
                </w:p>
              </w:tc>
            </w:tr>
            <w:tr w14:paraId="681E6D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0676FE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二</w:t>
                  </w:r>
                </w:p>
              </w:tc>
              <w:tc>
                <w:tcPr>
                  <w:tcW w:w="1861" w:type="pct"/>
                  <w:tcBorders>
                    <w:tl2br w:val="nil"/>
                    <w:tr2bl w:val="nil"/>
                  </w:tcBorders>
                  <w:vAlign w:val="center"/>
                </w:tcPr>
                <w:p w14:paraId="4AAAA1B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临时占地</w:t>
                  </w:r>
                </w:p>
              </w:tc>
              <w:tc>
                <w:tcPr>
                  <w:tcW w:w="610" w:type="pct"/>
                  <w:tcBorders>
                    <w:tl2br w:val="nil"/>
                    <w:tr2bl w:val="nil"/>
                  </w:tcBorders>
                  <w:vAlign w:val="center"/>
                </w:tcPr>
                <w:p w14:paraId="648F4A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5D1F450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48B5C2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3E776C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2.14</w:t>
                  </w:r>
                </w:p>
              </w:tc>
            </w:tr>
            <w:tr w14:paraId="487B5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4E5D6FF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606A184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工程建设施工区</w:t>
                  </w:r>
                </w:p>
              </w:tc>
              <w:tc>
                <w:tcPr>
                  <w:tcW w:w="610" w:type="pct"/>
                  <w:tcBorders>
                    <w:tl2br w:val="nil"/>
                    <w:tr2bl w:val="nil"/>
                  </w:tcBorders>
                  <w:vAlign w:val="center"/>
                </w:tcPr>
                <w:p w14:paraId="21779B1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39" w:type="pct"/>
                  <w:tcBorders>
                    <w:tl2br w:val="nil"/>
                    <w:tr2bl w:val="nil"/>
                  </w:tcBorders>
                  <w:vAlign w:val="center"/>
                </w:tcPr>
                <w:p w14:paraId="39D7FE7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3667F51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6270A32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r>
            <w:tr w14:paraId="5EF1B8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218212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w:t>
                  </w:r>
                </w:p>
              </w:tc>
              <w:tc>
                <w:tcPr>
                  <w:tcW w:w="1861" w:type="pct"/>
                  <w:tcBorders>
                    <w:tl2br w:val="nil"/>
                    <w:tr2bl w:val="nil"/>
                  </w:tcBorders>
                  <w:vAlign w:val="center"/>
                </w:tcPr>
                <w:p w14:paraId="2441235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施工临时道路区</w:t>
                  </w:r>
                </w:p>
              </w:tc>
              <w:tc>
                <w:tcPr>
                  <w:tcW w:w="610" w:type="pct"/>
                  <w:tcBorders>
                    <w:tl2br w:val="nil"/>
                    <w:tr2bl w:val="nil"/>
                  </w:tcBorders>
                  <w:vAlign w:val="center"/>
                </w:tcPr>
                <w:p w14:paraId="13E4A6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08498DF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43F58FD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01109C5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1.20</w:t>
                  </w:r>
                </w:p>
              </w:tc>
            </w:tr>
            <w:tr w14:paraId="68F20B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012DC8F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w:t>
                  </w:r>
                </w:p>
              </w:tc>
              <w:tc>
                <w:tcPr>
                  <w:tcW w:w="1861" w:type="pct"/>
                  <w:tcBorders>
                    <w:tl2br w:val="nil"/>
                    <w:tr2bl w:val="nil"/>
                  </w:tcBorders>
                  <w:vAlign w:val="center"/>
                </w:tcPr>
                <w:p w14:paraId="171EEF8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1#表土转存场（不计入总占地</w:t>
                  </w:r>
                  <w:r>
                    <w:rPr>
                      <w:rFonts w:hint="eastAsia" w:ascii="Times New Roman" w:hAnsi="Times New Roman" w:cs="Times New Roman"/>
                      <w:spacing w:val="6"/>
                      <w:sz w:val="21"/>
                      <w:szCs w:val="21"/>
                      <w:lang w:val="en-US" w:eastAsia="zh-CN"/>
                    </w:rPr>
                    <w:t>）</w:t>
                  </w:r>
                </w:p>
              </w:tc>
              <w:tc>
                <w:tcPr>
                  <w:tcW w:w="610" w:type="pct"/>
                  <w:tcBorders>
                    <w:tl2br w:val="nil"/>
                    <w:tr2bl w:val="nil"/>
                  </w:tcBorders>
                  <w:vAlign w:val="center"/>
                </w:tcPr>
                <w:p w14:paraId="6146414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0.25</w:t>
                  </w:r>
                </w:p>
              </w:tc>
              <w:tc>
                <w:tcPr>
                  <w:tcW w:w="639" w:type="pct"/>
                  <w:tcBorders>
                    <w:tl2br w:val="nil"/>
                    <w:tr2bl w:val="nil"/>
                  </w:tcBorders>
                  <w:vAlign w:val="center"/>
                </w:tcPr>
                <w:p w14:paraId="3B23C04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4A28718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41F6C91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rPr>
                    <w:t>0.2</w:t>
                  </w:r>
                  <w:r>
                    <w:rPr>
                      <w:rFonts w:hint="default" w:ascii="Times New Roman" w:hAnsi="Times New Roman" w:eastAsia="宋体" w:cs="Times New Roman"/>
                      <w:spacing w:val="6"/>
                      <w:sz w:val="21"/>
                      <w:szCs w:val="21"/>
                      <w:lang w:val="en-US" w:eastAsia="zh-CN"/>
                    </w:rPr>
                    <w:t>5</w:t>
                  </w:r>
                </w:p>
              </w:tc>
            </w:tr>
            <w:tr w14:paraId="441B8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5B251E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pacing w:val="6"/>
                      <w:sz w:val="21"/>
                      <w:szCs w:val="21"/>
                      <w:lang w:val="en-US" w:eastAsia="zh-CN"/>
                    </w:rPr>
                  </w:pPr>
                  <w:r>
                    <w:rPr>
                      <w:rFonts w:hint="eastAsia" w:ascii="Times New Roman" w:hAnsi="Times New Roman" w:cs="Times New Roman"/>
                      <w:spacing w:val="6"/>
                      <w:sz w:val="21"/>
                      <w:szCs w:val="21"/>
                      <w:lang w:val="en-US" w:eastAsia="zh-CN"/>
                    </w:rPr>
                    <w:t>4</w:t>
                  </w:r>
                </w:p>
              </w:tc>
              <w:tc>
                <w:tcPr>
                  <w:tcW w:w="1861" w:type="pct"/>
                  <w:tcBorders>
                    <w:tl2br w:val="nil"/>
                    <w:tr2bl w:val="nil"/>
                  </w:tcBorders>
                  <w:vAlign w:val="center"/>
                </w:tcPr>
                <w:p w14:paraId="01DA386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2#表土转存场（不计入总占地）</w:t>
                  </w:r>
                </w:p>
              </w:tc>
              <w:tc>
                <w:tcPr>
                  <w:tcW w:w="610" w:type="pct"/>
                  <w:tcBorders>
                    <w:tl2br w:val="nil"/>
                    <w:tr2bl w:val="nil"/>
                  </w:tcBorders>
                  <w:vAlign w:val="center"/>
                </w:tcPr>
                <w:p w14:paraId="61A8411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w:t>
                  </w:r>
                  <w:r>
                    <w:rPr>
                      <w:rFonts w:hint="eastAsia" w:ascii="Times New Roman" w:hAnsi="Times New Roman" w:eastAsia="宋体" w:cs="Times New Roman"/>
                      <w:spacing w:val="6"/>
                      <w:sz w:val="21"/>
                      <w:szCs w:val="21"/>
                      <w:lang w:val="en-US" w:eastAsia="zh-CN"/>
                    </w:rPr>
                    <w:t>6</w:t>
                  </w:r>
                </w:p>
              </w:tc>
              <w:tc>
                <w:tcPr>
                  <w:tcW w:w="639" w:type="pct"/>
                  <w:tcBorders>
                    <w:tl2br w:val="nil"/>
                    <w:tr2bl w:val="nil"/>
                  </w:tcBorders>
                  <w:vAlign w:val="center"/>
                </w:tcPr>
                <w:p w14:paraId="0F9BDF2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68798AE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2CBEEA5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0.26</w:t>
                  </w:r>
                </w:p>
              </w:tc>
            </w:tr>
            <w:tr w14:paraId="4A55A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388" w:type="pct"/>
                  <w:gridSpan w:val="2"/>
                  <w:tcBorders>
                    <w:tl2br w:val="nil"/>
                    <w:tr2bl w:val="nil"/>
                  </w:tcBorders>
                  <w:vAlign w:val="center"/>
                </w:tcPr>
                <w:p w14:paraId="4322686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合   计</w:t>
                  </w:r>
                </w:p>
              </w:tc>
              <w:tc>
                <w:tcPr>
                  <w:tcW w:w="610" w:type="pct"/>
                  <w:tcBorders>
                    <w:tl2br w:val="nil"/>
                    <w:tr2bl w:val="nil"/>
                  </w:tcBorders>
                  <w:vAlign w:val="center"/>
                </w:tcPr>
                <w:p w14:paraId="2065ADC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317E2C2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3624750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03B9DC4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2.14</w:t>
                  </w:r>
                </w:p>
              </w:tc>
            </w:tr>
          </w:tbl>
          <w:p w14:paraId="24077A20">
            <w:pPr>
              <w:numPr>
                <w:ilvl w:val="0"/>
                <w:numId w:val="0"/>
              </w:numPr>
              <w:adjustRightInd w:val="0"/>
              <w:snapToGrid w:val="0"/>
              <w:spacing w:line="360" w:lineRule="auto"/>
              <w:ind w:firstLine="482" w:firstLineChars="200"/>
              <w:jc w:val="left"/>
              <w:rPr>
                <w:rFonts w:hint="default" w:ascii="Times New Roman" w:hAnsi="Times New Roman" w:cs="Times New Roman"/>
                <w:b/>
                <w:bCs/>
                <w:color w:val="auto"/>
                <w:kern w:val="0"/>
                <w:sz w:val="24"/>
                <w:lang w:bidi="ar"/>
              </w:rPr>
            </w:pPr>
            <w:r>
              <w:rPr>
                <w:rFonts w:hint="eastAsia" w:ascii="Times New Roman" w:hAnsi="Times New Roman" w:cs="Times New Roman"/>
                <w:b/>
                <w:bCs/>
                <w:color w:val="auto"/>
                <w:kern w:val="0"/>
                <w:sz w:val="24"/>
                <w:lang w:eastAsia="zh-CN" w:bidi="ar"/>
              </w:rPr>
              <w:t>五、</w:t>
            </w:r>
            <w:r>
              <w:rPr>
                <w:rFonts w:hint="default" w:ascii="Times New Roman" w:hAnsi="Times New Roman" w:cs="Times New Roman"/>
                <w:b/>
                <w:bCs/>
                <w:color w:val="auto"/>
                <w:kern w:val="0"/>
                <w:sz w:val="24"/>
                <w:lang w:bidi="ar"/>
              </w:rPr>
              <w:t>劳动定员及工作制度</w:t>
            </w:r>
          </w:p>
          <w:p w14:paraId="28E6C242">
            <w:pPr>
              <w:numPr>
                <w:ilvl w:val="0"/>
                <w:numId w:val="0"/>
              </w:numPr>
              <w:adjustRightInd w:val="0"/>
              <w:snapToGrid w:val="0"/>
              <w:spacing w:line="360" w:lineRule="auto"/>
              <w:ind w:firstLine="480" w:firstLineChars="200"/>
              <w:jc w:val="left"/>
              <w:rPr>
                <w:rFonts w:hint="eastAsia" w:eastAsia="宋体"/>
                <w:b/>
                <w:bCs/>
                <w:color w:val="auto"/>
                <w:lang w:eastAsia="zh-CN"/>
              </w:rPr>
            </w:pPr>
            <w:r>
              <w:rPr>
                <w:rFonts w:hint="default" w:ascii="Times New Roman" w:hAnsi="Times New Roman" w:cs="Times New Roman"/>
                <w:bCs/>
                <w:color w:val="auto"/>
                <w:sz w:val="24"/>
              </w:rPr>
              <w:t>本项目</w:t>
            </w:r>
            <w:r>
              <w:rPr>
                <w:rFonts w:hint="eastAsia" w:ascii="Times New Roman" w:hAnsi="Times New Roman" w:cs="Times New Roman"/>
                <w:bCs/>
                <w:color w:val="auto"/>
                <w:sz w:val="24"/>
                <w:lang w:eastAsia="zh-CN"/>
              </w:rPr>
              <w:t>实施分段建设，</w:t>
            </w:r>
            <w:r>
              <w:rPr>
                <w:rFonts w:hint="default" w:ascii="Times New Roman" w:hAnsi="Times New Roman" w:cs="Times New Roman"/>
                <w:bCs/>
                <w:color w:val="auto"/>
                <w:sz w:val="24"/>
              </w:rPr>
              <w:t>施工</w:t>
            </w:r>
            <w:r>
              <w:rPr>
                <w:rFonts w:hint="default" w:ascii="Times New Roman" w:hAnsi="Times New Roman" w:cs="Times New Roman"/>
                <w:bCs/>
                <w:color w:val="auto"/>
                <w:sz w:val="24"/>
                <w:lang w:eastAsia="zh-CN"/>
              </w:rPr>
              <w:t>期工作</w:t>
            </w:r>
            <w:r>
              <w:rPr>
                <w:rFonts w:hint="default" w:ascii="Times New Roman" w:hAnsi="Times New Roman" w:cs="Times New Roman"/>
                <w:bCs/>
                <w:color w:val="auto"/>
                <w:sz w:val="24"/>
              </w:rPr>
              <w:t>人员主要为</w:t>
            </w:r>
            <w:r>
              <w:rPr>
                <w:rFonts w:hint="default" w:ascii="Times New Roman" w:hAnsi="Times New Roman" w:cs="Times New Roman"/>
                <w:bCs/>
                <w:color w:val="auto"/>
                <w:sz w:val="24"/>
                <w:lang w:eastAsia="zh-CN"/>
              </w:rPr>
              <w:t>管理人员和施工人员</w:t>
            </w:r>
            <w:r>
              <w:rPr>
                <w:rFonts w:hint="default" w:ascii="Times New Roman" w:hAnsi="Times New Roman" w:cs="Times New Roman"/>
                <w:bCs/>
                <w:color w:val="auto"/>
                <w:sz w:val="24"/>
              </w:rPr>
              <w:t>等，</w:t>
            </w:r>
            <w:r>
              <w:rPr>
                <w:rFonts w:hint="eastAsia" w:ascii="Times New Roman" w:hAnsi="Times New Roman" w:cs="Times New Roman"/>
                <w:bCs/>
                <w:color w:val="auto"/>
                <w:sz w:val="24"/>
                <w:lang w:eastAsia="zh-CN"/>
              </w:rPr>
              <w:t>施工期平均人数</w:t>
            </w:r>
            <w:r>
              <w:rPr>
                <w:rFonts w:hint="default" w:ascii="Times New Roman" w:hAnsi="Times New Roman" w:cs="Times New Roman"/>
                <w:bCs/>
                <w:color w:val="auto"/>
                <w:sz w:val="24"/>
              </w:rPr>
              <w:t>约</w:t>
            </w:r>
            <w:r>
              <w:rPr>
                <w:rFonts w:hint="eastAsia" w:ascii="Times New Roman" w:hAnsi="Times New Roman" w:cs="Times New Roman"/>
                <w:bCs/>
                <w:color w:val="auto"/>
                <w:sz w:val="24"/>
                <w:lang w:val="en-US" w:eastAsia="zh-CN"/>
              </w:rPr>
              <w:t>75</w:t>
            </w:r>
            <w:r>
              <w:rPr>
                <w:rFonts w:hint="default" w:ascii="Times New Roman" w:hAnsi="Times New Roman" w:cs="Times New Roman"/>
                <w:bCs/>
                <w:color w:val="auto"/>
                <w:sz w:val="24"/>
              </w:rPr>
              <w:t>人</w:t>
            </w:r>
            <w:r>
              <w:rPr>
                <w:rFonts w:hint="eastAsia" w:ascii="Times New Roman" w:hAnsi="Times New Roman" w:cs="Times New Roman"/>
                <w:bCs/>
                <w:color w:val="auto"/>
                <w:sz w:val="24"/>
                <w:lang w:eastAsia="zh-CN"/>
              </w:rPr>
              <w:t>。</w:t>
            </w:r>
          </w:p>
        </w:tc>
      </w:tr>
      <w:tr w14:paraId="2B92F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45" w:type="pct"/>
            <w:vAlign w:val="center"/>
          </w:tcPr>
          <w:p w14:paraId="4C9F558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rPr>
            </w:pPr>
            <w:r>
              <w:rPr>
                <w:rFonts w:hint="default"/>
                <w:color w:val="auto"/>
              </w:rPr>
              <w:t>总平面及现场布置</w:t>
            </w:r>
          </w:p>
        </w:tc>
        <w:tc>
          <w:tcPr>
            <w:tcW w:w="4654" w:type="pct"/>
            <w:vAlign w:val="center"/>
          </w:tcPr>
          <w:p w14:paraId="71F3D6E5">
            <w:pPr>
              <w:numPr>
                <w:ilvl w:val="0"/>
                <w:numId w:val="0"/>
              </w:numPr>
              <w:bidi w:val="0"/>
              <w:ind w:firstLine="482" w:firstLineChars="200"/>
              <w:rPr>
                <w:rFonts w:hint="default"/>
                <w:b/>
                <w:bCs/>
                <w:color w:val="auto"/>
              </w:rPr>
            </w:pPr>
            <w:r>
              <w:rPr>
                <w:rFonts w:hint="eastAsia"/>
                <w:b/>
                <w:bCs/>
                <w:color w:val="auto"/>
                <w:lang w:val="en-US" w:eastAsia="zh-CN"/>
              </w:rPr>
              <w:t>一、项目</w:t>
            </w:r>
            <w:r>
              <w:rPr>
                <w:rFonts w:hint="eastAsia"/>
                <w:b/>
                <w:bCs/>
                <w:color w:val="auto"/>
                <w:lang w:eastAsia="zh-CN"/>
              </w:rPr>
              <w:t>平面</w:t>
            </w:r>
            <w:r>
              <w:rPr>
                <w:rFonts w:hint="default"/>
                <w:b/>
                <w:bCs/>
                <w:color w:val="auto"/>
              </w:rPr>
              <w:t>布置</w:t>
            </w:r>
          </w:p>
          <w:p w14:paraId="75083C88">
            <w:pPr>
              <w:bidi w:val="0"/>
              <w:spacing w:line="360" w:lineRule="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 xml:space="preserve">本次治理河段于德宏州芒市芒市镇，位于云南西部，德宏州东南部， </w:t>
            </w:r>
          </w:p>
          <w:p w14:paraId="7B356606">
            <w:pPr>
              <w:bidi w:val="0"/>
              <w:spacing w:line="360" w:lineRule="auto"/>
              <w:ind w:left="0" w:leftChars="0" w:firstLine="0" w:firstLineChars="0"/>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SA"/>
              </w:rPr>
              <w:t>在东经98°07′～98°47′、北纬24°08′～24°35′之间。治理河段全长3.83km，治理段起于大湾电站取水坝下游，地理位置为N 24°30′21.23″，E 98°36′44.55″，至于大湾大沟取水坝，地理位置为N24°29′17.79″、 E98°36′21.54″</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lang w:eastAsia="zh-CN"/>
              </w:rPr>
              <w:t>本项目涉及2个</w:t>
            </w:r>
            <w:r>
              <w:rPr>
                <w:rFonts w:hint="eastAsia" w:ascii="Times New Roman" w:hAnsi="Times New Roman" w:cs="Times New Roman"/>
                <w:color w:val="auto"/>
                <w:sz w:val="24"/>
                <w:szCs w:val="24"/>
                <w:lang w:eastAsia="zh-CN"/>
              </w:rPr>
              <w:t>村委会</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个自然村（新寨</w:t>
            </w:r>
            <w:r>
              <w:rPr>
                <w:rFonts w:hint="eastAsia" w:ascii="Times New Roman" w:hAnsi="Times New Roman" w:cs="Times New Roman"/>
                <w:color w:val="auto"/>
                <w:sz w:val="24"/>
                <w:szCs w:val="24"/>
                <w:lang w:eastAsia="zh-CN"/>
              </w:rPr>
              <w:t>、木康、帕良、洞坎、大湾村</w:t>
            </w:r>
            <w:r>
              <w:rPr>
                <w:rFonts w:hint="default" w:ascii="Times New Roman" w:hAnsi="Times New Roman" w:cs="Times New Roman"/>
                <w:color w:val="auto"/>
                <w:sz w:val="24"/>
                <w:szCs w:val="24"/>
                <w:lang w:eastAsia="zh-CN"/>
              </w:rPr>
              <w:t>）。通过工程措施满足两岸的防洪要求，确保岸线及河势稳定，从而保障</w:t>
            </w:r>
            <w:r>
              <w:rPr>
                <w:rFonts w:hint="default" w:ascii="Times New Roman" w:hAnsi="Times New Roman" w:cs="Times New Roman"/>
                <w:color w:val="auto"/>
                <w:sz w:val="24"/>
                <w:szCs w:val="24"/>
                <w:lang w:val="en-US" w:eastAsia="zh-CN"/>
              </w:rPr>
              <w:t>拉怀村委会</w:t>
            </w:r>
            <w:r>
              <w:rPr>
                <w:rFonts w:hint="eastAsia" w:cs="Times New Roman"/>
                <w:color w:val="auto"/>
                <w:sz w:val="24"/>
                <w:szCs w:val="24"/>
                <w:lang w:val="en-US" w:eastAsia="zh-CN"/>
              </w:rPr>
              <w:t>、</w:t>
            </w:r>
          </w:p>
          <w:p w14:paraId="2C149B31">
            <w:pPr>
              <w:bidi w:val="0"/>
              <w:spacing w:line="360" w:lineRule="auto"/>
              <w:ind w:left="0" w:leftChars="0" w:firstLine="0" w:firstLineChars="0"/>
              <w:rPr>
                <w:rFonts w:hint="default"/>
                <w:b/>
                <w:bCs/>
                <w:color w:val="auto"/>
              </w:rPr>
            </w:pPr>
            <w:r>
              <w:rPr>
                <w:rFonts w:hint="eastAsia" w:ascii="Times New Roman" w:hAnsi="Times New Roman" w:cs="Times New Roman"/>
                <w:color w:val="auto"/>
                <w:sz w:val="24"/>
                <w:szCs w:val="24"/>
                <w:lang w:eastAsia="zh-CN"/>
              </w:rPr>
              <w:t>大湾村委会</w:t>
            </w:r>
            <w:r>
              <w:rPr>
                <w:rFonts w:hint="default" w:ascii="Times New Roman" w:hAnsi="Times New Roman" w:cs="Times New Roman"/>
                <w:color w:val="auto"/>
                <w:sz w:val="24"/>
                <w:szCs w:val="24"/>
                <w:lang w:eastAsia="zh-CN"/>
              </w:rPr>
              <w:t>两岸农田的防洪安全；治理段保护农田面积约</w:t>
            </w:r>
            <w:r>
              <w:rPr>
                <w:rFonts w:hint="eastAsia"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lang w:eastAsia="zh-CN"/>
              </w:rPr>
              <w:t>万亩，保护项目区人口约</w:t>
            </w:r>
            <w:r>
              <w:rPr>
                <w:rFonts w:hint="eastAsia" w:ascii="Times New Roman" w:hAnsi="Times New Roman" w:cs="Times New Roman"/>
                <w:color w:val="auto"/>
                <w:sz w:val="24"/>
                <w:szCs w:val="24"/>
                <w:lang w:val="en-US" w:eastAsia="zh-CN"/>
              </w:rPr>
              <w:t>0.6</w:t>
            </w:r>
            <w:r>
              <w:rPr>
                <w:rFonts w:hint="default" w:ascii="Times New Roman" w:hAnsi="Times New Roman" w:cs="Times New Roman"/>
                <w:color w:val="auto"/>
                <w:sz w:val="24"/>
                <w:szCs w:val="24"/>
                <w:lang w:eastAsia="zh-CN"/>
              </w:rPr>
              <w:t>万人。项目总平面图见</w:t>
            </w:r>
            <w:r>
              <w:rPr>
                <w:rFonts w:hint="default" w:ascii="Times New Roman" w:hAnsi="Times New Roman" w:cs="Times New Roman"/>
                <w:b/>
                <w:bCs/>
                <w:color w:val="auto"/>
                <w:sz w:val="24"/>
                <w:szCs w:val="24"/>
                <w:lang w:eastAsia="zh-CN"/>
              </w:rPr>
              <w:t>附图</w:t>
            </w:r>
            <w:r>
              <w:rPr>
                <w:rFonts w:hint="eastAsia" w:ascii="Times New Roman" w:hAnsi="Times New Roman" w:cs="Times New Roman"/>
                <w:b/>
                <w:bCs/>
                <w:color w:val="auto"/>
                <w:sz w:val="24"/>
                <w:szCs w:val="24"/>
                <w:lang w:val="en-US" w:eastAsia="zh-CN"/>
              </w:rPr>
              <w:t>3</w:t>
            </w:r>
          </w:p>
          <w:p w14:paraId="2EFFFCD8">
            <w:pPr>
              <w:pStyle w:val="37"/>
              <w:bidi w:val="0"/>
              <w:rPr>
                <w:rFonts w:hint="eastAsia"/>
                <w:b/>
                <w:bCs/>
                <w:color w:val="auto"/>
                <w:lang w:val="en-US" w:eastAsia="zh-CN"/>
              </w:rPr>
            </w:pPr>
            <w:r>
              <w:rPr>
                <w:rFonts w:hint="eastAsia"/>
                <w:b/>
                <w:bCs/>
                <w:color w:val="auto"/>
                <w:lang w:val="en-US" w:eastAsia="zh-CN"/>
              </w:rPr>
              <w:t>二、现场布置</w:t>
            </w:r>
          </w:p>
          <w:p w14:paraId="3B2900B7">
            <w:pPr>
              <w:pStyle w:val="37"/>
              <w:bidi w:val="0"/>
              <w:rPr>
                <w:rFonts w:hint="eastAsia"/>
                <w:b/>
                <w:bCs/>
                <w:color w:val="auto"/>
                <w:lang w:eastAsia="zh-CN"/>
              </w:rPr>
            </w:pPr>
            <w:r>
              <w:rPr>
                <w:rFonts w:hint="eastAsia"/>
                <w:b/>
                <w:bCs/>
                <w:color w:val="auto"/>
                <w:lang w:val="en-US" w:eastAsia="zh-CN"/>
              </w:rPr>
              <w:t>1、</w:t>
            </w:r>
            <w:r>
              <w:rPr>
                <w:rFonts w:hint="eastAsia"/>
                <w:b/>
                <w:bCs/>
                <w:color w:val="auto"/>
              </w:rPr>
              <w:t>施工</w:t>
            </w:r>
            <w:r>
              <w:rPr>
                <w:rFonts w:hint="eastAsia"/>
                <w:b/>
                <w:bCs/>
                <w:color w:val="auto"/>
                <w:lang w:eastAsia="zh-CN"/>
              </w:rPr>
              <w:t>场地布置</w:t>
            </w:r>
          </w:p>
          <w:p w14:paraId="785BAC6F">
            <w:pPr>
              <w:pStyle w:val="37"/>
              <w:bidi w:val="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val="0"/>
                <w:bCs w:val="0"/>
                <w:color w:val="auto"/>
                <w:sz w:val="24"/>
                <w:szCs w:val="24"/>
                <w:lang w:val="en-US" w:eastAsia="zh-CN"/>
              </w:rPr>
              <w:t>施工现场布置结合地形、料场、道路、河堤及安全等因素综合考虑，进行统一安排布置，使其达到整体协调、工作方便、安全有序的效果。施工总布置分为以下几个区域</w:t>
            </w:r>
            <w:r>
              <w:rPr>
                <w:rFonts w:hint="eastAsia" w:ascii="Times New Roman" w:hAnsi="Times New Roman" w:eastAsia="宋体" w:cs="Times New Roman"/>
                <w:b w:val="0"/>
                <w:bCs w:val="0"/>
                <w:color w:val="auto"/>
                <w:sz w:val="24"/>
                <w:szCs w:val="24"/>
                <w:lang w:val="en-US" w:eastAsia="zh-CN"/>
              </w:rPr>
              <w:t>：</w:t>
            </w:r>
          </w:p>
          <w:p w14:paraId="22745860">
            <w:pPr>
              <w:pStyle w:val="37"/>
              <w:bidi w:val="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（1）施工场地</w:t>
            </w:r>
          </w:p>
          <w:p w14:paraId="4D7DD89C">
            <w:pPr>
              <w:pStyle w:val="37"/>
              <w:bidi w:val="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根据工程布置的特点和工程施工条件，在施工准备期，先完成“四通一平”等临时工程，在此基础上进行主体工程施工，采取分段实施。 施工区内沿线村庄分布较广，根据工程地形、地貌特点，施工生产区主要布置于河道两岸临时征地范围内的开阔地带，沿岸共设3个综合施工生产区</w:t>
            </w:r>
            <w:r>
              <w:rPr>
                <w:rFonts w:hint="eastAsia" w:ascii="Times New Roman" w:hAnsi="Times New Roman" w:eastAsia="宋体" w:cs="Times New Roman"/>
                <w:color w:val="auto"/>
                <w:lang w:val="en-US" w:eastAsia="zh-CN"/>
              </w:rPr>
              <w:t>项目施工营地共计占地旱地0.94hm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kern w:val="0"/>
                <w:sz w:val="24"/>
                <w:szCs w:val="24"/>
                <w:lang w:val="en-US" w:eastAsia="zh-CN" w:bidi="ar-SA"/>
              </w:rPr>
              <w:t>，</w:t>
            </w:r>
          </w:p>
          <w:p w14:paraId="3E2F9D28">
            <w:pPr>
              <w:pStyle w:val="37"/>
              <w:bidi w:val="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（2）施工生活区</w:t>
            </w:r>
          </w:p>
          <w:p w14:paraId="740B2DCD">
            <w:pPr>
              <w:pStyle w:val="3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施工活办公用房租用</w:t>
            </w:r>
            <w:r>
              <w:rPr>
                <w:rFonts w:hint="default" w:ascii="Times New Roman" w:hAnsi="Times New Roman" w:eastAsia="宋体" w:cs="Times New Roman"/>
                <w:color w:val="auto"/>
                <w:lang w:val="en-US" w:eastAsia="zh-CN"/>
              </w:rPr>
              <w:t>周边村庄房屋</w:t>
            </w:r>
            <w:r>
              <w:rPr>
                <w:rFonts w:hint="eastAsia" w:ascii="Times New Roman" w:hAnsi="Times New Roman" w:eastAsia="宋体" w:cs="Times New Roman"/>
                <w:color w:val="auto"/>
                <w:lang w:val="en-US" w:eastAsia="zh-CN"/>
              </w:rPr>
              <w:t>，项目计划共布设3个施工生活区。</w:t>
            </w:r>
          </w:p>
          <w:p w14:paraId="00C91558">
            <w:pPr>
              <w:pStyle w:val="37"/>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（3）表土堆场</w:t>
            </w:r>
          </w:p>
          <w:p w14:paraId="43C7DFBE">
            <w:pPr>
              <w:pStyle w:val="37"/>
              <w:bidi w:val="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lang w:val="en-US" w:eastAsia="zh-CN"/>
              </w:rPr>
              <w:t>在施工生产生活区、临时道路区工程占地范围内规划了表土临时堆场</w:t>
            </w:r>
            <w:r>
              <w:rPr>
                <w:rFonts w:hint="eastAsia" w:ascii="Times New Roman" w:hAnsi="Times New Roman" w:eastAsia="宋体" w:cs="Times New Roman"/>
                <w:color w:val="auto"/>
                <w:lang w:val="en-US" w:eastAsia="zh-CN"/>
              </w:rPr>
              <w:t>，施工生产区表土堆场临时占用水田面积为0.25hm</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，临时道路区表土堆场</w:t>
            </w:r>
            <w:r>
              <w:rPr>
                <w:rFonts w:hint="eastAsia" w:ascii="Times New Roman" w:hAnsi="Times New Roman" w:eastAsia="宋体" w:cs="Times New Roman"/>
                <w:color w:val="auto"/>
                <w:lang w:val="en-US" w:eastAsia="zh-CN"/>
              </w:rPr>
              <w:t>临时占用水田面积为0.26hm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kern w:val="0"/>
                <w:sz w:val="24"/>
                <w:szCs w:val="24"/>
                <w:lang w:val="en-US" w:eastAsia="zh-CN" w:bidi="ar-SA"/>
              </w:rPr>
              <w:t>。</w:t>
            </w:r>
          </w:p>
          <w:p w14:paraId="126B6D81">
            <w:pPr>
              <w:pStyle w:val="37"/>
              <w:numPr>
                <w:ilvl w:val="0"/>
                <w:numId w:val="0"/>
              </w:numPr>
              <w:bidi w:val="0"/>
              <w:ind w:right="0" w:rightChars="0" w:firstLine="480" w:firstLineChars="20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（4）弃渣场</w:t>
            </w:r>
          </w:p>
          <w:p w14:paraId="0208FA50">
            <w:pPr>
              <w:pStyle w:val="83"/>
              <w:numPr>
                <w:ilvl w:val="0"/>
                <w:numId w:val="0"/>
              </w:numPr>
              <w:ind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cs="Times New Roman"/>
                <w:lang w:val="en-US" w:eastAsia="zh-CN"/>
              </w:rPr>
              <w:t>工程建设</w:t>
            </w:r>
            <w:r>
              <w:rPr>
                <w:rFonts w:hint="eastAsia" w:ascii="Times New Roman" w:hAnsi="Times New Roman" w:cs="Times New Roman"/>
                <w:lang w:val="en-US" w:eastAsia="zh-CN"/>
              </w:rPr>
              <w:t>土石方平衡，</w:t>
            </w:r>
            <w:r>
              <w:rPr>
                <w:rFonts w:hint="default" w:ascii="Times New Roman" w:hAnsi="Times New Roman" w:cs="Times New Roman"/>
                <w:lang w:val="en-US" w:eastAsia="zh-CN"/>
              </w:rPr>
              <w:t>无永久弃渣产生，项目不设置弃渣场。</w:t>
            </w:r>
          </w:p>
          <w:p w14:paraId="32F76FF8">
            <w:pPr>
              <w:pStyle w:val="37"/>
              <w:bidi w:val="0"/>
              <w:rPr>
                <w:b/>
                <w:bCs/>
                <w:color w:val="auto"/>
              </w:rPr>
            </w:pPr>
            <w:r>
              <w:rPr>
                <w:rFonts w:hint="eastAsia"/>
                <w:b/>
                <w:bCs/>
                <w:color w:val="auto"/>
                <w:lang w:val="en-US" w:eastAsia="zh-CN"/>
              </w:rPr>
              <w:t>2、</w:t>
            </w:r>
            <w:r>
              <w:rPr>
                <w:rFonts w:hint="eastAsia"/>
                <w:b/>
                <w:bCs/>
                <w:color w:val="auto"/>
              </w:rPr>
              <w:t>施工</w:t>
            </w:r>
            <w:r>
              <w:rPr>
                <w:rFonts w:hint="eastAsia"/>
                <w:b/>
                <w:bCs/>
                <w:color w:val="auto"/>
                <w:lang w:eastAsia="zh-CN"/>
              </w:rPr>
              <w:t>场地</w:t>
            </w:r>
            <w:r>
              <w:rPr>
                <w:rFonts w:hint="eastAsia"/>
                <w:b/>
                <w:bCs/>
                <w:color w:val="auto"/>
              </w:rPr>
              <w:t>及临建设施规划</w:t>
            </w:r>
          </w:p>
          <w:p w14:paraId="50A9008C">
            <w:pPr>
              <w:pStyle w:val="37"/>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机械修配及综合加工系统</w:t>
            </w:r>
          </w:p>
          <w:p w14:paraId="62BCAD7D">
            <w:pPr>
              <w:pStyle w:val="37"/>
              <w:bidi w:val="0"/>
              <w:rPr>
                <w:color w:val="auto"/>
              </w:rPr>
            </w:pPr>
            <w:r>
              <w:rPr>
                <w:rFonts w:hint="eastAsia"/>
                <w:color w:val="auto"/>
              </w:rPr>
              <w:t>由于项目地条件简陋，工地距离县城不算太远，可利用县城的修配、加工条件，工地不再设大型机修厂。</w:t>
            </w:r>
          </w:p>
          <w:p w14:paraId="623F2323">
            <w:pPr>
              <w:pStyle w:val="37"/>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砂石加工系统</w:t>
            </w:r>
          </w:p>
          <w:p w14:paraId="00FB821E">
            <w:pPr>
              <w:pStyle w:val="37"/>
              <w:bidi w:val="0"/>
              <w:rPr>
                <w:rFonts w:hint="eastAsia" w:eastAsia="宋体"/>
                <w:color w:val="auto"/>
                <w:lang w:eastAsia="zh-CN"/>
              </w:rPr>
            </w:pPr>
            <w:r>
              <w:rPr>
                <w:rFonts w:hint="eastAsia"/>
                <w:color w:val="auto"/>
              </w:rPr>
              <w:t>本工程砂石料全部外购，不设置砂石料加工系统。</w:t>
            </w:r>
            <w:r>
              <w:rPr>
                <w:rFonts w:hint="eastAsia"/>
                <w:color w:val="auto"/>
                <w:lang w:val="en-US" w:eastAsia="zh-CN"/>
              </w:rPr>
              <w:t>户育石料厂位于芒市大河下游南西侧户育村境内，料场产权属德宏州芒市同兴建材有限责任公司可为芒市大河全段提供石料及粗细骨料（工程设计用量仅 4.5万m³）。储量、质量能满足设计要求。距工程区平均距离为35km。砂料考虑商业购买。</w:t>
            </w:r>
          </w:p>
          <w:p w14:paraId="00FA089A">
            <w:pPr>
              <w:pStyle w:val="37"/>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混凝土加工系统</w:t>
            </w:r>
          </w:p>
          <w:p w14:paraId="62B6F0CC">
            <w:pPr>
              <w:pStyle w:val="37"/>
              <w:bidi w:val="0"/>
              <w:rPr>
                <w:color w:val="auto"/>
              </w:rPr>
            </w:pPr>
            <w:r>
              <w:rPr>
                <w:rFonts w:hint="eastAsia"/>
                <w:color w:val="auto"/>
              </w:rPr>
              <w:t>本</w:t>
            </w:r>
            <w:r>
              <w:rPr>
                <w:color w:val="auto"/>
              </w:rPr>
              <w:t>工程混凝土用于</w:t>
            </w:r>
            <w:r>
              <w:rPr>
                <w:rFonts w:hint="eastAsia"/>
                <w:color w:val="auto"/>
              </w:rPr>
              <w:t>框格梁及蹬脚等</w:t>
            </w:r>
            <w:r>
              <w:rPr>
                <w:color w:val="auto"/>
              </w:rPr>
              <w:t>的浇筑，</w:t>
            </w:r>
            <w:r>
              <w:rPr>
                <w:rFonts w:hint="eastAsia"/>
                <w:color w:val="auto"/>
              </w:rPr>
              <w:t>使用</w:t>
            </w:r>
            <w:r>
              <w:rPr>
                <w:color w:val="auto"/>
              </w:rPr>
              <w:t>位置较为分散，因此，混凝土拌和设施</w:t>
            </w:r>
            <w:r>
              <w:rPr>
                <w:rFonts w:hint="eastAsia"/>
                <w:color w:val="auto"/>
              </w:rPr>
              <w:t>采用</w:t>
            </w:r>
            <w:r>
              <w:rPr>
                <w:color w:val="auto"/>
              </w:rPr>
              <w:t>分散布置</w:t>
            </w:r>
            <w:r>
              <w:rPr>
                <w:rFonts w:hint="eastAsia"/>
                <w:color w:val="auto"/>
              </w:rPr>
              <w:t>、</w:t>
            </w:r>
            <w:r>
              <w:rPr>
                <w:color w:val="auto"/>
              </w:rPr>
              <w:t>分散拌和、分散供料的原则</w:t>
            </w:r>
            <w:r>
              <w:rPr>
                <w:rFonts w:hint="eastAsia"/>
                <w:color w:val="auto"/>
              </w:rPr>
              <w:t>。</w:t>
            </w:r>
            <w:r>
              <w:rPr>
                <w:color w:val="auto"/>
              </w:rPr>
              <w:t>混凝土拌和站</w:t>
            </w:r>
            <w:r>
              <w:rPr>
                <w:rFonts w:hint="eastAsia"/>
                <w:color w:val="auto"/>
              </w:rPr>
              <w:t>及</w:t>
            </w:r>
            <w:r>
              <w:rPr>
                <w:color w:val="auto"/>
              </w:rPr>
              <w:t>相应的</w:t>
            </w:r>
            <w:r>
              <w:rPr>
                <w:rFonts w:hint="eastAsia"/>
                <w:color w:val="auto"/>
              </w:rPr>
              <w:t>骨料</w:t>
            </w:r>
            <w:r>
              <w:rPr>
                <w:color w:val="auto"/>
              </w:rPr>
              <w:t>堆放场均布置在</w:t>
            </w:r>
            <w:r>
              <w:rPr>
                <w:rFonts w:hint="eastAsia"/>
                <w:color w:val="auto"/>
              </w:rPr>
              <w:t>河岸公路边</w:t>
            </w:r>
            <w:r>
              <w:rPr>
                <w:color w:val="auto"/>
              </w:rPr>
              <w:t>，根据堤线长度，均衡布置，采用移动式混凝土</w:t>
            </w:r>
            <w:r>
              <w:rPr>
                <w:rFonts w:hint="eastAsia"/>
                <w:color w:val="auto"/>
                <w:lang w:eastAsia="zh-CN"/>
              </w:rPr>
              <w:t>拌和站</w:t>
            </w:r>
            <w:r>
              <w:rPr>
                <w:color w:val="auto"/>
              </w:rPr>
              <w:t>，每个</w:t>
            </w:r>
            <w:r>
              <w:rPr>
                <w:rFonts w:hint="eastAsia"/>
                <w:color w:val="auto"/>
                <w:lang w:eastAsia="zh-CN"/>
              </w:rPr>
              <w:t>拌和站</w:t>
            </w:r>
            <w:r>
              <w:rPr>
                <w:rFonts w:hint="eastAsia"/>
                <w:color w:val="auto"/>
              </w:rPr>
              <w:t>设</w:t>
            </w:r>
            <w:r>
              <w:rPr>
                <w:color w:val="auto"/>
              </w:rPr>
              <w:t>1</w:t>
            </w:r>
            <w:r>
              <w:rPr>
                <w:rFonts w:hint="eastAsia"/>
                <w:color w:val="auto"/>
              </w:rPr>
              <w:t>台0.</w:t>
            </w:r>
            <w:r>
              <w:rPr>
                <w:color w:val="auto"/>
              </w:rPr>
              <w:t>4m</w:t>
            </w:r>
            <w:r>
              <w:rPr>
                <w:color w:val="auto"/>
                <w:vertAlign w:val="superscript"/>
              </w:rPr>
              <w:t>3</w:t>
            </w:r>
            <w:r>
              <w:rPr>
                <w:rFonts w:hint="eastAsia"/>
                <w:color w:val="auto"/>
              </w:rPr>
              <w:t>混凝土</w:t>
            </w:r>
            <w:r>
              <w:rPr>
                <w:color w:val="auto"/>
              </w:rPr>
              <w:t>搅拌机。</w:t>
            </w:r>
          </w:p>
          <w:p w14:paraId="29360A9C">
            <w:pPr>
              <w:pStyle w:val="37"/>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施工供水系统</w:t>
            </w:r>
          </w:p>
          <w:p w14:paraId="28FD135F">
            <w:pPr>
              <w:pStyle w:val="37"/>
              <w:bidi w:val="0"/>
              <w:rPr>
                <w:color w:val="auto"/>
              </w:rPr>
            </w:pPr>
            <w:r>
              <w:rPr>
                <w:rFonts w:hint="default" w:ascii="Times New Roman" w:hAnsi="Times New Roman" w:eastAsia="宋体" w:cs="Times New Roman"/>
                <w:color w:val="auto"/>
                <w:lang w:val="en-US" w:eastAsia="zh-CN"/>
              </w:rPr>
              <w:t>施工生活用水可从附近的村庄内取用自来水</w:t>
            </w:r>
            <w:r>
              <w:rPr>
                <w:rFonts w:hint="eastAsia" w:ascii="Times New Roman" w:hAnsi="Times New Roman" w:eastAsia="宋体" w:cs="Times New Roman"/>
                <w:color w:val="auto"/>
                <w:lang w:val="en-US" w:eastAsia="zh-CN"/>
              </w:rPr>
              <w:t>，施工用水可利用移动式抽水泵从原河道内取水即可满足施工用水要求。</w:t>
            </w:r>
          </w:p>
          <w:p w14:paraId="1D0BF1B6">
            <w:pPr>
              <w:pStyle w:val="37"/>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施工供电系统</w:t>
            </w:r>
          </w:p>
          <w:p w14:paraId="3CB5495F">
            <w:pPr>
              <w:pStyle w:val="37"/>
              <w:bidi w:val="0"/>
              <w:rPr>
                <w:color w:val="auto"/>
              </w:rPr>
            </w:pPr>
            <w:r>
              <w:rPr>
                <w:rFonts w:hint="eastAsia"/>
                <w:color w:val="auto"/>
                <w:lang w:val="en-US" w:eastAsia="zh-CN"/>
              </w:rPr>
              <w:t>由于河道沿线村庄较多，施工期均可从附近村庄就近架设短距离临时线路接通电源，不需添设施工变压器</w:t>
            </w:r>
            <w:r>
              <w:rPr>
                <w:rFonts w:hint="eastAsia"/>
                <w:color w:val="auto"/>
              </w:rPr>
              <w:t>。</w:t>
            </w:r>
            <w:r>
              <w:rPr>
                <w:rFonts w:hint="eastAsia"/>
                <w:color w:val="auto"/>
                <w:lang w:eastAsia="zh-CN"/>
              </w:rPr>
              <w:t>条件不便利的工程区施工</w:t>
            </w:r>
            <w:r>
              <w:rPr>
                <w:color w:val="auto"/>
              </w:rPr>
              <w:t>用电采用100%的柴油发电机供电</w:t>
            </w:r>
            <w:r>
              <w:rPr>
                <w:rFonts w:hint="eastAsia"/>
                <w:color w:val="auto"/>
              </w:rPr>
              <w:t>。</w:t>
            </w:r>
          </w:p>
          <w:p w14:paraId="7BC4A01A">
            <w:pPr>
              <w:pStyle w:val="37"/>
              <w:bidi w:val="0"/>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rPr>
              <w:t>施工通讯系统</w:t>
            </w:r>
          </w:p>
          <w:p w14:paraId="73E98B75">
            <w:pPr>
              <w:pStyle w:val="37"/>
              <w:bidi w:val="0"/>
              <w:rPr>
                <w:rFonts w:hint="eastAsia"/>
                <w:color w:val="auto"/>
              </w:rPr>
            </w:pPr>
            <w:r>
              <w:rPr>
                <w:rFonts w:hint="eastAsia"/>
                <w:color w:val="auto"/>
              </w:rPr>
              <w:t>工程区已有移动通信基站，通信发达，对外及内部联系可采用移动电话进行联系</w:t>
            </w:r>
          </w:p>
          <w:p w14:paraId="6FA9E274">
            <w:pPr>
              <w:pStyle w:val="37"/>
              <w:bidi w:val="0"/>
              <w:rPr>
                <w:rFonts w:hint="eastAsia" w:eastAsia="宋体"/>
                <w:color w:val="auto"/>
                <w:lang w:eastAsia="zh-CN"/>
              </w:rPr>
            </w:pPr>
            <w:r>
              <w:rPr>
                <w:rFonts w:hint="eastAsia"/>
                <w:b/>
                <w:bCs/>
                <w:color w:val="auto"/>
                <w:lang w:val="en-US" w:eastAsia="zh-CN"/>
              </w:rPr>
              <w:t>3、</w:t>
            </w:r>
            <w:r>
              <w:rPr>
                <w:rFonts w:hint="eastAsia"/>
                <w:b/>
                <w:bCs/>
                <w:color w:val="auto"/>
              </w:rPr>
              <w:t>施工</w:t>
            </w:r>
            <w:r>
              <w:rPr>
                <w:b/>
                <w:bCs/>
                <w:color w:val="auto"/>
              </w:rPr>
              <w:t>交通运输</w:t>
            </w:r>
          </w:p>
          <w:p w14:paraId="76E23B55">
            <w:pPr>
              <w:pStyle w:val="37"/>
              <w:bidi w:val="0"/>
              <w:rPr>
                <w:rFonts w:hint="eastAsia" w:eastAsia="宋体"/>
                <w:b w:val="0"/>
                <w:bCs w:val="0"/>
                <w:color w:val="auto"/>
                <w:lang w:eastAsia="zh-CN"/>
              </w:rPr>
            </w:pPr>
            <w:r>
              <w:rPr>
                <w:rFonts w:hint="eastAsia"/>
                <w:b w:val="0"/>
                <w:bCs w:val="0"/>
                <w:color w:val="auto"/>
                <w:lang w:val="en-US" w:eastAsia="zh-CN"/>
              </w:rPr>
              <w:t>（1）</w:t>
            </w:r>
            <w:r>
              <w:rPr>
                <w:rFonts w:hint="eastAsia"/>
                <w:b w:val="0"/>
                <w:bCs w:val="0"/>
                <w:color w:val="auto"/>
                <w:lang w:eastAsia="zh-CN"/>
              </w:rPr>
              <w:t>对外交通</w:t>
            </w:r>
          </w:p>
          <w:p w14:paraId="77236CBC">
            <w:pPr>
              <w:bidi w:val="0"/>
              <w:spacing w:line="360" w:lineRule="auto"/>
              <w:ind w:left="0" w:leftChars="0"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本次芒市大河治理河段长</w:t>
            </w:r>
            <w:r>
              <w:rPr>
                <w:rFonts w:hint="default" w:ascii="Times New Roman" w:hAnsi="Times New Roman" w:eastAsia="宋体" w:cs="Times New Roman"/>
                <w:color w:val="auto"/>
                <w:sz w:val="24"/>
                <w:szCs w:val="24"/>
                <w:lang w:val="en-US" w:eastAsia="zh-CN"/>
              </w:rPr>
              <w:t>3.83km</w:t>
            </w:r>
            <w:r>
              <w:rPr>
                <w:rFonts w:hint="eastAsia" w:ascii="Times New Roman" w:hAnsi="Times New Roman" w:eastAsia="宋体" w:cs="Times New Roman"/>
                <w:color w:val="auto"/>
                <w:sz w:val="24"/>
                <w:szCs w:val="24"/>
                <w:lang w:val="en-US" w:eastAsia="zh-CN"/>
              </w:rPr>
              <w:t>。本工程对外交通方便，工程区位于芒市镇境内，至芒市距离约</w:t>
            </w:r>
            <w:r>
              <w:rPr>
                <w:rFonts w:hint="default" w:ascii="Times New Roman" w:hAnsi="Times New Roman" w:eastAsia="宋体" w:cs="Times New Roman"/>
                <w:color w:val="auto"/>
                <w:sz w:val="24"/>
                <w:szCs w:val="24"/>
                <w:lang w:val="en-US" w:eastAsia="zh-CN"/>
              </w:rPr>
              <w:t>5km</w:t>
            </w:r>
            <w:r>
              <w:rPr>
                <w:rFonts w:hint="eastAsia" w:ascii="Times New Roman" w:hAnsi="Times New Roman" w:eastAsia="宋体" w:cs="Times New Roman"/>
                <w:color w:val="auto"/>
                <w:sz w:val="24"/>
                <w:szCs w:val="24"/>
                <w:lang w:val="en-US" w:eastAsia="zh-CN"/>
              </w:rPr>
              <w:t>，芒市至保山、大理、昆明公路里 程分别为</w:t>
            </w:r>
            <w:r>
              <w:rPr>
                <w:rFonts w:hint="default" w:ascii="Times New Roman" w:hAnsi="Times New Roman" w:eastAsia="宋体" w:cs="Times New Roman"/>
                <w:color w:val="auto"/>
                <w:sz w:val="24"/>
                <w:szCs w:val="24"/>
                <w:lang w:val="en-US" w:eastAsia="zh-CN"/>
              </w:rPr>
              <w:t>150km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315km</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640km</w:t>
            </w:r>
            <w:r>
              <w:rPr>
                <w:rFonts w:hint="eastAsia" w:ascii="Times New Roman" w:hAnsi="Times New Roman" w:eastAsia="宋体" w:cs="Times New Roman"/>
                <w:color w:val="auto"/>
                <w:sz w:val="24"/>
                <w:szCs w:val="24"/>
                <w:lang w:val="en-US" w:eastAsia="zh-CN"/>
              </w:rPr>
              <w:t xml:space="preserve">，工程区交通条件一般。本次治理河道 两侧大部分有开阔地带，施工布置方便。 </w:t>
            </w:r>
          </w:p>
          <w:p w14:paraId="073A9816">
            <w:pPr>
              <w:pStyle w:val="37"/>
              <w:numPr>
                <w:ilvl w:val="0"/>
                <w:numId w:val="0"/>
              </w:numPr>
              <w:bidi w:val="0"/>
              <w:ind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（2）对内交通</w:t>
            </w:r>
          </w:p>
          <w:p w14:paraId="51A0511A">
            <w:pPr>
              <w:pStyle w:val="37"/>
              <w:numPr>
                <w:ilvl w:val="0"/>
                <w:numId w:val="0"/>
              </w:numPr>
              <w:bidi w:val="0"/>
              <w:ind w:right="0" w:righ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为满足河道开挖渣料的出渣运输及堤防填筑的场内运输等需要，在河道沿线道路不通达的河段修建约</w:t>
            </w:r>
            <w:r>
              <w:rPr>
                <w:rFonts w:hint="default" w:ascii="Times New Roman" w:hAnsi="Times New Roman" w:eastAsia="宋体" w:cs="Times New Roman"/>
                <w:color w:val="auto"/>
                <w:sz w:val="24"/>
                <w:szCs w:val="24"/>
                <w:lang w:val="en-US" w:eastAsia="zh-CN"/>
              </w:rPr>
              <w:t>5km</w:t>
            </w:r>
            <w:r>
              <w:rPr>
                <w:rFonts w:hint="eastAsia" w:ascii="Times New Roman" w:hAnsi="Times New Roman" w:eastAsia="宋体" w:cs="Times New Roman"/>
                <w:color w:val="auto"/>
                <w:sz w:val="24"/>
                <w:szCs w:val="24"/>
                <w:lang w:val="en-US" w:eastAsia="zh-CN"/>
              </w:rPr>
              <w:t>的临时便道。施工便道设计宽</w:t>
            </w:r>
            <w:r>
              <w:rPr>
                <w:rFonts w:hint="default" w:ascii="Times New Roman" w:hAnsi="Times New Roman" w:eastAsia="宋体" w:cs="Times New Roman"/>
                <w:color w:val="auto"/>
                <w:sz w:val="24"/>
                <w:szCs w:val="24"/>
                <w:lang w:val="en-US" w:eastAsia="zh-CN"/>
              </w:rPr>
              <w:t>5m</w:t>
            </w:r>
            <w:r>
              <w:rPr>
                <w:rFonts w:hint="eastAsia" w:ascii="Times New Roman" w:hAnsi="Times New Roman" w:eastAsia="宋体" w:cs="Times New Roman"/>
                <w:color w:val="auto"/>
                <w:sz w:val="24"/>
                <w:szCs w:val="24"/>
                <w:lang w:val="en-US" w:eastAsia="zh-CN"/>
              </w:rPr>
              <w:t>，布置在河堤脚外</w:t>
            </w:r>
            <w:r>
              <w:rPr>
                <w:rFonts w:hint="default" w:ascii="Times New Roman" w:hAnsi="Times New Roman" w:eastAsia="宋体" w:cs="Times New Roman"/>
                <w:color w:val="auto"/>
                <w:sz w:val="24"/>
                <w:szCs w:val="24"/>
                <w:lang w:val="en-US" w:eastAsia="zh-CN"/>
              </w:rPr>
              <w:t>1m</w:t>
            </w:r>
            <w:r>
              <w:rPr>
                <w:rFonts w:hint="eastAsia" w:ascii="Times New Roman" w:hAnsi="Times New Roman" w:eastAsia="宋体" w:cs="Times New Roman"/>
                <w:color w:val="auto"/>
                <w:sz w:val="24"/>
                <w:szCs w:val="24"/>
                <w:lang w:val="en-US" w:eastAsia="zh-CN"/>
              </w:rPr>
              <w:t>，并与现状的乡村道路相连通，保证施工方便。</w:t>
            </w:r>
          </w:p>
          <w:p w14:paraId="41CF4282">
            <w:pPr>
              <w:pStyle w:val="37"/>
              <w:numPr>
                <w:ilvl w:val="0"/>
                <w:numId w:val="0"/>
              </w:numPr>
              <w:bidi w:val="0"/>
              <w:ind w:right="0" w:rightChars="0" w:firstLine="482" w:firstLineChars="200"/>
              <w:rPr>
                <w:rFonts w:hint="eastAsia" w:eastAsia="宋体"/>
                <w:b/>
                <w:bCs/>
                <w:color w:val="auto"/>
                <w:lang w:eastAsia="zh-CN"/>
              </w:rPr>
            </w:pPr>
            <w:r>
              <w:rPr>
                <w:rFonts w:hint="eastAsia"/>
                <w:b/>
                <w:bCs/>
                <w:color w:val="auto"/>
                <w:lang w:val="en-US" w:eastAsia="zh-CN"/>
              </w:rPr>
              <w:t>三、</w:t>
            </w:r>
            <w:r>
              <w:rPr>
                <w:rFonts w:hint="eastAsia"/>
                <w:b/>
                <w:bCs/>
                <w:color w:val="auto"/>
              </w:rPr>
              <w:t>土石方平衡</w:t>
            </w:r>
            <w:r>
              <w:rPr>
                <w:rFonts w:hint="eastAsia"/>
                <w:b/>
                <w:bCs/>
                <w:color w:val="auto"/>
                <w:lang w:eastAsia="zh-CN"/>
              </w:rPr>
              <w:t>分析</w:t>
            </w:r>
          </w:p>
          <w:p w14:paraId="57EB4441">
            <w:pPr>
              <w:pStyle w:val="37"/>
              <w:bidi w:val="0"/>
              <w:rPr>
                <w:color w:val="auto"/>
              </w:rPr>
            </w:pPr>
            <w:r>
              <w:rPr>
                <w:rFonts w:hint="eastAsia"/>
                <w:b/>
                <w:bCs/>
                <w:color w:val="auto"/>
              </w:rPr>
              <w:t>分析原则及方法</w:t>
            </w:r>
            <w:r>
              <w:rPr>
                <w:rFonts w:hint="eastAsia"/>
                <w:b/>
                <w:bCs/>
                <w:color w:val="auto"/>
                <w:lang w:eastAsia="zh-CN"/>
              </w:rPr>
              <w:t>：</w:t>
            </w:r>
            <w:r>
              <w:rPr>
                <w:color w:val="auto"/>
              </w:rPr>
              <w:t>根据本项目所在区域的地形地貌、施工工序、施工进度安排等，本项目的土石方工程主要产生在项目的施工期，因此，本项目的土石方平衡分析主要针对施工期进行。施工期的土石方工程按河道治理开挖断面等进行计算。</w:t>
            </w:r>
          </w:p>
          <w:p w14:paraId="2FD86DD3">
            <w:pPr>
              <w:pStyle w:val="37"/>
              <w:numPr>
                <w:ilvl w:val="0"/>
                <w:numId w:val="0"/>
              </w:numPr>
              <w:bidi w:val="0"/>
              <w:ind w:left="-2" w:leftChars="0" w:right="0" w:rightChars="0" w:firstLine="482" w:firstLineChars="0"/>
              <w:rPr>
                <w:rFonts w:hint="eastAsia"/>
                <w:b/>
                <w:bCs/>
                <w:color w:val="auto"/>
                <w:lang w:val="en-US" w:eastAsia="zh-CN"/>
              </w:rPr>
            </w:pPr>
            <w:r>
              <w:rPr>
                <w:rFonts w:hint="eastAsia" w:ascii="Times New Roman" w:hAnsi="Times New Roman" w:eastAsia="宋体" w:cs="Times New Roman"/>
                <w:b/>
                <w:bCs/>
                <w:color w:val="auto"/>
                <w:kern w:val="0"/>
                <w:sz w:val="24"/>
                <w:szCs w:val="24"/>
                <w:lang w:val="en-US" w:eastAsia="zh-CN" w:bidi="ar-SA"/>
              </w:rPr>
              <w:t>（1）</w:t>
            </w:r>
            <w:r>
              <w:rPr>
                <w:rFonts w:hint="eastAsia"/>
                <w:b/>
                <w:bCs/>
                <w:color w:val="auto"/>
                <w:lang w:val="en-US" w:eastAsia="zh-CN"/>
              </w:rPr>
              <w:t>表土平衡分析</w:t>
            </w:r>
          </w:p>
          <w:p w14:paraId="6FDCF885">
            <w:pPr>
              <w:pStyle w:val="37"/>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right="0" w:rightChars="0" w:firstLine="480" w:firstLineChars="200"/>
              <w:jc w:val="left"/>
              <w:textAlignment w:val="baseline"/>
              <w:rPr>
                <w:rFonts w:hint="eastAsia"/>
                <w:b w:val="0"/>
                <w:bCs w:val="0"/>
                <w:color w:val="auto"/>
                <w:lang w:val="en-US" w:eastAsia="zh-CN"/>
              </w:rPr>
            </w:pPr>
            <w:r>
              <w:rPr>
                <w:rFonts w:hint="eastAsia"/>
                <w:b w:val="0"/>
                <w:bCs w:val="0"/>
                <w:color w:val="auto"/>
                <w:lang w:val="en-US" w:eastAsia="zh-CN"/>
              </w:rPr>
              <w:t>本工程总占地面积为2.14hm²，根据主体设计，本工程建设占地类型为旱地、园地、水田，表土分布范围在项目建设区，其中施工生产区现状为旱地，剥离表土面积共计0.94hm²，可剥离表土0.472万m³；临时道路区现状为水田、园地等，剥离表土面积共计1.20hm²，可剥离表土0.514万m³。可剥离表土厚度按照工程实际情况而定取平均剥离厚度30cm，可剥离表土量共计0.986万m³，可利用表土量为0.986万m³。将剥离的表土全部用于后期施工生产生活区、临时道路区的绿化覆土。</w:t>
            </w:r>
          </w:p>
          <w:p w14:paraId="1B482DFD">
            <w:pPr>
              <w:pStyle w:val="37"/>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right="0" w:rightChars="0" w:firstLine="480" w:firstLineChars="200"/>
              <w:jc w:val="both"/>
              <w:textAlignment w:val="baseline"/>
              <w:rPr>
                <w:rFonts w:hint="default"/>
                <w:b w:val="0"/>
                <w:bCs w:val="0"/>
                <w:color w:val="auto"/>
                <w:lang w:val="en-US" w:eastAsia="zh-CN"/>
              </w:rPr>
            </w:pPr>
            <w:r>
              <w:rPr>
                <w:rFonts w:hint="eastAsia"/>
                <w:b w:val="0"/>
                <w:bCs w:val="0"/>
                <w:color w:val="auto"/>
                <w:lang w:val="en-US" w:eastAsia="zh-CN"/>
              </w:rPr>
              <w:t>（2）土石方平衡分析</w:t>
            </w:r>
          </w:p>
          <w:p w14:paraId="4B9A1947">
            <w:pPr>
              <w:pStyle w:val="37"/>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right="0" w:rightChars="0" w:firstLine="480" w:firstLineChars="200"/>
              <w:jc w:val="both"/>
              <w:textAlignment w:val="baseline"/>
              <w:rPr>
                <w:rFonts w:hint="eastAsia"/>
                <w:b w:val="0"/>
                <w:bCs w:val="0"/>
                <w:color w:val="auto"/>
                <w:lang w:val="en-US" w:eastAsia="zh-CN"/>
              </w:rPr>
            </w:pPr>
            <w:r>
              <w:rPr>
                <w:rFonts w:hint="eastAsia"/>
                <w:b w:val="0"/>
                <w:bCs w:val="0"/>
                <w:color w:val="auto"/>
                <w:lang w:val="en-US" w:eastAsia="zh-CN"/>
              </w:rPr>
              <w:t xml:space="preserve">芒市大河新桥电站至洞坎大桥段河道治理工程施工土石方平衡分析包 括堤防建设区、施工生产生活区、临时道路区。土石方平衡涉及项目包括土方开挖、石方开挖和开挖料回填等。 </w:t>
            </w:r>
          </w:p>
          <w:p w14:paraId="3D75FB18">
            <w:pPr>
              <w:pStyle w:val="37"/>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right="0" w:rightChars="0" w:firstLine="480" w:firstLineChars="200"/>
              <w:jc w:val="both"/>
              <w:textAlignment w:val="baseline"/>
              <w:rPr>
                <w:rFonts w:hint="eastAsia"/>
                <w:b w:val="0"/>
                <w:bCs w:val="0"/>
                <w:color w:val="auto"/>
                <w:lang w:val="en-US" w:eastAsia="zh-CN"/>
              </w:rPr>
            </w:pPr>
            <w:r>
              <w:rPr>
                <w:rFonts w:hint="eastAsia"/>
                <w:b w:val="0"/>
                <w:bCs w:val="0"/>
                <w:color w:val="auto"/>
                <w:lang w:val="en-US" w:eastAsia="zh-CN"/>
              </w:rPr>
              <w:t>芒市大河新桥电站至洞坎大桥段河道治理工程施工土石方开挖35116.35 m³（包括砂砾土25249.68 m³和表土9866.67 m³），综合回填利用土石方35116.34 m³（其中建筑物回填25249.68 m³，表土利用9866.67 m³），产生弃渣0m³。</w:t>
            </w:r>
          </w:p>
          <w:p w14:paraId="246FC6EF">
            <w:pPr>
              <w:pStyle w:val="37"/>
              <w:bidi w:val="0"/>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表2-5 土石方平衡及弃渣流向表单位：（m³）</w:t>
            </w:r>
          </w:p>
          <w:tbl>
            <w:tblPr>
              <w:tblStyle w:val="23"/>
              <w:tblW w:w="0" w:type="auto"/>
              <w:tblInd w:w="-3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158"/>
              <w:gridCol w:w="713"/>
              <w:gridCol w:w="633"/>
              <w:gridCol w:w="714"/>
              <w:gridCol w:w="714"/>
              <w:gridCol w:w="634"/>
              <w:gridCol w:w="714"/>
              <w:gridCol w:w="433"/>
              <w:gridCol w:w="433"/>
              <w:gridCol w:w="433"/>
              <w:gridCol w:w="433"/>
              <w:gridCol w:w="433"/>
              <w:gridCol w:w="433"/>
            </w:tblGrid>
            <w:tr w14:paraId="26D91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vMerge w:val="restart"/>
                  <w:shd w:val="clear" w:color="auto" w:fill="auto"/>
                  <w:noWrap/>
                  <w:vAlign w:val="center"/>
                </w:tcPr>
                <w:p w14:paraId="461BB60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分区</w:t>
                  </w:r>
                </w:p>
              </w:tc>
              <w:tc>
                <w:tcPr>
                  <w:tcW w:w="0" w:type="auto"/>
                  <w:gridSpan w:val="3"/>
                  <w:shd w:val="clear" w:color="auto" w:fill="auto"/>
                  <w:noWrap/>
                  <w:vAlign w:val="center"/>
                </w:tcPr>
                <w:p w14:paraId="0AFC0C6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挖方</w:t>
                  </w:r>
                </w:p>
              </w:tc>
              <w:tc>
                <w:tcPr>
                  <w:tcW w:w="0" w:type="auto"/>
                  <w:gridSpan w:val="3"/>
                  <w:shd w:val="clear" w:color="auto" w:fill="auto"/>
                  <w:noWrap/>
                  <w:vAlign w:val="center"/>
                </w:tcPr>
                <w:p w14:paraId="065A33C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回填</w:t>
                  </w:r>
                </w:p>
              </w:tc>
              <w:tc>
                <w:tcPr>
                  <w:tcW w:w="0" w:type="auto"/>
                  <w:gridSpan w:val="2"/>
                  <w:shd w:val="clear" w:color="auto" w:fill="auto"/>
                  <w:noWrap/>
                  <w:vAlign w:val="center"/>
                </w:tcPr>
                <w:p w14:paraId="590CC33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调入</w:t>
                  </w:r>
                </w:p>
              </w:tc>
              <w:tc>
                <w:tcPr>
                  <w:tcW w:w="0" w:type="auto"/>
                  <w:gridSpan w:val="2"/>
                  <w:shd w:val="clear" w:color="auto" w:fill="auto"/>
                  <w:noWrap/>
                  <w:vAlign w:val="center"/>
                </w:tcPr>
                <w:p w14:paraId="7449854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调出</w:t>
                  </w:r>
                </w:p>
              </w:tc>
              <w:tc>
                <w:tcPr>
                  <w:tcW w:w="0" w:type="auto"/>
                  <w:gridSpan w:val="2"/>
                  <w:shd w:val="clear" w:color="auto" w:fill="auto"/>
                  <w:noWrap/>
                  <w:vAlign w:val="center"/>
                </w:tcPr>
                <w:p w14:paraId="2E6589F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余方</w:t>
                  </w:r>
                </w:p>
              </w:tc>
            </w:tr>
            <w:tr w14:paraId="3AEF46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vMerge w:val="continue"/>
                  <w:vAlign w:val="center"/>
                </w:tcPr>
                <w:p w14:paraId="7FC90E6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786EA66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土石方</w:t>
                  </w:r>
                </w:p>
              </w:tc>
              <w:tc>
                <w:tcPr>
                  <w:tcW w:w="0" w:type="auto"/>
                  <w:shd w:val="clear" w:color="auto" w:fill="auto"/>
                  <w:noWrap/>
                  <w:vAlign w:val="center"/>
                </w:tcPr>
                <w:p w14:paraId="7B5B6A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表土</w:t>
                  </w:r>
                </w:p>
              </w:tc>
              <w:tc>
                <w:tcPr>
                  <w:tcW w:w="0" w:type="auto"/>
                  <w:shd w:val="clear" w:color="auto" w:fill="auto"/>
                  <w:noWrap/>
                  <w:vAlign w:val="center"/>
                </w:tcPr>
                <w:p w14:paraId="7FBA9C2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小计</w:t>
                  </w:r>
                </w:p>
              </w:tc>
              <w:tc>
                <w:tcPr>
                  <w:tcW w:w="0" w:type="auto"/>
                  <w:shd w:val="clear" w:color="auto" w:fill="auto"/>
                  <w:noWrap/>
                  <w:vAlign w:val="center"/>
                </w:tcPr>
                <w:p w14:paraId="124D3218">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土石方</w:t>
                  </w:r>
                </w:p>
              </w:tc>
              <w:tc>
                <w:tcPr>
                  <w:tcW w:w="0" w:type="auto"/>
                  <w:shd w:val="clear" w:color="auto" w:fill="auto"/>
                  <w:noWrap/>
                  <w:vAlign w:val="center"/>
                </w:tcPr>
                <w:p w14:paraId="1104C9BF">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表土</w:t>
                  </w:r>
                </w:p>
              </w:tc>
              <w:tc>
                <w:tcPr>
                  <w:tcW w:w="0" w:type="auto"/>
                  <w:shd w:val="clear" w:color="auto" w:fill="auto"/>
                  <w:noWrap/>
                  <w:vAlign w:val="center"/>
                </w:tcPr>
                <w:p w14:paraId="36AC4324">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小计</w:t>
                  </w:r>
                </w:p>
              </w:tc>
              <w:tc>
                <w:tcPr>
                  <w:tcW w:w="0" w:type="auto"/>
                  <w:shd w:val="clear" w:color="auto" w:fill="auto"/>
                  <w:noWrap/>
                  <w:vAlign w:val="center"/>
                </w:tcPr>
                <w:p w14:paraId="6D316A7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数量</w:t>
                  </w:r>
                </w:p>
              </w:tc>
              <w:tc>
                <w:tcPr>
                  <w:tcW w:w="0" w:type="auto"/>
                  <w:shd w:val="clear" w:color="auto" w:fill="auto"/>
                  <w:noWrap/>
                  <w:vAlign w:val="center"/>
                </w:tcPr>
                <w:p w14:paraId="03F437B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来源</w:t>
                  </w:r>
                </w:p>
              </w:tc>
              <w:tc>
                <w:tcPr>
                  <w:tcW w:w="0" w:type="auto"/>
                  <w:shd w:val="clear" w:color="auto" w:fill="auto"/>
                  <w:noWrap/>
                  <w:vAlign w:val="center"/>
                </w:tcPr>
                <w:p w14:paraId="3337101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数量</w:t>
                  </w:r>
                </w:p>
              </w:tc>
              <w:tc>
                <w:tcPr>
                  <w:tcW w:w="0" w:type="auto"/>
                  <w:shd w:val="clear" w:color="auto" w:fill="auto"/>
                  <w:noWrap/>
                  <w:vAlign w:val="center"/>
                </w:tcPr>
                <w:p w14:paraId="12ED0B1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去向</w:t>
                  </w:r>
                </w:p>
              </w:tc>
              <w:tc>
                <w:tcPr>
                  <w:tcW w:w="0" w:type="auto"/>
                  <w:shd w:val="clear" w:color="auto" w:fill="auto"/>
                  <w:noWrap/>
                  <w:vAlign w:val="center"/>
                </w:tcPr>
                <w:p w14:paraId="1766AC8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数量</w:t>
                  </w:r>
                </w:p>
              </w:tc>
              <w:tc>
                <w:tcPr>
                  <w:tcW w:w="0" w:type="auto"/>
                  <w:shd w:val="clear" w:color="auto" w:fill="auto"/>
                  <w:noWrap/>
                  <w:vAlign w:val="center"/>
                </w:tcPr>
                <w:p w14:paraId="79447D3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去向</w:t>
                  </w:r>
                </w:p>
              </w:tc>
            </w:tr>
            <w:tr w14:paraId="52C857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shd w:val="clear" w:color="auto" w:fill="auto"/>
                  <w:noWrap/>
                  <w:vAlign w:val="center"/>
                </w:tcPr>
                <w:p w14:paraId="2F7FC290">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spacing w:val="-2"/>
                      <w:sz w:val="21"/>
                      <w:szCs w:val="21"/>
                    </w:rPr>
                    <w:t>工程建设区</w:t>
                  </w:r>
                </w:p>
              </w:tc>
              <w:tc>
                <w:tcPr>
                  <w:tcW w:w="0" w:type="auto"/>
                  <w:shd w:val="clear" w:color="auto" w:fill="auto"/>
                  <w:noWrap/>
                  <w:vAlign w:val="center"/>
                </w:tcPr>
                <w:p w14:paraId="1AD9AB2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2C2859C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321788A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0" w:type="auto"/>
                  <w:shd w:val="clear" w:color="auto" w:fill="auto"/>
                  <w:noWrap/>
                  <w:vAlign w:val="center"/>
                </w:tcPr>
                <w:p w14:paraId="49B8D05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2E3609D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0411242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0B4EDB4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3B681C3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0" w:type="auto"/>
                  <w:shd w:val="clear" w:color="auto" w:fill="auto"/>
                  <w:noWrap/>
                  <w:vAlign w:val="center"/>
                </w:tcPr>
                <w:p w14:paraId="136F745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241D15F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6A9DADB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54BFEA6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255DDFC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70BFC7D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1B83A9B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2D1B5AD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r>
            <w:tr w14:paraId="1FAEF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shd w:val="clear" w:color="auto" w:fill="auto"/>
                  <w:noWrap/>
                  <w:vAlign w:val="center"/>
                </w:tcPr>
                <w:p w14:paraId="7DA8BC17">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spacing w:val="-1"/>
                      <w:sz w:val="21"/>
                      <w:szCs w:val="21"/>
                    </w:rPr>
                    <w:t>施工临时道路区</w:t>
                  </w:r>
                </w:p>
              </w:tc>
              <w:tc>
                <w:tcPr>
                  <w:tcW w:w="0" w:type="auto"/>
                  <w:shd w:val="clear" w:color="auto" w:fill="auto"/>
                  <w:noWrap/>
                  <w:vAlign w:val="center"/>
                </w:tcPr>
                <w:p w14:paraId="01F2420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2EBBB71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5143.33</w:t>
                  </w:r>
                </w:p>
              </w:tc>
              <w:tc>
                <w:tcPr>
                  <w:tcW w:w="0" w:type="auto"/>
                  <w:shd w:val="clear" w:color="auto" w:fill="auto"/>
                  <w:noWrap/>
                  <w:vAlign w:val="center"/>
                </w:tcPr>
                <w:p w14:paraId="0E0CC06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5143.33</w:t>
                  </w:r>
                </w:p>
              </w:tc>
              <w:tc>
                <w:tcPr>
                  <w:tcW w:w="0" w:type="auto"/>
                  <w:shd w:val="clear" w:color="auto" w:fill="auto"/>
                  <w:noWrap/>
                  <w:vAlign w:val="center"/>
                </w:tcPr>
                <w:p w14:paraId="004B39B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734209F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5143.33</w:t>
                  </w:r>
                </w:p>
              </w:tc>
              <w:tc>
                <w:tcPr>
                  <w:tcW w:w="0" w:type="auto"/>
                  <w:shd w:val="clear" w:color="auto" w:fill="auto"/>
                  <w:noWrap/>
                  <w:vAlign w:val="center"/>
                </w:tcPr>
                <w:p w14:paraId="2F162AC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5143.33</w:t>
                  </w:r>
                </w:p>
              </w:tc>
              <w:tc>
                <w:tcPr>
                  <w:tcW w:w="0" w:type="auto"/>
                  <w:shd w:val="clear" w:color="auto" w:fill="auto"/>
                  <w:noWrap/>
                  <w:vAlign w:val="center"/>
                </w:tcPr>
                <w:p w14:paraId="3E132E6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2A0FC33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1FA2FBB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003F2A1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684119B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vMerge w:val="restart"/>
                  <w:shd w:val="clear" w:color="auto" w:fill="auto"/>
                  <w:noWrap/>
                  <w:vAlign w:val="center"/>
                </w:tcPr>
                <w:p w14:paraId="6D3A401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r>
            <w:tr w14:paraId="25954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shd w:val="clear" w:color="auto" w:fill="auto"/>
                  <w:noWrap/>
                  <w:vAlign w:val="center"/>
                </w:tcPr>
                <w:p w14:paraId="520B480F">
                  <w:pPr>
                    <w:pStyle w:val="6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lang w:val="en-US" w:eastAsia="zh-CN"/>
                    </w:rPr>
                  </w:pPr>
                  <w:r>
                    <w:rPr>
                      <w:spacing w:val="-2"/>
                      <w:sz w:val="21"/>
                      <w:szCs w:val="21"/>
                    </w:rPr>
                    <w:t>施工</w:t>
                  </w:r>
                  <w:r>
                    <w:rPr>
                      <w:rFonts w:hint="eastAsia"/>
                      <w:spacing w:val="-2"/>
                      <w:sz w:val="21"/>
                      <w:szCs w:val="21"/>
                      <w:lang w:eastAsia="zh-CN"/>
                    </w:rPr>
                    <w:t>生产</w:t>
                  </w:r>
                  <w:r>
                    <w:rPr>
                      <w:spacing w:val="-2"/>
                      <w:sz w:val="21"/>
                      <w:szCs w:val="21"/>
                    </w:rPr>
                    <w:t>区</w:t>
                  </w:r>
                </w:p>
              </w:tc>
              <w:tc>
                <w:tcPr>
                  <w:tcW w:w="0" w:type="auto"/>
                  <w:shd w:val="clear" w:color="auto" w:fill="auto"/>
                  <w:noWrap/>
                  <w:vAlign w:val="center"/>
                </w:tcPr>
                <w:p w14:paraId="64C7A07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30A6794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4723.33</w:t>
                  </w:r>
                </w:p>
                <w:p w14:paraId="6E8FC9A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3801169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4723.33</w:t>
                  </w:r>
                </w:p>
                <w:p w14:paraId="415C994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78D57EF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3B7937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4723.33</w:t>
                  </w:r>
                </w:p>
                <w:p w14:paraId="6FC7D3E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105707D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4723.33</w:t>
                  </w:r>
                </w:p>
                <w:p w14:paraId="6E60D7C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2E6DB3F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79AAF13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71E90B2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6EAC9E8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3FD1225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vMerge w:val="continue"/>
                  <w:shd w:val="clear" w:color="auto" w:fill="auto"/>
                  <w:noWrap/>
                  <w:vAlign w:val="center"/>
                </w:tcPr>
                <w:p w14:paraId="7401F04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r>
            <w:tr w14:paraId="0818E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85" w:hRule="atLeast"/>
              </w:trPr>
              <w:tc>
                <w:tcPr>
                  <w:tcW w:w="0" w:type="auto"/>
                  <w:shd w:val="clear" w:color="auto" w:fill="auto"/>
                  <w:noWrap/>
                  <w:vAlign w:val="center"/>
                </w:tcPr>
                <w:p w14:paraId="09D3C3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合计</w:t>
                  </w:r>
                </w:p>
              </w:tc>
              <w:tc>
                <w:tcPr>
                  <w:tcW w:w="0" w:type="auto"/>
                  <w:shd w:val="clear" w:color="auto" w:fill="auto"/>
                  <w:noWrap/>
                  <w:vAlign w:val="center"/>
                </w:tcPr>
                <w:p w14:paraId="0E0F519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53D6CAD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3A39E07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9866.67</w:t>
                  </w:r>
                </w:p>
                <w:p w14:paraId="6640F5C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58B81FA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35116.35</w:t>
                  </w:r>
                </w:p>
                <w:p w14:paraId="35E1FF8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357F577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25249.68</w:t>
                  </w:r>
                </w:p>
                <w:p w14:paraId="41BF8B5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69DB457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9866.67</w:t>
                  </w:r>
                </w:p>
                <w:p w14:paraId="6798A3F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6274763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35116.34</w:t>
                  </w:r>
                </w:p>
                <w:p w14:paraId="0B9B5BB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0" w:type="auto"/>
                  <w:shd w:val="clear" w:color="auto" w:fill="auto"/>
                  <w:noWrap/>
                  <w:vAlign w:val="center"/>
                </w:tcPr>
                <w:p w14:paraId="6660DBF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6222CE4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439920C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6FA24CB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2A3F886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c>
                <w:tcPr>
                  <w:tcW w:w="0" w:type="auto"/>
                  <w:shd w:val="clear" w:color="auto" w:fill="auto"/>
                  <w:noWrap/>
                  <w:vAlign w:val="center"/>
                </w:tcPr>
                <w:p w14:paraId="107D492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w:t>
                  </w:r>
                </w:p>
              </w:tc>
            </w:tr>
          </w:tbl>
          <w:p w14:paraId="7E8C6D2B">
            <w:pPr>
              <w:pStyle w:val="37"/>
              <w:bidi w:val="0"/>
              <w:ind w:left="0" w:leftChars="0" w:firstLine="0" w:firstLineChars="0"/>
              <w:rPr>
                <w:rFonts w:hint="eastAsia" w:eastAsia="宋体"/>
                <w:color w:val="auto"/>
                <w:lang w:val="en-US" w:eastAsia="zh-CN"/>
              </w:rPr>
            </w:pPr>
          </w:p>
        </w:tc>
      </w:tr>
      <w:tr w14:paraId="5FD4B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345" w:type="pct"/>
            <w:vAlign w:val="center"/>
          </w:tcPr>
          <w:p w14:paraId="04E78DED">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rPr>
            </w:pPr>
            <w:r>
              <w:rPr>
                <w:rFonts w:hint="default"/>
                <w:color w:val="auto"/>
              </w:rPr>
              <w:t>施工方案</w:t>
            </w:r>
          </w:p>
        </w:tc>
        <w:tc>
          <w:tcPr>
            <w:tcW w:w="4654" w:type="pct"/>
            <w:vAlign w:val="center"/>
          </w:tcPr>
          <w:p w14:paraId="09511293">
            <w:pPr>
              <w:pStyle w:val="37"/>
              <w:numPr>
                <w:ilvl w:val="0"/>
                <w:numId w:val="0"/>
              </w:numPr>
              <w:bidi w:val="0"/>
              <w:ind w:left="0" w:leftChars="0" w:right="0" w:rightChars="0" w:firstLine="482" w:firstLineChars="200"/>
              <w:rPr>
                <w:rFonts w:hint="eastAsia"/>
                <w:b/>
                <w:bCs/>
                <w:lang w:eastAsia="zh-CN"/>
              </w:rPr>
            </w:pPr>
            <w:r>
              <w:rPr>
                <w:rFonts w:hint="eastAsia"/>
                <w:b/>
                <w:bCs/>
                <w:lang w:val="en-US" w:eastAsia="zh-CN"/>
              </w:rPr>
              <w:t>一、</w:t>
            </w:r>
            <w:r>
              <w:rPr>
                <w:rFonts w:hint="eastAsia"/>
                <w:b/>
                <w:bCs/>
                <w:lang w:eastAsia="zh-CN"/>
              </w:rPr>
              <w:t>施工导流</w:t>
            </w:r>
          </w:p>
          <w:p w14:paraId="7D580879">
            <w:pPr>
              <w:ind w:firstLine="480"/>
              <w:rPr>
                <w:rFonts w:hint="eastAsia"/>
              </w:rPr>
            </w:pPr>
            <w:r>
              <w:rPr>
                <w:rFonts w:hint="eastAsia"/>
              </w:rPr>
              <w:t>钢筋石笼护岸施工可在水下作业完成，施工期为枯水期，无需施工导流。</w:t>
            </w:r>
          </w:p>
          <w:p w14:paraId="03F2086F">
            <w:pPr>
              <w:pStyle w:val="37"/>
              <w:bidi w:val="0"/>
              <w:rPr>
                <w:rFonts w:hint="eastAsia"/>
                <w:b/>
                <w:bCs/>
                <w:lang w:val="en-US" w:eastAsia="zh-CN"/>
              </w:rPr>
            </w:pPr>
            <w:r>
              <w:rPr>
                <w:rFonts w:hint="eastAsia"/>
                <w:b/>
                <w:bCs/>
                <w:lang w:val="en-US" w:eastAsia="zh-CN"/>
              </w:rPr>
              <w:t>二、场内道路施工</w:t>
            </w:r>
          </w:p>
          <w:p w14:paraId="3E48BB4C">
            <w:pPr>
              <w:spacing w:line="360" w:lineRule="auto"/>
              <w:ind w:firstLine="480" w:firstLineChars="200"/>
              <w:rPr>
                <w:rFonts w:hint="default"/>
                <w:lang w:val="en-US" w:eastAsia="zh-CN"/>
              </w:rPr>
            </w:pPr>
            <w:r>
              <w:rPr>
                <w:rFonts w:hint="default"/>
                <w:lang w:val="en-US" w:eastAsia="zh-CN"/>
              </w:rPr>
              <w:t>场内道路的施工主要以土石方开挖为主，填筑其次，首先，由人工配合机械设备清除路基面上表土、杂物，然后，及时施工下挡墙、护脚墙，为路基填土、填石渣做准备。挖方地段要按设计要求，提前施工作好坡顶截水沟，以防止雨水损坏边坡。采用挖掘机或装载机装土，自卸汽车运土，推土机摊铺，人工配合平地机整平，振动压路机碾压密实。</w:t>
            </w:r>
          </w:p>
          <w:p w14:paraId="0FD70AFA">
            <w:pPr>
              <w:pStyle w:val="37"/>
              <w:bidi w:val="0"/>
              <w:ind w:left="0" w:leftChars="0" w:firstLine="0" w:firstLineChars="0"/>
              <w:rPr>
                <w:rFonts w:hint="eastAsia"/>
                <w:lang w:val="en-US" w:eastAsia="zh-CN"/>
              </w:rPr>
            </w:pPr>
            <w:r>
              <w:rPr>
                <w:rFonts w:hint="default"/>
              </w:rPr>
              <w:object>
                <v:shape id="_x0000_i1025" o:spt="75" type="#_x0000_t75" style="height:69.2pt;width:395.0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6FBC6C49">
            <w:pPr>
              <w:pStyle w:val="37"/>
              <w:bidi w:val="0"/>
              <w:jc w:val="center"/>
              <w:rPr>
                <w:rFonts w:hint="default"/>
                <w:b/>
                <w:bCs/>
                <w:lang w:val="en-US" w:eastAsia="zh-CN"/>
              </w:rPr>
            </w:pPr>
            <w:r>
              <w:rPr>
                <w:rFonts w:hint="eastAsia"/>
                <w:b/>
                <w:bCs/>
                <w:lang w:val="en-US" w:eastAsia="zh-CN"/>
              </w:rPr>
              <w:t>图</w:t>
            </w:r>
            <w:r>
              <w:rPr>
                <w:rFonts w:hint="eastAsia" w:ascii="Times New Roman" w:hAnsi="Times New Roman" w:eastAsia="宋体" w:cs="Times New Roman"/>
                <w:b/>
                <w:bCs/>
                <w:lang w:val="en-US" w:eastAsia="zh-CN"/>
              </w:rPr>
              <w:t>2-2 临时道路施工</w:t>
            </w:r>
            <w:r>
              <w:rPr>
                <w:rFonts w:hint="default" w:ascii="Times New Roman" w:hAnsi="Times New Roman" w:eastAsia="宋体" w:cs="Times New Roman"/>
                <w:b/>
                <w:bCs/>
                <w:lang w:val="en-US" w:eastAsia="zh-CN"/>
              </w:rPr>
              <w:t>工艺流程及产污节点</w:t>
            </w:r>
          </w:p>
          <w:p w14:paraId="30D38518">
            <w:pPr>
              <w:pStyle w:val="37"/>
              <w:bidi w:val="0"/>
              <w:rPr>
                <w:rFonts w:hint="eastAsia"/>
                <w:b/>
                <w:bCs/>
              </w:rPr>
            </w:pPr>
            <w:r>
              <w:rPr>
                <w:rFonts w:hint="eastAsia"/>
                <w:b/>
                <w:bCs/>
                <w:lang w:val="en-US" w:eastAsia="zh-CN"/>
              </w:rPr>
              <w:t>三、</w:t>
            </w:r>
            <w:r>
              <w:rPr>
                <w:rFonts w:hint="eastAsia"/>
                <w:b/>
                <w:bCs/>
              </w:rPr>
              <w:t>主体工程施工</w:t>
            </w:r>
          </w:p>
          <w:p w14:paraId="38CAC59E">
            <w:pPr>
              <w:pStyle w:val="37"/>
              <w:bidi w:val="0"/>
              <w:rPr>
                <w:rFonts w:hint="default"/>
                <w:lang w:val="en-US" w:eastAsia="zh-CN"/>
              </w:rPr>
            </w:pPr>
            <w:bookmarkStart w:id="10" w:name="_Toc500951642"/>
            <w:bookmarkStart w:id="11" w:name="_Toc319744880"/>
            <w:bookmarkStart w:id="12" w:name="_Toc324803789"/>
            <w:bookmarkStart w:id="13" w:name="_Toc367214098"/>
            <w:bookmarkStart w:id="14" w:name="_Toc372299520"/>
            <w:bookmarkStart w:id="15" w:name="_Toc100225066"/>
            <w:bookmarkStart w:id="16" w:name="_Toc370827976"/>
            <w:bookmarkStart w:id="17" w:name="_Toc246063694"/>
            <w:bookmarkStart w:id="18" w:name="_Toc245692466"/>
            <w:bookmarkStart w:id="19" w:name="_Toc246063992"/>
            <w:r>
              <w:rPr>
                <w:rFonts w:hint="eastAsia"/>
                <w:lang w:val="en-US" w:eastAsia="zh-CN"/>
              </w:rPr>
              <w:t>芒市大河新桥电站至洞坎大桥段河道治理工程</w:t>
            </w:r>
            <w:r>
              <w:rPr>
                <w:rFonts w:hint="eastAsia"/>
              </w:rPr>
              <w:t>施工项目主要包括钢筋石笼护岸工程、</w:t>
            </w:r>
            <w:r>
              <w:rPr>
                <w:rFonts w:hint="eastAsia"/>
                <w:lang w:val="en-US" w:eastAsia="zh-CN"/>
              </w:rPr>
              <w:t>亲水踏步建设以及警示牌安装</w:t>
            </w:r>
            <w:r>
              <w:rPr>
                <w:rFonts w:hint="eastAsia"/>
              </w:rPr>
              <w:t>工程。根据治理河段工程布置特点和工程施工条件，采取先主体后附属，先水下后水上的施工程序，主次分明、突出重点、统筹兼顾的施工程序。即按先完成临建工程，再进行主体工程施工，其次完成附属配套工程。</w:t>
            </w:r>
          </w:p>
          <w:p w14:paraId="696870B5">
            <w:pPr>
              <w:pStyle w:val="13"/>
              <w:numPr>
                <w:ilvl w:val="0"/>
                <w:numId w:val="0"/>
              </w:numPr>
              <w:spacing w:line="360" w:lineRule="auto"/>
              <w:ind w:right="0" w:rightChars="0" w:firstLine="480" w:firstLineChars="200"/>
              <w:rPr>
                <w:rFonts w:hint="default"/>
                <w:lang w:val="en-US" w:eastAsia="zh-CN"/>
              </w:rPr>
            </w:pPr>
            <w:r>
              <w:rPr>
                <w:rFonts w:hint="default"/>
                <w:lang w:val="en-US" w:eastAsia="zh-CN"/>
              </w:rPr>
              <w:t>主要施工工艺流程及产污节点详见下图：</w:t>
            </w:r>
          </w:p>
          <w:p w14:paraId="1D993B23">
            <w:pPr>
              <w:pStyle w:val="37"/>
              <w:bidi w:val="0"/>
              <w:ind w:left="0" w:leftChars="0" w:firstLine="0" w:firstLineChars="0"/>
              <w:rPr>
                <w:rFonts w:hint="eastAsia"/>
              </w:rPr>
            </w:pPr>
            <w:r>
              <w:drawing>
                <wp:inline distT="0" distB="0" distL="114300" distR="114300">
                  <wp:extent cx="5059045" cy="1018540"/>
                  <wp:effectExtent l="0" t="0" r="825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059045" cy="1018540"/>
                          </a:xfrm>
                          <a:prstGeom prst="rect">
                            <a:avLst/>
                          </a:prstGeom>
                          <a:noFill/>
                          <a:ln>
                            <a:noFill/>
                          </a:ln>
                        </pic:spPr>
                      </pic:pic>
                    </a:graphicData>
                  </a:graphic>
                </wp:inline>
              </w:drawing>
            </w:r>
          </w:p>
          <w:p w14:paraId="2280007B">
            <w:pPr>
              <w:pStyle w:val="13"/>
              <w:numPr>
                <w:ilvl w:val="0"/>
                <w:numId w:val="0"/>
              </w:numPr>
              <w:spacing w:line="360" w:lineRule="auto"/>
              <w:ind w:right="0" w:rightChars="0" w:firstLine="482" w:firstLineChars="200"/>
              <w:jc w:val="center"/>
              <w:rPr>
                <w:rFonts w:hint="default"/>
                <w:b/>
                <w:bCs/>
                <w:lang w:val="en-US" w:eastAsia="zh-CN"/>
              </w:rPr>
            </w:pPr>
            <w:r>
              <w:rPr>
                <w:rFonts w:hint="default"/>
                <w:b/>
                <w:bCs/>
                <w:lang w:val="en-US" w:eastAsia="zh-CN"/>
              </w:rPr>
              <w:t>图2-</w:t>
            </w:r>
            <w:r>
              <w:rPr>
                <w:rFonts w:hint="eastAsia"/>
                <w:b/>
                <w:bCs/>
                <w:lang w:val="en-US" w:eastAsia="zh-CN"/>
              </w:rPr>
              <w:t>3</w:t>
            </w:r>
            <w:r>
              <w:rPr>
                <w:rFonts w:hint="default"/>
                <w:b/>
                <w:bCs/>
                <w:lang w:val="en-US" w:eastAsia="zh-CN"/>
              </w:rPr>
              <w:t xml:space="preserve">  项目施工期工艺流程及产污节点</w:t>
            </w:r>
          </w:p>
          <w:p w14:paraId="4679B0BC">
            <w:pPr>
              <w:pStyle w:val="37"/>
              <w:bidi w:val="0"/>
              <w:rPr>
                <w:rFonts w:hint="default"/>
                <w:lang w:val="en-US" w:eastAsia="zh-CN"/>
              </w:rPr>
            </w:pPr>
            <w:r>
              <w:rPr>
                <w:rFonts w:hint="eastAsia"/>
                <w:lang w:val="en-US" w:eastAsia="zh-CN"/>
              </w:rPr>
              <w:t>1、施工道路建设</w:t>
            </w:r>
          </w:p>
          <w:p w14:paraId="480826FB">
            <w:pPr>
              <w:pStyle w:val="37"/>
              <w:bidi w:val="0"/>
              <w:rPr>
                <w:rFonts w:hint="eastAsia"/>
                <w:lang w:eastAsia="zh-CN"/>
              </w:rPr>
            </w:pPr>
            <w:r>
              <w:rPr>
                <w:rFonts w:hint="eastAsia"/>
                <w:lang w:val="en-US" w:eastAsia="zh-CN"/>
              </w:rPr>
              <w:t>1、</w:t>
            </w:r>
            <w:bookmarkEnd w:id="10"/>
            <w:bookmarkEnd w:id="11"/>
            <w:bookmarkEnd w:id="12"/>
            <w:bookmarkEnd w:id="13"/>
            <w:bookmarkEnd w:id="14"/>
            <w:bookmarkEnd w:id="15"/>
            <w:bookmarkEnd w:id="16"/>
            <w:r>
              <w:rPr>
                <w:rFonts w:hint="eastAsia"/>
                <w:lang w:eastAsia="zh-CN"/>
              </w:rPr>
              <w:t>土石方开挖</w:t>
            </w:r>
          </w:p>
          <w:p w14:paraId="03C0D3A8">
            <w:pPr>
              <w:pStyle w:val="37"/>
              <w:bidi w:val="0"/>
              <w:rPr>
                <w:rFonts w:hint="eastAsia"/>
              </w:rPr>
            </w:pPr>
            <w:bookmarkStart w:id="20" w:name="_Toc100225067"/>
            <w:bookmarkStart w:id="21" w:name="_Toc370827977"/>
            <w:bookmarkStart w:id="22" w:name="_Toc319744881"/>
            <w:bookmarkStart w:id="23" w:name="_Toc367214099"/>
            <w:bookmarkStart w:id="24" w:name="_Toc324803790"/>
            <w:bookmarkStart w:id="25" w:name="_Toc372299521"/>
            <w:bookmarkStart w:id="26" w:name="_Toc500951643"/>
            <w:r>
              <w:rPr>
                <w:rFonts w:hint="eastAsia"/>
              </w:rPr>
              <w:t>按测量放线范围进行开挖，土石方开挖尽量采用机械结合人工挖掘，对开挖的土方需利用的部分，临时堆放在施工区边沿合适位置，对表面的腐植土等可作为耕植的土料单独存放。</w:t>
            </w:r>
          </w:p>
          <w:p w14:paraId="671D8030">
            <w:pPr>
              <w:pStyle w:val="37"/>
              <w:bidi w:val="0"/>
              <w:rPr>
                <w:rFonts w:hint="default"/>
                <w:lang w:val="en-US" w:eastAsia="zh-CN"/>
              </w:rPr>
            </w:pPr>
            <w:r>
              <w:rPr>
                <w:rFonts w:hint="eastAsia"/>
              </w:rPr>
              <w:t>开挖时表层植被的树、灌木采用人工进行砍伐，开挖程序采用自上而下分层开挖，采用1m3挖掘机开挖，103kw推土机推运，就近就地堆放。</w:t>
            </w:r>
            <w:r>
              <w:rPr>
                <w:rFonts w:hint="eastAsia"/>
                <w:lang w:eastAsia="zh-CN"/>
              </w:rPr>
              <w:t>工程建设区共开挖</w:t>
            </w:r>
            <w:r>
              <w:rPr>
                <w:rFonts w:hint="eastAsia"/>
                <w:lang w:val="en-US" w:eastAsia="zh-CN"/>
              </w:rPr>
              <w:t>25249.68 m3土石方。施工临时道路共开挖5143.33m3表土，</w:t>
            </w:r>
            <w:r>
              <w:rPr>
                <w:rFonts w:hint="eastAsia"/>
              </w:rPr>
              <w:t>施工</w:t>
            </w:r>
            <w:r>
              <w:rPr>
                <w:rFonts w:hint="eastAsia"/>
                <w:lang w:eastAsia="zh-CN"/>
              </w:rPr>
              <w:t>生产</w:t>
            </w:r>
            <w:r>
              <w:rPr>
                <w:rFonts w:hint="eastAsia"/>
              </w:rPr>
              <w:t>区</w:t>
            </w:r>
            <w:r>
              <w:rPr>
                <w:rFonts w:hint="eastAsia"/>
                <w:lang w:val="en-US" w:eastAsia="zh-CN"/>
              </w:rPr>
              <w:t>共开挖</w:t>
            </w:r>
            <w:r>
              <w:rPr>
                <w:rFonts w:hint="default"/>
                <w:lang w:val="en-US" w:eastAsia="zh-CN"/>
              </w:rPr>
              <w:t>4723.33</w:t>
            </w:r>
            <w:r>
              <w:rPr>
                <w:rFonts w:hint="eastAsia"/>
                <w:lang w:val="en-US" w:eastAsia="zh-CN"/>
              </w:rPr>
              <w:t>m3表土。</w:t>
            </w:r>
          </w:p>
          <w:p w14:paraId="3F7D2527">
            <w:pPr>
              <w:pStyle w:val="37"/>
              <w:bidi w:val="0"/>
              <w:rPr>
                <w:rFonts w:hint="eastAsia"/>
              </w:rPr>
            </w:pPr>
            <w:r>
              <w:rPr>
                <w:rFonts w:hint="eastAsia"/>
                <w:lang w:val="en-US" w:eastAsia="zh-CN"/>
              </w:rPr>
              <w:t>2、</w:t>
            </w:r>
            <w:bookmarkEnd w:id="17"/>
            <w:bookmarkEnd w:id="18"/>
            <w:bookmarkEnd w:id="19"/>
            <w:bookmarkEnd w:id="20"/>
            <w:bookmarkEnd w:id="21"/>
            <w:bookmarkEnd w:id="22"/>
            <w:bookmarkEnd w:id="23"/>
            <w:bookmarkEnd w:id="24"/>
            <w:bookmarkEnd w:id="25"/>
            <w:bookmarkEnd w:id="26"/>
            <w:bookmarkStart w:id="27" w:name="_Toc246063991"/>
            <w:bookmarkStart w:id="28" w:name="_Toc307083315"/>
            <w:bookmarkStart w:id="29" w:name="_Toc246063693"/>
            <w:bookmarkStart w:id="30" w:name="_Toc245692464"/>
            <w:r>
              <w:rPr>
                <w:rFonts w:hint="eastAsia"/>
              </w:rPr>
              <w:t>钢筋石笼施工</w:t>
            </w:r>
          </w:p>
          <w:p w14:paraId="197BF104">
            <w:pPr>
              <w:pStyle w:val="37"/>
              <w:bidi w:val="0"/>
              <w:spacing w:line="360" w:lineRule="auto"/>
              <w:rPr>
                <w:rFonts w:hint="eastAsia"/>
                <w:lang w:eastAsia="zh-CN"/>
              </w:rPr>
            </w:pPr>
            <w:r>
              <w:rPr>
                <w:rFonts w:hint="eastAsia"/>
              </w:rPr>
              <w:t>钢筋笼采用Φ6@20cm×20cm钢筋双向铰结的菱形编制，水下、水上部分的钢筋网采用Φ6钢筋捆绑相连。钢筋石笼护岸工程分为两个阶段施工，第一阶段先完成水下部分，待沉陷稳定后，再完成水上部分。钢筋笼在钢筋编制厂编制完成后运至施工现场，采用挖机配合人工安放，支砌干砌石体，待干砌石体支砌完成后，用钢筋网将干砌石体包住，形成一个整体。石笼石料砌筑应采用人工砌筑四周，并辅助运输车辆抛填的方法施工</w:t>
            </w:r>
            <w:r>
              <w:rPr>
                <w:rFonts w:hint="eastAsia"/>
                <w:lang w:eastAsia="zh-CN"/>
              </w:rPr>
              <w:t>。</w:t>
            </w:r>
          </w:p>
          <w:bookmarkEnd w:id="27"/>
          <w:bookmarkEnd w:id="28"/>
          <w:bookmarkEnd w:id="29"/>
          <w:bookmarkEnd w:id="30"/>
          <w:p w14:paraId="2C68A7AB">
            <w:pPr>
              <w:pStyle w:val="37"/>
              <w:bidi w:val="0"/>
              <w:spacing w:line="360" w:lineRule="auto"/>
              <w:rPr>
                <w:rFonts w:hint="eastAsia"/>
                <w:lang w:val="en-US" w:eastAsia="zh-CN"/>
              </w:rPr>
            </w:pPr>
            <w:r>
              <w:rPr>
                <w:rFonts w:hint="eastAsia"/>
                <w:lang w:val="en-US" w:eastAsia="zh-CN"/>
              </w:rPr>
              <w:t>3、土方回填</w:t>
            </w:r>
          </w:p>
          <w:p w14:paraId="49905BE1">
            <w:pPr>
              <w:pStyle w:val="37"/>
              <w:bidi w:val="0"/>
              <w:rPr>
                <w:rFonts w:hint="eastAsia"/>
                <w:lang w:val="en-US" w:eastAsia="zh-CN"/>
              </w:rPr>
            </w:pPr>
            <w:r>
              <w:rPr>
                <w:rFonts w:hint="eastAsia"/>
                <w:lang w:val="en-US" w:eastAsia="zh-CN"/>
              </w:rPr>
              <w:t>护岸迎水面用1m3挖掘机取土方回填，护岸背水面用1m3挖掘机取土回填，74kw推土机推运。</w:t>
            </w:r>
          </w:p>
          <w:p w14:paraId="11FCABEC">
            <w:pPr>
              <w:pStyle w:val="37"/>
              <w:bidi w:val="0"/>
              <w:rPr>
                <w:rFonts w:hint="eastAsia"/>
                <w:lang w:val="en-US" w:eastAsia="zh-CN"/>
              </w:rPr>
            </w:pPr>
            <w:r>
              <w:rPr>
                <w:rFonts w:hint="eastAsia"/>
                <w:lang w:val="en-US" w:eastAsia="zh-CN"/>
              </w:rPr>
              <w:t>4、亲水踏步建设</w:t>
            </w:r>
          </w:p>
          <w:p w14:paraId="2CBE21A8">
            <w:pPr>
              <w:pStyle w:val="37"/>
              <w:bidi w:val="0"/>
              <w:spacing w:line="360" w:lineRule="auto"/>
              <w:rPr>
                <w:rFonts w:hint="eastAsia"/>
                <w:lang w:val="en-US" w:eastAsia="zh-CN"/>
              </w:rPr>
            </w:pPr>
            <w:r>
              <w:rPr>
                <w:rFonts w:hint="eastAsia"/>
                <w:lang w:val="en-US" w:eastAsia="zh-CN"/>
              </w:rPr>
              <w:t>在河道岸坡每隔400m 左右设置一道人行亲水踏步，共设置踏步10座。踏步阶梯宽度为1.0m，基础采用浆砌石结构，护面采用C20混凝土，台阶断面尺寸为25cm×20cm，级数视实际堤防高度确定，台阶从堤顶向下布置到河底，天面应设置防滑槽。</w:t>
            </w:r>
          </w:p>
          <w:p w14:paraId="0CBE8C6C">
            <w:pPr>
              <w:pStyle w:val="37"/>
              <w:numPr>
                <w:ilvl w:val="0"/>
                <w:numId w:val="2"/>
              </w:numPr>
              <w:bidi w:val="0"/>
              <w:spacing w:line="360" w:lineRule="auto"/>
              <w:ind w:left="-2" w:leftChars="0" w:firstLineChars="0"/>
              <w:rPr>
                <w:rFonts w:hint="eastAsia"/>
                <w:lang w:val="en-US" w:eastAsia="zh-CN"/>
              </w:rPr>
            </w:pPr>
            <w:r>
              <w:rPr>
                <w:rFonts w:hint="eastAsia"/>
                <w:lang w:val="en-US" w:eastAsia="zh-CN"/>
              </w:rPr>
              <w:t>警示牌安装</w:t>
            </w:r>
          </w:p>
          <w:p w14:paraId="7455A98C">
            <w:pPr>
              <w:pStyle w:val="37"/>
              <w:bidi w:val="0"/>
              <w:spacing w:line="360" w:lineRule="auto"/>
              <w:rPr>
                <w:rFonts w:hint="default"/>
                <w:lang w:val="en-US" w:eastAsia="zh-CN"/>
              </w:rPr>
            </w:pPr>
            <w:r>
              <w:rPr>
                <w:rFonts w:hint="eastAsia"/>
                <w:lang w:val="en-US" w:eastAsia="zh-CN"/>
              </w:rPr>
              <w:t>本项目设计在亲水踏步、跨河桥梁、上堤路口、排涝口等存在落水风险的涉水位置处安装安全警示标牌，提醒沿岸居民、学生或路人注意安全，并告知本段河道、堤防的相关管理规定，严禁破坏堤防设施。为便于河道运行管理，本次在团结大沟取水坝、洞坎大桥、德宏师专东大门跨河大桥、治理终点处各安装1套不锈钢水位尺，水位尺可视刻度5.0m。</w:t>
            </w:r>
          </w:p>
          <w:p w14:paraId="0420689C">
            <w:pPr>
              <w:numPr>
                <w:ilvl w:val="0"/>
                <w:numId w:val="3"/>
              </w:numPr>
              <w:bidi w:val="0"/>
              <w:rPr>
                <w:rFonts w:hint="eastAsia"/>
                <w:b/>
                <w:bCs/>
                <w:lang w:eastAsia="zh-CN"/>
              </w:rPr>
            </w:pPr>
            <w:r>
              <w:rPr>
                <w:rFonts w:hint="eastAsia"/>
                <w:b/>
                <w:bCs/>
                <w:lang w:eastAsia="zh-CN"/>
              </w:rPr>
              <w:t>施工进度</w:t>
            </w:r>
          </w:p>
          <w:p w14:paraId="63584D25">
            <w:pPr>
              <w:numPr>
                <w:ilvl w:val="0"/>
                <w:numId w:val="0"/>
              </w:numPr>
              <w:bidi w:val="0"/>
              <w:ind w:firstLine="480" w:firstLineChars="200"/>
              <w:rPr>
                <w:rFonts w:hint="eastAsia"/>
                <w:lang w:val="en-US" w:eastAsia="zh-CN"/>
              </w:rPr>
            </w:pPr>
            <w:r>
              <w:rPr>
                <w:rFonts w:hint="eastAsia"/>
                <w:lang w:val="en-US" w:eastAsia="zh-CN"/>
              </w:rPr>
              <w:t>施工总工期初拟为12个月。</w:t>
            </w:r>
            <w:r>
              <w:rPr>
                <w:rFonts w:hint="default"/>
                <w:lang w:val="en-US" w:eastAsia="zh-CN"/>
              </w:rPr>
              <w:t>本工程按照节省投资、缩短建设周期、尽早受益的原则进行施工进度编制。依照《水利水电施工组织设计规范》SL303-2017，本工程施工总进度工期分为四个阶段</w:t>
            </w:r>
            <w:r>
              <w:rPr>
                <w:rFonts w:hint="eastAsia"/>
                <w:lang w:val="en-US" w:eastAsia="zh-CN"/>
              </w:rPr>
              <w:t>：</w:t>
            </w:r>
          </w:p>
          <w:p w14:paraId="66F4ED1C">
            <w:pPr>
              <w:numPr>
                <w:ilvl w:val="0"/>
                <w:numId w:val="0"/>
              </w:numPr>
              <w:bidi w:val="0"/>
              <w:ind w:firstLine="480" w:firstLineChars="200"/>
              <w:rPr>
                <w:rFonts w:hint="eastAsia"/>
                <w:lang w:val="en-US" w:eastAsia="zh-CN"/>
              </w:rPr>
            </w:pPr>
            <w:r>
              <w:rPr>
                <w:rFonts w:hint="default"/>
                <w:lang w:val="en-US" w:eastAsia="zh-CN"/>
              </w:rPr>
              <w:t>Ⅰ工程筹建期</w:t>
            </w:r>
            <w:r>
              <w:rPr>
                <w:rFonts w:hint="eastAsia"/>
                <w:lang w:val="en-US" w:eastAsia="zh-CN"/>
              </w:rPr>
              <w:t>：施工准备2个月，计划在2024年9月初开始征占地的协调工作</w:t>
            </w:r>
          </w:p>
          <w:p w14:paraId="6A21B838">
            <w:pPr>
              <w:numPr>
                <w:ilvl w:val="0"/>
                <w:numId w:val="0"/>
              </w:numPr>
              <w:bidi w:val="0"/>
              <w:ind w:firstLine="480" w:firstLineChars="200"/>
              <w:rPr>
                <w:rFonts w:hint="eastAsia"/>
                <w:lang w:val="en-US" w:eastAsia="zh-CN"/>
              </w:rPr>
            </w:pPr>
            <w:r>
              <w:rPr>
                <w:rFonts w:hint="default"/>
                <w:lang w:val="en-US" w:eastAsia="zh-CN"/>
              </w:rPr>
              <w:t>Ⅱ 工程准备期</w:t>
            </w:r>
            <w:r>
              <w:rPr>
                <w:rFonts w:hint="eastAsia"/>
                <w:lang w:val="en-US" w:eastAsia="zh-CN"/>
              </w:rPr>
              <w:t>：主要完成征地、场内公路、供电、供水设施、供风、施工营地修建表土剥离采取等工程。征占地时间根据工程进度及工期安排提前完成，计划1个月进行农作物收割。</w:t>
            </w:r>
          </w:p>
          <w:p w14:paraId="312490D4">
            <w:pPr>
              <w:numPr>
                <w:ilvl w:val="0"/>
                <w:numId w:val="0"/>
              </w:numPr>
              <w:bidi w:val="0"/>
              <w:ind w:firstLine="480" w:firstLineChars="200"/>
              <w:rPr>
                <w:rFonts w:hint="eastAsia"/>
                <w:lang w:val="en-US" w:eastAsia="zh-CN"/>
              </w:rPr>
            </w:pPr>
            <w:r>
              <w:rPr>
                <w:rFonts w:hint="default"/>
                <w:lang w:val="en-US" w:eastAsia="zh-CN"/>
              </w:rPr>
              <w:t>Ⅲ 主体工程施工期</w:t>
            </w:r>
            <w:r>
              <w:rPr>
                <w:rFonts w:hint="eastAsia"/>
                <w:lang w:val="en-US" w:eastAsia="zh-CN"/>
              </w:rPr>
              <w:t>：10月主要完成进场后的施工临时便道、临时房建、水电供应等施工准备工作。主体工程施工期为7个月，即从2024年11月初开始正式施工，2025年6月底结束，完成土石方开挖回填、新建河堤及穿堤建筑物等工程。</w:t>
            </w:r>
          </w:p>
          <w:p w14:paraId="44E50459">
            <w:pPr>
              <w:numPr>
                <w:ilvl w:val="0"/>
                <w:numId w:val="0"/>
              </w:numPr>
              <w:bidi w:val="0"/>
              <w:ind w:firstLine="480" w:firstLineChars="200"/>
              <w:jc w:val="left"/>
              <w:rPr>
                <w:rFonts w:hint="default"/>
                <w:lang w:val="en-US" w:eastAsia="zh-CN"/>
              </w:rPr>
            </w:pPr>
            <w:r>
              <w:rPr>
                <w:rFonts w:hint="default"/>
                <w:lang w:val="en-US" w:eastAsia="zh-CN"/>
              </w:rPr>
              <w:t>Ⅳ 工程完成期</w:t>
            </w:r>
            <w:r>
              <w:rPr>
                <w:rFonts w:hint="eastAsia"/>
                <w:lang w:val="en-US" w:eastAsia="zh-CN"/>
              </w:rPr>
              <w:t>：后续收尾工作（包括竣工验收）为2个月。具体工期详见下表：</w:t>
            </w:r>
          </w:p>
          <w:p w14:paraId="067E502A">
            <w:pPr>
              <w:numPr>
                <w:ilvl w:val="0"/>
                <w:numId w:val="0"/>
              </w:numPr>
              <w:bidi w:val="0"/>
              <w:spacing w:line="240" w:lineRule="auto"/>
              <w:ind w:firstLine="422" w:firstLineChars="200"/>
              <w:jc w:val="center"/>
              <w:rPr>
                <w:b/>
                <w:bCs/>
                <w:sz w:val="21"/>
                <w:szCs w:val="21"/>
              </w:rPr>
            </w:pPr>
            <w:r>
              <w:rPr>
                <w:rFonts w:hint="eastAsia"/>
                <w:b/>
                <w:bCs/>
                <w:sz w:val="21"/>
                <w:szCs w:val="21"/>
                <w:lang w:val="en-US" w:eastAsia="zh-CN"/>
              </w:rPr>
              <w:t>表2-6</w:t>
            </w:r>
            <w:r>
              <w:rPr>
                <w:b/>
                <w:bCs/>
                <w:sz w:val="21"/>
                <w:szCs w:val="21"/>
                <w:lang w:val="en-US" w:eastAsia="zh-CN"/>
              </w:rPr>
              <w:t>施工横道图表</w:t>
            </w:r>
          </w:p>
          <w:p w14:paraId="235272FE">
            <w:pPr>
              <w:numPr>
                <w:ilvl w:val="0"/>
                <w:numId w:val="0"/>
              </w:numPr>
              <w:bidi w:val="0"/>
              <w:jc w:val="left"/>
              <w:rPr>
                <w:rFonts w:hint="eastAsia"/>
                <w:lang w:eastAsia="zh-CN"/>
              </w:rPr>
            </w:pPr>
            <w:r>
              <w:drawing>
                <wp:inline distT="0" distB="0" distL="114300" distR="114300">
                  <wp:extent cx="5046345" cy="1838325"/>
                  <wp:effectExtent l="0" t="0" r="190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5046345" cy="1838325"/>
                          </a:xfrm>
                          <a:prstGeom prst="rect">
                            <a:avLst/>
                          </a:prstGeom>
                          <a:noFill/>
                          <a:ln>
                            <a:noFill/>
                          </a:ln>
                        </pic:spPr>
                      </pic:pic>
                    </a:graphicData>
                  </a:graphic>
                </wp:inline>
              </w:drawing>
            </w:r>
          </w:p>
        </w:tc>
      </w:tr>
      <w:tr w14:paraId="26E2C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6" w:hRule="atLeast"/>
          <w:jc w:val="center"/>
        </w:trPr>
        <w:tc>
          <w:tcPr>
            <w:tcW w:w="345" w:type="pct"/>
            <w:vAlign w:val="center"/>
          </w:tcPr>
          <w:p w14:paraId="3788B76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rPr>
            </w:pPr>
            <w:r>
              <w:rPr>
                <w:rFonts w:hint="default"/>
                <w:color w:val="auto"/>
              </w:rPr>
              <w:t>其他</w:t>
            </w:r>
          </w:p>
        </w:tc>
        <w:tc>
          <w:tcPr>
            <w:tcW w:w="4654" w:type="pct"/>
            <w:vAlign w:val="center"/>
          </w:tcPr>
          <w:p w14:paraId="2397C1CA">
            <w:pPr>
              <w:pStyle w:val="37"/>
              <w:bidi w:val="0"/>
              <w:rPr>
                <w:rFonts w:hint="eastAsia" w:eastAsia="宋体"/>
                <w:b/>
                <w:bCs/>
                <w:color w:val="auto"/>
                <w:lang w:eastAsia="zh-CN"/>
              </w:rPr>
            </w:pPr>
            <w:r>
              <w:rPr>
                <w:rFonts w:hint="eastAsia"/>
                <w:b/>
                <w:bCs/>
                <w:color w:val="auto"/>
                <w:lang w:eastAsia="zh-CN"/>
              </w:rPr>
              <w:t>一、护岸工程型式选择</w:t>
            </w:r>
          </w:p>
          <w:p w14:paraId="44C96A91">
            <w:pPr>
              <w:pStyle w:val="37"/>
              <w:bidi w:val="0"/>
              <w:rPr>
                <w:rFonts w:hint="eastAsia" w:eastAsia="宋体"/>
                <w:b w:val="0"/>
                <w:bCs w:val="0"/>
                <w:color w:val="auto"/>
                <w:lang w:eastAsia="zh-CN"/>
              </w:rPr>
            </w:pPr>
            <w:r>
              <w:rPr>
                <w:rFonts w:hint="eastAsia"/>
                <w:b w:val="0"/>
                <w:bCs w:val="0"/>
                <w:color w:val="auto"/>
              </w:rPr>
              <w:t>根据德宏州相关河道治理经验及当地材料供应条件，结合</w:t>
            </w:r>
            <w:r>
              <w:rPr>
                <w:rFonts w:hint="eastAsia"/>
                <w:b w:val="0"/>
                <w:bCs w:val="0"/>
                <w:color w:val="auto"/>
                <w:lang w:eastAsia="zh-CN"/>
              </w:rPr>
              <w:t>芒市大河</w:t>
            </w:r>
            <w:r>
              <w:rPr>
                <w:rFonts w:hint="eastAsia"/>
                <w:b w:val="0"/>
                <w:bCs w:val="0"/>
                <w:color w:val="auto"/>
              </w:rPr>
              <w:t>治理工程实际情况，本次设计护岸工程型式的选择，以生态护岸优先设计的原则选择钢筋石笼护岸、格宾石笼护岸及浆砌石护岸等三种型式经过技术经济比较</w:t>
            </w:r>
            <w:r>
              <w:rPr>
                <w:rFonts w:hint="eastAsia"/>
                <w:b w:val="0"/>
                <w:bCs w:val="0"/>
                <w:color w:val="auto"/>
                <w:lang w:eastAsia="zh-CN"/>
              </w:rPr>
              <w:t>。</w:t>
            </w:r>
          </w:p>
          <w:p w14:paraId="284AF79F">
            <w:pPr>
              <w:pStyle w:val="37"/>
              <w:bidi w:val="0"/>
              <w:rPr>
                <w:rFonts w:hint="eastAsia" w:eastAsia="宋体"/>
                <w:b/>
                <w:bCs/>
                <w:color w:val="auto"/>
                <w:lang w:val="en-US" w:eastAsia="zh-CN"/>
              </w:rPr>
            </w:pPr>
            <w:r>
              <w:rPr>
                <w:rFonts w:hint="eastAsia"/>
                <w:b/>
                <w:bCs/>
                <w:color w:val="auto"/>
                <w:lang w:val="en-US" w:eastAsia="zh-CN"/>
              </w:rPr>
              <w:t>1、钢筋石笼护岸</w:t>
            </w:r>
          </w:p>
          <w:p w14:paraId="1A8DABAF">
            <w:pPr>
              <w:keepNext w:val="0"/>
              <w:keepLines w:val="0"/>
              <w:widowControl/>
              <w:suppressLineNumbers w:val="0"/>
              <w:jc w:val="left"/>
            </w:pPr>
            <w:r>
              <w:rPr>
                <w:rFonts w:hint="default" w:ascii="Times New Roman" w:hAnsi="Times New Roman" w:eastAsia="宋体" w:cs="Times New Roman"/>
                <w:spacing w:val="-1"/>
                <w:sz w:val="24"/>
                <w:szCs w:val="24"/>
                <w:lang w:val="en-US" w:eastAsia="zh-CN"/>
              </w:rPr>
              <w:t>钢筋石笼护岸方案，现状河道天然岸坎高程为设计护岸顶部高程采用钢筋石笼挡墙进行防护，钢筋石笼共设置2层。上层钢筋石笼顶宽1.0m，迎水面与背水面坡比为1</w:t>
            </w:r>
            <w:r>
              <w:rPr>
                <w:rFonts w:hint="eastAsia" w:ascii="Times New Roman" w:hAnsi="Times New Roman" w:cs="Times New Roman"/>
                <w:spacing w:val="-1"/>
                <w:sz w:val="24"/>
                <w:szCs w:val="24"/>
                <w:lang w:val="en-US" w:eastAsia="zh-CN"/>
              </w:rPr>
              <w:t>：</w:t>
            </w:r>
            <w:r>
              <w:rPr>
                <w:rFonts w:hint="default" w:ascii="Times New Roman" w:hAnsi="Times New Roman" w:eastAsia="宋体" w:cs="Times New Roman"/>
                <w:spacing w:val="-1"/>
                <w:sz w:val="24"/>
                <w:szCs w:val="24"/>
                <w:lang w:val="en-US" w:eastAsia="zh-CN"/>
              </w:rPr>
              <w:t>0.2。下层为基础层，矩形断面，深入河床以下1.2m，与上层居中对齐，错台宽0.2m，钢筋石笼纵向10m设置一道结构缝，钢筋石笼后采用开挖料回填。</w:t>
            </w:r>
            <w:r>
              <w:rPr>
                <w:rFonts w:hint="eastAsia" w:ascii="宋体" w:hAnsi="宋体" w:eastAsia="宋体" w:cs="宋体"/>
                <w:color w:val="000000" w:themeColor="text1"/>
                <w:kern w:val="0"/>
                <w:sz w:val="24"/>
                <w:szCs w:val="24"/>
                <w:lang w:val="en-US" w:eastAsia="zh-CN" w:bidi="ar"/>
                <w14:textFill>
                  <w14:solidFill>
                    <w14:schemeClr w14:val="tx1"/>
                  </w14:solidFill>
                </w14:textFill>
              </w:rPr>
              <w:t>钢筋石笼护岸采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Φ6@200×200 </w:t>
            </w:r>
            <w:r>
              <w:rPr>
                <w:rFonts w:hint="eastAsia" w:ascii="宋体" w:hAnsi="宋体" w:eastAsia="宋体" w:cs="宋体"/>
                <w:color w:val="000000" w:themeColor="text1"/>
                <w:kern w:val="0"/>
                <w:sz w:val="24"/>
                <w:szCs w:val="24"/>
                <w:lang w:val="en-US" w:eastAsia="zh-CN" w:bidi="ar"/>
                <w14:textFill>
                  <w14:solidFill>
                    <w14:schemeClr w14:val="tx1"/>
                  </w14:solidFill>
                </w14:textFill>
              </w:rPr>
              <w:t>钢筋双向铰结，上部梯形与下部矩形采用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Φ6 </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钢筋每间隔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0.5m </w:t>
            </w:r>
            <w:r>
              <w:rPr>
                <w:rFonts w:hint="eastAsia" w:ascii="宋体" w:hAnsi="宋体" w:eastAsia="宋体" w:cs="宋体"/>
                <w:color w:val="000000" w:themeColor="text1"/>
                <w:kern w:val="0"/>
                <w:sz w:val="24"/>
                <w:szCs w:val="24"/>
                <w:lang w:val="en-US" w:eastAsia="zh-CN" w:bidi="ar"/>
                <w14:textFill>
                  <w14:solidFill>
                    <w14:schemeClr w14:val="tx1"/>
                  </w14:solidFill>
                </w14:textFill>
              </w:rPr>
              <w:t>绑扎成一整体。</w:t>
            </w:r>
          </w:p>
          <w:p w14:paraId="1588FC28">
            <w:pPr>
              <w:pStyle w:val="37"/>
              <w:bidi w:val="0"/>
              <w:ind w:left="0" w:leftChars="0" w:firstLine="0" w:firstLineChars="0"/>
            </w:pPr>
            <w:r>
              <w:drawing>
                <wp:inline distT="0" distB="0" distL="114300" distR="114300">
                  <wp:extent cx="4897755" cy="2508250"/>
                  <wp:effectExtent l="0" t="0" r="1714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897755" cy="2508250"/>
                          </a:xfrm>
                          <a:prstGeom prst="rect">
                            <a:avLst/>
                          </a:prstGeom>
                          <a:noFill/>
                          <a:ln>
                            <a:noFill/>
                          </a:ln>
                        </pic:spPr>
                      </pic:pic>
                    </a:graphicData>
                  </a:graphic>
                </wp:inline>
              </w:drawing>
            </w:r>
          </w:p>
          <w:p w14:paraId="0E79E144">
            <w:pPr>
              <w:pStyle w:val="37"/>
              <w:bidi w:val="0"/>
              <w:ind w:left="0" w:leftChars="0" w:firstLine="0" w:firstLineChars="0"/>
              <w:jc w:val="center"/>
              <w:rPr>
                <w:rFonts w:hint="default" w:eastAsia="宋体"/>
                <w:b/>
                <w:bCs/>
                <w:sz w:val="21"/>
                <w:szCs w:val="21"/>
                <w:lang w:val="en-US" w:eastAsia="zh-CN"/>
              </w:rPr>
            </w:pPr>
            <w:r>
              <w:rPr>
                <w:rFonts w:hint="eastAsia"/>
                <w:b/>
                <w:bCs/>
                <w:sz w:val="21"/>
                <w:szCs w:val="21"/>
                <w:lang w:eastAsia="zh-CN"/>
              </w:rPr>
              <w:t>图</w:t>
            </w:r>
            <w:r>
              <w:rPr>
                <w:rFonts w:hint="eastAsia"/>
                <w:b/>
                <w:bCs/>
                <w:sz w:val="21"/>
                <w:szCs w:val="21"/>
                <w:lang w:val="en-US" w:eastAsia="zh-CN"/>
              </w:rPr>
              <w:t>2-4 钢筋石笼护岸横断面图</w:t>
            </w:r>
          </w:p>
          <w:p w14:paraId="2D116507">
            <w:pPr>
              <w:pStyle w:val="37"/>
              <w:bidi w:val="0"/>
              <w:rPr>
                <w:rFonts w:hint="eastAsia" w:eastAsia="宋体"/>
                <w:b/>
                <w:bCs/>
                <w:color w:val="auto"/>
                <w:lang w:val="en-US" w:eastAsia="zh-CN"/>
              </w:rPr>
            </w:pPr>
            <w:r>
              <w:rPr>
                <w:rFonts w:hint="eastAsia"/>
                <w:b/>
                <w:bCs/>
                <w:color w:val="auto"/>
                <w:lang w:val="en-US" w:eastAsia="zh-CN"/>
              </w:rPr>
              <w:t>2、格宾石笼护岸</w:t>
            </w:r>
          </w:p>
          <w:p w14:paraId="3B90C3B3">
            <w:pPr>
              <w:pStyle w:val="37"/>
              <w:bidi w:val="0"/>
              <w:rPr>
                <w:rFonts w:hint="eastAsia"/>
                <w:b w:val="0"/>
                <w:bCs w:val="0"/>
                <w:color w:val="auto"/>
              </w:rPr>
            </w:pPr>
            <w:r>
              <w:rPr>
                <w:rFonts w:hint="eastAsia"/>
                <w:b w:val="0"/>
                <w:bCs w:val="0"/>
                <w:color w:val="auto"/>
              </w:rPr>
              <w:t>格宾网是金属线材编织的角形网(六角网)制成的网箱，使用的金属线径是根据六角形的大小而不同。如果是金属镀层的金属线六角形，则使用线径为2.0mm到4.0mm的金属线，如果是PVC包覆的金属线编织的六角网，则使用外径为3.0mm到4.5mm的PVC(金属)线。外框边缘的线则使用比六角网线粗一号的线。</w:t>
            </w:r>
          </w:p>
          <w:p w14:paraId="5EBECB77">
            <w:pPr>
              <w:pStyle w:val="37"/>
              <w:bidi w:val="0"/>
              <w:rPr>
                <w:rFonts w:hint="eastAsia"/>
                <w:b w:val="0"/>
                <w:bCs w:val="0"/>
                <w:color w:val="auto"/>
              </w:rPr>
            </w:pPr>
            <w:r>
              <w:rPr>
                <w:rFonts w:hint="eastAsia"/>
                <w:b w:val="0"/>
                <w:bCs w:val="0"/>
                <w:color w:val="auto"/>
              </w:rPr>
              <w:t>格宾石笼护岸结构型式为分台式，台高1.0m，顶宽1.5m，迎水面及背水面错台0.5m。</w:t>
            </w:r>
          </w:p>
          <w:p w14:paraId="0F08C981">
            <w:pPr>
              <w:pStyle w:val="37"/>
              <w:bidi w:val="0"/>
              <w:ind w:left="0" w:leftChars="0" w:firstLine="0" w:firstLineChars="0"/>
              <w:rPr>
                <w:rFonts w:hint="eastAsia"/>
                <w:b/>
                <w:bCs/>
                <w:color w:val="auto"/>
              </w:rPr>
            </w:pPr>
            <w:r>
              <w:drawing>
                <wp:inline distT="0" distB="0" distL="114300" distR="114300">
                  <wp:extent cx="4709160" cy="153924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4709160" cy="1539240"/>
                          </a:xfrm>
                          <a:prstGeom prst="rect">
                            <a:avLst/>
                          </a:prstGeom>
                          <a:noFill/>
                          <a:ln>
                            <a:noFill/>
                          </a:ln>
                        </pic:spPr>
                      </pic:pic>
                    </a:graphicData>
                  </a:graphic>
                </wp:inline>
              </w:drawing>
            </w:r>
          </w:p>
          <w:p w14:paraId="5CD78417">
            <w:pPr>
              <w:pStyle w:val="37"/>
              <w:bidi w:val="0"/>
              <w:ind w:left="0" w:leftChars="0" w:firstLine="0" w:firstLineChars="0"/>
              <w:jc w:val="center"/>
              <w:rPr>
                <w:rFonts w:hint="eastAsia"/>
                <w:b/>
                <w:bCs/>
                <w:color w:val="auto"/>
              </w:rPr>
            </w:pPr>
            <w:r>
              <w:rPr>
                <w:rFonts w:hint="eastAsia"/>
                <w:b/>
                <w:bCs/>
                <w:sz w:val="21"/>
                <w:szCs w:val="21"/>
                <w:lang w:eastAsia="zh-CN"/>
              </w:rPr>
              <w:t>图</w:t>
            </w:r>
            <w:r>
              <w:rPr>
                <w:rFonts w:hint="eastAsia"/>
                <w:b/>
                <w:bCs/>
                <w:sz w:val="21"/>
                <w:szCs w:val="21"/>
                <w:lang w:val="en-US" w:eastAsia="zh-CN"/>
              </w:rPr>
              <w:t>2-5 格宾石笼护岸横断面图</w:t>
            </w:r>
          </w:p>
          <w:p w14:paraId="2661278E">
            <w:pPr>
              <w:pStyle w:val="37"/>
              <w:bidi w:val="0"/>
              <w:rPr>
                <w:rFonts w:hint="eastAsia"/>
                <w:b/>
                <w:bCs/>
                <w:color w:val="auto"/>
                <w:lang w:val="en-US" w:eastAsia="zh-CN"/>
              </w:rPr>
            </w:pPr>
            <w:r>
              <w:rPr>
                <w:rFonts w:hint="eastAsia"/>
                <w:b/>
                <w:bCs/>
                <w:color w:val="auto"/>
                <w:lang w:val="en-US" w:eastAsia="zh-CN"/>
              </w:rPr>
              <w:t>3、浆砌石护岸</w:t>
            </w:r>
          </w:p>
          <w:p w14:paraId="0D58EB03">
            <w:pPr>
              <w:pStyle w:val="37"/>
              <w:bidi w:val="0"/>
              <w:rPr>
                <w:rFonts w:hint="eastAsia"/>
                <w:b w:val="0"/>
                <w:bCs w:val="0"/>
                <w:color w:val="auto"/>
                <w:lang w:val="en-US" w:eastAsia="zh-CN"/>
              </w:rPr>
            </w:pPr>
            <w:r>
              <w:rPr>
                <w:rFonts w:hint="eastAsia"/>
                <w:b w:val="0"/>
                <w:bCs w:val="0"/>
                <w:color w:val="auto"/>
                <w:lang w:val="en-US" w:eastAsia="zh-CN"/>
              </w:rPr>
              <w:t>浆砌石为工程区老百姓使用最多，用途最广的一种建筑结构型式，因此纳入本次护岸结构型式比选。浆砌石护岸结构型式采用重力式结构，顶宽0.6m，迎水面坡铅直，背水坡1:0.4，基础高1.0m，墙踵及墙趾台阶高1.0m，宽0.5m。</w:t>
            </w:r>
          </w:p>
          <w:p w14:paraId="6C9570F5">
            <w:pPr>
              <w:pStyle w:val="37"/>
              <w:bidi w:val="0"/>
              <w:ind w:left="0" w:leftChars="0" w:firstLine="0" w:firstLineChars="0"/>
              <w:rPr>
                <w:rFonts w:hint="eastAsia"/>
                <w:b w:val="0"/>
                <w:bCs w:val="0"/>
                <w:color w:val="auto"/>
                <w:lang w:val="en-US" w:eastAsia="zh-CN"/>
              </w:rPr>
            </w:pPr>
            <w:r>
              <w:drawing>
                <wp:inline distT="0" distB="0" distL="114300" distR="114300">
                  <wp:extent cx="4900295" cy="1755775"/>
                  <wp:effectExtent l="0" t="0" r="6985"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6"/>
                          <a:stretch>
                            <a:fillRect/>
                          </a:stretch>
                        </pic:blipFill>
                        <pic:spPr>
                          <a:xfrm>
                            <a:off x="0" y="0"/>
                            <a:ext cx="4900295" cy="1755775"/>
                          </a:xfrm>
                          <a:prstGeom prst="rect">
                            <a:avLst/>
                          </a:prstGeom>
                          <a:noFill/>
                          <a:ln>
                            <a:noFill/>
                          </a:ln>
                        </pic:spPr>
                      </pic:pic>
                    </a:graphicData>
                  </a:graphic>
                </wp:inline>
              </w:drawing>
            </w:r>
          </w:p>
          <w:p w14:paraId="694BAA0A">
            <w:pPr>
              <w:pStyle w:val="37"/>
              <w:bidi w:val="0"/>
              <w:ind w:left="0" w:leftChars="0" w:firstLine="0" w:firstLineChars="0"/>
              <w:jc w:val="center"/>
              <w:rPr>
                <w:rFonts w:hint="eastAsia"/>
                <w:b/>
                <w:bCs/>
                <w:sz w:val="21"/>
                <w:szCs w:val="21"/>
                <w:lang w:val="en-US" w:eastAsia="zh-CN"/>
              </w:rPr>
            </w:pPr>
            <w:r>
              <w:rPr>
                <w:rFonts w:hint="eastAsia"/>
                <w:b/>
                <w:bCs/>
                <w:sz w:val="21"/>
                <w:szCs w:val="21"/>
                <w:lang w:eastAsia="zh-CN"/>
              </w:rPr>
              <w:t>表</w:t>
            </w:r>
            <w:r>
              <w:rPr>
                <w:rFonts w:hint="eastAsia"/>
                <w:b/>
                <w:bCs/>
                <w:sz w:val="21"/>
                <w:szCs w:val="21"/>
                <w:lang w:val="en-US" w:eastAsia="zh-CN"/>
              </w:rPr>
              <w:t>2-6 浆砌石护岸横断面图</w:t>
            </w:r>
          </w:p>
          <w:p w14:paraId="02B0B00B">
            <w:pPr>
              <w:pStyle w:val="37"/>
              <w:keepNext w:val="0"/>
              <w:keepLines w:val="0"/>
              <w:pageBreakBefore w:val="0"/>
              <w:widowControl w:val="0"/>
              <w:kinsoku/>
              <w:wordWrap/>
              <w:overflowPunct/>
              <w:topLinePunct w:val="0"/>
              <w:autoSpaceDE/>
              <w:autoSpaceDN/>
              <w:bidi w:val="0"/>
              <w:adjustRightInd w:val="0"/>
              <w:snapToGrid/>
              <w:ind w:left="0" w:leftChars="0" w:firstLine="482" w:firstLineChars="200"/>
              <w:jc w:val="both"/>
              <w:textAlignment w:val="baseline"/>
              <w:rPr>
                <w:rFonts w:hint="eastAsia"/>
                <w:b/>
                <w:bCs/>
                <w:sz w:val="24"/>
                <w:szCs w:val="24"/>
                <w:lang w:val="en-US" w:eastAsia="zh-CN"/>
              </w:rPr>
            </w:pPr>
            <w:r>
              <w:rPr>
                <w:rFonts w:hint="eastAsia"/>
                <w:b/>
                <w:bCs/>
                <w:sz w:val="24"/>
                <w:szCs w:val="24"/>
                <w:lang w:val="en-US" w:eastAsia="zh-CN"/>
              </w:rPr>
              <w:t>综合比较：</w:t>
            </w:r>
          </w:p>
          <w:p w14:paraId="1D50370A">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b w:val="0"/>
                <w:bCs w:val="0"/>
                <w:sz w:val="24"/>
                <w:szCs w:val="24"/>
                <w:lang w:val="en-US" w:eastAsia="zh-CN"/>
              </w:rPr>
            </w:pPr>
            <w:r>
              <w:rPr>
                <w:rFonts w:hint="eastAsia"/>
                <w:b w:val="0"/>
                <w:bCs w:val="0"/>
                <w:sz w:val="24"/>
                <w:szCs w:val="24"/>
                <w:lang w:val="en-US" w:eastAsia="zh-CN"/>
              </w:rPr>
              <w:t>钢筋石笼护岸及格宾石笼护岸：钢筋石笼及格宾石笼为柔性结构，可以承受大范围的变形，而仍不坍塌。笼子石头缝隙间的淤泥有利于植物生长，河道内外水体可自然交换，水生动植物及两栖动物均有生存空间，可与周围自然环境融为一体。</w:t>
            </w:r>
          </w:p>
          <w:p w14:paraId="74B0711B">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b w:val="0"/>
                <w:bCs w:val="0"/>
                <w:sz w:val="24"/>
                <w:szCs w:val="24"/>
                <w:lang w:val="en-US" w:eastAsia="zh-CN"/>
              </w:rPr>
            </w:pPr>
            <w:r>
              <w:rPr>
                <w:rFonts w:hint="eastAsia"/>
                <w:b w:val="0"/>
                <w:bCs w:val="0"/>
                <w:sz w:val="24"/>
                <w:szCs w:val="24"/>
                <w:lang w:val="en-US" w:eastAsia="zh-CN"/>
              </w:rPr>
              <w:t>结合当地的治理经验，钢筋石笼的抗冲刷性及耐久性比格宾石笼好得多。</w:t>
            </w:r>
          </w:p>
          <w:p w14:paraId="10C425B7">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b w:val="0"/>
                <w:bCs w:val="0"/>
                <w:sz w:val="24"/>
                <w:szCs w:val="24"/>
                <w:lang w:val="en-US" w:eastAsia="zh-CN"/>
              </w:rPr>
            </w:pPr>
            <w:r>
              <w:rPr>
                <w:rFonts w:hint="eastAsia"/>
                <w:b w:val="0"/>
                <w:bCs w:val="0"/>
                <w:sz w:val="24"/>
                <w:szCs w:val="24"/>
                <w:lang w:val="en-US" w:eastAsia="zh-CN"/>
              </w:rPr>
              <w:t>浆砌石护岸：浆砌石护岸为刚性结构，其优点是施工简单，抗冲刷能力强，占地小，深受当地群众喜爱；缺点是刚性结构，对基础要求高，对于河道工程，水下部分不宜施工，需施工导流及抽排水，其整体性结构阻断了河道内外水体交换，不利于水生生物生存，不利于河道生态景观。</w:t>
            </w:r>
          </w:p>
          <w:p w14:paraId="73E78B0D">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b w:val="0"/>
                <w:bCs w:val="0"/>
                <w:sz w:val="24"/>
                <w:szCs w:val="24"/>
                <w:lang w:val="en-US" w:eastAsia="zh-CN"/>
              </w:rPr>
            </w:pPr>
            <w:r>
              <w:rPr>
                <w:rFonts w:hint="eastAsia"/>
                <w:b w:val="0"/>
                <w:bCs w:val="0"/>
                <w:sz w:val="24"/>
                <w:szCs w:val="24"/>
                <w:lang w:val="en-US" w:eastAsia="zh-CN"/>
              </w:rPr>
              <w:t>投资比较：本次设计选取芒市大河</w:t>
            </w:r>
            <w:r>
              <w:rPr>
                <w:rFonts w:hint="default" w:ascii="Times New Roman" w:hAnsi="Times New Roman" w:eastAsia="宋体" w:cs="Times New Roman"/>
                <w:color w:val="auto"/>
                <w:lang w:val="en-US" w:eastAsia="zh-CN"/>
              </w:rPr>
              <w:t>Z0+</w:t>
            </w:r>
            <w:r>
              <w:rPr>
                <w:rFonts w:hint="eastAsia" w:ascii="Times New Roman" w:hAnsi="Times New Roman" w:eastAsia="宋体" w:cs="Times New Roman"/>
                <w:color w:val="auto"/>
                <w:lang w:val="en-US" w:eastAsia="zh-CN"/>
              </w:rPr>
              <w:t>260</w:t>
            </w:r>
            <w:r>
              <w:rPr>
                <w:rFonts w:hint="default" w:ascii="Times New Roman" w:hAnsi="Times New Roman" w:eastAsia="宋体" w:cs="Times New Roman"/>
                <w:color w:val="auto"/>
                <w:lang w:val="en-US" w:eastAsia="zh-CN"/>
              </w:rPr>
              <w:t>.00</w:t>
            </w:r>
            <w:r>
              <w:rPr>
                <w:rFonts w:hint="eastAsia"/>
                <w:b w:val="0"/>
                <w:bCs w:val="0"/>
                <w:sz w:val="24"/>
                <w:szCs w:val="24"/>
                <w:lang w:val="en-US" w:eastAsia="zh-CN"/>
              </w:rPr>
              <w:t>断面1m长护岸进行工程量及投资比较，经计算比较，钢筋石笼护岸每米投资较格宾石笼护岸、浆砌石护岸少502.21元及493.39元。</w:t>
            </w:r>
          </w:p>
          <w:p w14:paraId="5A36C8A6">
            <w:pPr>
              <w:pStyle w:val="37"/>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baseline"/>
              <w:rPr>
                <w:rFonts w:hint="default"/>
                <w:b/>
                <w:bCs/>
                <w:sz w:val="21"/>
                <w:szCs w:val="21"/>
                <w:lang w:val="en-US" w:eastAsia="zh-CN"/>
              </w:rPr>
            </w:pPr>
            <w:r>
              <w:rPr>
                <w:rFonts w:hint="eastAsia"/>
                <w:b/>
                <w:bCs/>
                <w:sz w:val="21"/>
                <w:szCs w:val="21"/>
                <w:lang w:val="en-US" w:eastAsia="zh-CN"/>
              </w:rPr>
              <w:t>表2-7  护岸工程单位工程量及投资比较表</w:t>
            </w:r>
          </w:p>
          <w:tbl>
            <w:tblPr>
              <w:tblStyle w:val="47"/>
              <w:tblW w:w="7497" w:type="dxa"/>
              <w:tblInd w:w="10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089"/>
              <w:gridCol w:w="1530"/>
              <w:gridCol w:w="1530"/>
              <w:gridCol w:w="1281"/>
              <w:gridCol w:w="1067"/>
            </w:tblGrid>
            <w:tr w14:paraId="7379B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089" w:type="dxa"/>
                  <w:vMerge w:val="restart"/>
                  <w:tcBorders>
                    <w:tl2br w:val="nil"/>
                    <w:tr2bl w:val="nil"/>
                  </w:tcBorders>
                  <w:vAlign w:val="center"/>
                </w:tcPr>
                <w:p w14:paraId="20EA641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项目</w:t>
                  </w:r>
                </w:p>
              </w:tc>
              <w:tc>
                <w:tcPr>
                  <w:tcW w:w="4341" w:type="dxa"/>
                  <w:gridSpan w:val="3"/>
                  <w:tcBorders>
                    <w:tl2br w:val="nil"/>
                    <w:tr2bl w:val="nil"/>
                  </w:tcBorders>
                  <w:vAlign w:val="center"/>
                </w:tcPr>
                <w:p w14:paraId="6E8BBDE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护岸型式及工程量</w:t>
                  </w:r>
                </w:p>
              </w:tc>
              <w:tc>
                <w:tcPr>
                  <w:tcW w:w="1067" w:type="dxa"/>
                  <w:vMerge w:val="restart"/>
                  <w:tcBorders>
                    <w:tl2br w:val="nil"/>
                    <w:tr2bl w:val="nil"/>
                  </w:tcBorders>
                  <w:vAlign w:val="center"/>
                </w:tcPr>
                <w:p w14:paraId="0141603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单价（元）</w:t>
                  </w:r>
                </w:p>
              </w:tc>
            </w:tr>
            <w:tr w14:paraId="10A19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089" w:type="dxa"/>
                  <w:vMerge w:val="continue"/>
                  <w:tcBorders>
                    <w:tl2br w:val="nil"/>
                    <w:tr2bl w:val="nil"/>
                  </w:tcBorders>
                  <w:vAlign w:val="center"/>
                </w:tcPr>
                <w:p w14:paraId="679759B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530" w:type="dxa"/>
                  <w:tcBorders>
                    <w:tl2br w:val="nil"/>
                    <w:tr2bl w:val="nil"/>
                  </w:tcBorders>
                  <w:vAlign w:val="center"/>
                </w:tcPr>
                <w:p w14:paraId="06E65A2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钢筋石笼护岸</w:t>
                  </w:r>
                </w:p>
              </w:tc>
              <w:tc>
                <w:tcPr>
                  <w:tcW w:w="1530" w:type="dxa"/>
                  <w:tcBorders>
                    <w:tl2br w:val="nil"/>
                    <w:tr2bl w:val="nil"/>
                  </w:tcBorders>
                  <w:vAlign w:val="center"/>
                </w:tcPr>
                <w:p w14:paraId="1B0F7C0C">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格宾石笼护岸</w:t>
                  </w:r>
                </w:p>
              </w:tc>
              <w:tc>
                <w:tcPr>
                  <w:tcW w:w="1281" w:type="dxa"/>
                  <w:tcBorders>
                    <w:tl2br w:val="nil"/>
                    <w:tr2bl w:val="nil"/>
                  </w:tcBorders>
                  <w:vAlign w:val="center"/>
                </w:tcPr>
                <w:p w14:paraId="0674BBA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浆砌石护岸</w:t>
                  </w:r>
                </w:p>
              </w:tc>
              <w:tc>
                <w:tcPr>
                  <w:tcW w:w="1067" w:type="dxa"/>
                  <w:vMerge w:val="continue"/>
                  <w:tcBorders>
                    <w:tl2br w:val="nil"/>
                    <w:tr2bl w:val="nil"/>
                  </w:tcBorders>
                  <w:vAlign w:val="center"/>
                </w:tcPr>
                <w:p w14:paraId="2D4AA73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r>
            <w:tr w14:paraId="46187E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089" w:type="dxa"/>
                  <w:tcBorders>
                    <w:tl2br w:val="nil"/>
                    <w:tr2bl w:val="nil"/>
                  </w:tcBorders>
                  <w:vAlign w:val="center"/>
                </w:tcPr>
                <w:p w14:paraId="449652C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土方开挖（m</w:t>
                  </w:r>
                  <w:r>
                    <w:rPr>
                      <w:rFonts w:hint="default" w:ascii="Times New Roman" w:hAnsi="Times New Roman" w:eastAsia="宋体" w:cs="Times New Roman"/>
                      <w:spacing w:val="6"/>
                      <w:position w:val="6"/>
                      <w:sz w:val="21"/>
                      <w:szCs w:val="21"/>
                    </w:rPr>
                    <w:t>3</w:t>
                  </w:r>
                  <w:r>
                    <w:rPr>
                      <w:rFonts w:hint="default" w:ascii="Times New Roman" w:hAnsi="Times New Roman" w:eastAsia="宋体" w:cs="Times New Roman"/>
                      <w:spacing w:val="6"/>
                      <w:sz w:val="21"/>
                      <w:szCs w:val="21"/>
                    </w:rPr>
                    <w:t>）</w:t>
                  </w:r>
                </w:p>
              </w:tc>
              <w:tc>
                <w:tcPr>
                  <w:tcW w:w="1530" w:type="dxa"/>
                  <w:tcBorders>
                    <w:tl2br w:val="nil"/>
                    <w:tr2bl w:val="nil"/>
                  </w:tcBorders>
                  <w:vAlign w:val="center"/>
                </w:tcPr>
                <w:p w14:paraId="64B7B5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20.44</w:t>
                  </w:r>
                </w:p>
              </w:tc>
              <w:tc>
                <w:tcPr>
                  <w:tcW w:w="1530" w:type="dxa"/>
                  <w:tcBorders>
                    <w:tl2br w:val="nil"/>
                    <w:tr2bl w:val="nil"/>
                  </w:tcBorders>
                  <w:vAlign w:val="center"/>
                </w:tcPr>
                <w:p w14:paraId="59F57C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25.25</w:t>
                  </w:r>
                </w:p>
              </w:tc>
              <w:tc>
                <w:tcPr>
                  <w:tcW w:w="1281" w:type="dxa"/>
                  <w:tcBorders>
                    <w:tl2br w:val="nil"/>
                    <w:tr2bl w:val="nil"/>
                  </w:tcBorders>
                  <w:vAlign w:val="center"/>
                </w:tcPr>
                <w:p w14:paraId="4D3F85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19.55</w:t>
                  </w:r>
                </w:p>
              </w:tc>
              <w:tc>
                <w:tcPr>
                  <w:tcW w:w="1067" w:type="dxa"/>
                  <w:tcBorders>
                    <w:tl2br w:val="nil"/>
                    <w:tr2bl w:val="nil"/>
                  </w:tcBorders>
                  <w:vAlign w:val="center"/>
                </w:tcPr>
                <w:p w14:paraId="26598E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8.93</w:t>
                  </w:r>
                </w:p>
              </w:tc>
            </w:tr>
            <w:tr w14:paraId="030D0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089" w:type="dxa"/>
                  <w:tcBorders>
                    <w:tl2br w:val="nil"/>
                    <w:tr2bl w:val="nil"/>
                  </w:tcBorders>
                  <w:vAlign w:val="center"/>
                </w:tcPr>
                <w:p w14:paraId="346898B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土方回填（m</w:t>
                  </w:r>
                  <w:r>
                    <w:rPr>
                      <w:rFonts w:hint="default" w:ascii="Times New Roman" w:hAnsi="Times New Roman" w:eastAsia="宋体" w:cs="Times New Roman"/>
                      <w:spacing w:val="6"/>
                      <w:position w:val="6"/>
                      <w:sz w:val="21"/>
                      <w:szCs w:val="21"/>
                    </w:rPr>
                    <w:t>3</w:t>
                  </w:r>
                  <w:r>
                    <w:rPr>
                      <w:rFonts w:hint="default" w:ascii="Times New Roman" w:hAnsi="Times New Roman" w:eastAsia="宋体" w:cs="Times New Roman"/>
                      <w:spacing w:val="6"/>
                      <w:sz w:val="21"/>
                      <w:szCs w:val="21"/>
                    </w:rPr>
                    <w:t>）</w:t>
                  </w:r>
                </w:p>
              </w:tc>
              <w:tc>
                <w:tcPr>
                  <w:tcW w:w="1530" w:type="dxa"/>
                  <w:tcBorders>
                    <w:tl2br w:val="nil"/>
                    <w:tr2bl w:val="nil"/>
                  </w:tcBorders>
                  <w:vAlign w:val="center"/>
                </w:tcPr>
                <w:p w14:paraId="16BB121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8.19</w:t>
                  </w:r>
                </w:p>
              </w:tc>
              <w:tc>
                <w:tcPr>
                  <w:tcW w:w="1530" w:type="dxa"/>
                  <w:tcBorders>
                    <w:tl2br w:val="nil"/>
                    <w:tr2bl w:val="nil"/>
                  </w:tcBorders>
                  <w:vAlign w:val="center"/>
                </w:tcPr>
                <w:p w14:paraId="3E7A79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9.55</w:t>
                  </w:r>
                </w:p>
              </w:tc>
              <w:tc>
                <w:tcPr>
                  <w:tcW w:w="1281" w:type="dxa"/>
                  <w:tcBorders>
                    <w:tl2br w:val="nil"/>
                    <w:tr2bl w:val="nil"/>
                  </w:tcBorders>
                  <w:vAlign w:val="center"/>
                </w:tcPr>
                <w:p w14:paraId="2D5ACA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9.00</w:t>
                  </w:r>
                </w:p>
              </w:tc>
              <w:tc>
                <w:tcPr>
                  <w:tcW w:w="1067" w:type="dxa"/>
                  <w:tcBorders>
                    <w:tl2br w:val="nil"/>
                    <w:tr2bl w:val="nil"/>
                  </w:tcBorders>
                  <w:vAlign w:val="center"/>
                </w:tcPr>
                <w:p w14:paraId="322A0B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9.29</w:t>
                  </w:r>
                </w:p>
              </w:tc>
            </w:tr>
            <w:tr w14:paraId="7E469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089" w:type="dxa"/>
                  <w:tcBorders>
                    <w:tl2br w:val="nil"/>
                    <w:tr2bl w:val="nil"/>
                  </w:tcBorders>
                  <w:vAlign w:val="center"/>
                </w:tcPr>
                <w:p w14:paraId="6689CCF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钢筋石笼（m</w:t>
                  </w:r>
                  <w:r>
                    <w:rPr>
                      <w:rFonts w:hint="default" w:ascii="Times New Roman" w:hAnsi="Times New Roman" w:eastAsia="宋体" w:cs="Times New Roman"/>
                      <w:spacing w:val="6"/>
                      <w:position w:val="6"/>
                      <w:sz w:val="21"/>
                      <w:szCs w:val="21"/>
                    </w:rPr>
                    <w:t>3</w:t>
                  </w:r>
                  <w:r>
                    <w:rPr>
                      <w:rFonts w:hint="default" w:ascii="Times New Roman" w:hAnsi="Times New Roman" w:eastAsia="宋体" w:cs="Times New Roman"/>
                      <w:spacing w:val="6"/>
                      <w:sz w:val="21"/>
                      <w:szCs w:val="21"/>
                    </w:rPr>
                    <w:t>）</w:t>
                  </w:r>
                </w:p>
              </w:tc>
              <w:tc>
                <w:tcPr>
                  <w:tcW w:w="1530" w:type="dxa"/>
                  <w:tcBorders>
                    <w:tl2br w:val="nil"/>
                    <w:tr2bl w:val="nil"/>
                  </w:tcBorders>
                  <w:vAlign w:val="center"/>
                </w:tcPr>
                <w:p w14:paraId="0EA054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9.10</w:t>
                  </w:r>
                </w:p>
              </w:tc>
              <w:tc>
                <w:tcPr>
                  <w:tcW w:w="1530" w:type="dxa"/>
                  <w:tcBorders>
                    <w:tl2br w:val="nil"/>
                    <w:tr2bl w:val="nil"/>
                  </w:tcBorders>
                  <w:vAlign w:val="center"/>
                </w:tcPr>
                <w:p w14:paraId="7F3347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281" w:type="dxa"/>
                  <w:tcBorders>
                    <w:tl2br w:val="nil"/>
                    <w:tr2bl w:val="nil"/>
                  </w:tcBorders>
                  <w:vAlign w:val="center"/>
                </w:tcPr>
                <w:p w14:paraId="7E66C9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067" w:type="dxa"/>
                  <w:tcBorders>
                    <w:tl2br w:val="nil"/>
                    <w:tr2bl w:val="nil"/>
                  </w:tcBorders>
                  <w:vAlign w:val="center"/>
                </w:tcPr>
                <w:p w14:paraId="6958E1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347.18</w:t>
                  </w:r>
                </w:p>
              </w:tc>
            </w:tr>
            <w:tr w14:paraId="2341ED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089" w:type="dxa"/>
                  <w:tcBorders>
                    <w:tl2br w:val="nil"/>
                    <w:tr2bl w:val="nil"/>
                  </w:tcBorders>
                  <w:vAlign w:val="center"/>
                </w:tcPr>
                <w:p w14:paraId="26CEEC9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格宾石笼（m</w:t>
                  </w:r>
                  <w:r>
                    <w:rPr>
                      <w:rFonts w:hint="default" w:ascii="Times New Roman" w:hAnsi="Times New Roman" w:eastAsia="宋体" w:cs="Times New Roman"/>
                      <w:spacing w:val="6"/>
                      <w:position w:val="6"/>
                      <w:sz w:val="21"/>
                      <w:szCs w:val="21"/>
                    </w:rPr>
                    <w:t>3</w:t>
                  </w:r>
                  <w:r>
                    <w:rPr>
                      <w:rFonts w:hint="default" w:ascii="Times New Roman" w:hAnsi="Times New Roman" w:eastAsia="宋体" w:cs="Times New Roman"/>
                      <w:spacing w:val="6"/>
                      <w:sz w:val="21"/>
                      <w:szCs w:val="21"/>
                    </w:rPr>
                    <w:t>）</w:t>
                  </w:r>
                </w:p>
              </w:tc>
              <w:tc>
                <w:tcPr>
                  <w:tcW w:w="1530" w:type="dxa"/>
                  <w:tcBorders>
                    <w:tl2br w:val="nil"/>
                    <w:tr2bl w:val="nil"/>
                  </w:tcBorders>
                  <w:vAlign w:val="center"/>
                </w:tcPr>
                <w:p w14:paraId="4E4B8B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530" w:type="dxa"/>
                  <w:tcBorders>
                    <w:tl2br w:val="nil"/>
                    <w:tr2bl w:val="nil"/>
                  </w:tcBorders>
                  <w:vAlign w:val="center"/>
                </w:tcPr>
                <w:p w14:paraId="6FDD9C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11.50</w:t>
                  </w:r>
                </w:p>
              </w:tc>
              <w:tc>
                <w:tcPr>
                  <w:tcW w:w="1281" w:type="dxa"/>
                  <w:tcBorders>
                    <w:tl2br w:val="nil"/>
                    <w:tr2bl w:val="nil"/>
                  </w:tcBorders>
                  <w:vAlign w:val="center"/>
                </w:tcPr>
                <w:p w14:paraId="1C517E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067" w:type="dxa"/>
                  <w:tcBorders>
                    <w:tl2br w:val="nil"/>
                    <w:tr2bl w:val="nil"/>
                  </w:tcBorders>
                  <w:vAlign w:val="center"/>
                </w:tcPr>
                <w:p w14:paraId="58D44D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313.56</w:t>
                  </w:r>
                </w:p>
              </w:tc>
            </w:tr>
            <w:tr w14:paraId="163D8F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089" w:type="dxa"/>
                  <w:tcBorders>
                    <w:tl2br w:val="nil"/>
                    <w:tr2bl w:val="nil"/>
                  </w:tcBorders>
                  <w:vAlign w:val="center"/>
                </w:tcPr>
                <w:p w14:paraId="2C12F41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M7.5 浆砌石（m</w:t>
                  </w:r>
                  <w:r>
                    <w:rPr>
                      <w:rFonts w:hint="default" w:ascii="Times New Roman" w:hAnsi="Times New Roman" w:eastAsia="宋体" w:cs="Times New Roman"/>
                      <w:spacing w:val="5"/>
                      <w:position w:val="6"/>
                      <w:sz w:val="21"/>
                      <w:szCs w:val="21"/>
                    </w:rPr>
                    <w:t>3</w:t>
                  </w:r>
                  <w:r>
                    <w:rPr>
                      <w:rFonts w:hint="default" w:ascii="Times New Roman" w:hAnsi="Times New Roman" w:eastAsia="宋体" w:cs="Times New Roman"/>
                      <w:spacing w:val="5"/>
                      <w:sz w:val="21"/>
                      <w:szCs w:val="21"/>
                    </w:rPr>
                    <w:t>）</w:t>
                  </w:r>
                </w:p>
              </w:tc>
              <w:tc>
                <w:tcPr>
                  <w:tcW w:w="1530" w:type="dxa"/>
                  <w:tcBorders>
                    <w:tl2br w:val="nil"/>
                    <w:tr2bl w:val="nil"/>
                  </w:tcBorders>
                  <w:vAlign w:val="center"/>
                </w:tcPr>
                <w:p w14:paraId="4374D1F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530" w:type="dxa"/>
                  <w:tcBorders>
                    <w:tl2br w:val="nil"/>
                    <w:tr2bl w:val="nil"/>
                  </w:tcBorders>
                  <w:vAlign w:val="center"/>
                </w:tcPr>
                <w:p w14:paraId="615BB9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281" w:type="dxa"/>
                  <w:tcBorders>
                    <w:tl2br w:val="nil"/>
                    <w:tr2bl w:val="nil"/>
                  </w:tcBorders>
                  <w:vAlign w:val="center"/>
                </w:tcPr>
                <w:p w14:paraId="02E2907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7.10</w:t>
                  </w:r>
                </w:p>
              </w:tc>
              <w:tc>
                <w:tcPr>
                  <w:tcW w:w="1067" w:type="dxa"/>
                  <w:tcBorders>
                    <w:tl2br w:val="nil"/>
                    <w:tr2bl w:val="nil"/>
                  </w:tcBorders>
                  <w:vAlign w:val="center"/>
                </w:tcPr>
                <w:p w14:paraId="4252DF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365.02</w:t>
                  </w:r>
                </w:p>
              </w:tc>
            </w:tr>
            <w:tr w14:paraId="6A7655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089" w:type="dxa"/>
                  <w:tcBorders>
                    <w:tl2br w:val="nil"/>
                    <w:tr2bl w:val="nil"/>
                  </w:tcBorders>
                  <w:vAlign w:val="center"/>
                </w:tcPr>
                <w:p w14:paraId="684C008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围堰填筑拆除（m</w:t>
                  </w:r>
                  <w:r>
                    <w:rPr>
                      <w:rFonts w:hint="default" w:ascii="Times New Roman" w:hAnsi="Times New Roman" w:eastAsia="宋体" w:cs="Times New Roman"/>
                      <w:spacing w:val="5"/>
                      <w:position w:val="6"/>
                      <w:sz w:val="21"/>
                      <w:szCs w:val="21"/>
                    </w:rPr>
                    <w:t>3</w:t>
                  </w:r>
                  <w:r>
                    <w:rPr>
                      <w:rFonts w:hint="default" w:ascii="Times New Roman" w:hAnsi="Times New Roman" w:eastAsia="宋体" w:cs="Times New Roman"/>
                      <w:spacing w:val="5"/>
                      <w:sz w:val="21"/>
                      <w:szCs w:val="21"/>
                    </w:rPr>
                    <w:t>）</w:t>
                  </w:r>
                </w:p>
              </w:tc>
              <w:tc>
                <w:tcPr>
                  <w:tcW w:w="1530" w:type="dxa"/>
                  <w:tcBorders>
                    <w:tl2br w:val="nil"/>
                    <w:tr2bl w:val="nil"/>
                  </w:tcBorders>
                  <w:vAlign w:val="center"/>
                </w:tcPr>
                <w:p w14:paraId="11976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530" w:type="dxa"/>
                  <w:tcBorders>
                    <w:tl2br w:val="nil"/>
                    <w:tr2bl w:val="nil"/>
                  </w:tcBorders>
                  <w:vAlign w:val="center"/>
                </w:tcPr>
                <w:p w14:paraId="50011E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c>
                <w:tcPr>
                  <w:tcW w:w="1281" w:type="dxa"/>
                  <w:tcBorders>
                    <w:tl2br w:val="nil"/>
                    <w:tr2bl w:val="nil"/>
                  </w:tcBorders>
                  <w:vAlign w:val="center"/>
                </w:tcPr>
                <w:p w14:paraId="0BF0B7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11.25</w:t>
                  </w:r>
                </w:p>
              </w:tc>
              <w:tc>
                <w:tcPr>
                  <w:tcW w:w="1067" w:type="dxa"/>
                  <w:tcBorders>
                    <w:tl2br w:val="nil"/>
                    <w:tr2bl w:val="nil"/>
                  </w:tcBorders>
                  <w:vAlign w:val="center"/>
                </w:tcPr>
                <w:p w14:paraId="4641F64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94.36</w:t>
                  </w:r>
                </w:p>
              </w:tc>
            </w:tr>
            <w:tr w14:paraId="2FEB4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089" w:type="dxa"/>
                  <w:tcBorders>
                    <w:tl2br w:val="nil"/>
                    <w:tr2bl w:val="nil"/>
                  </w:tcBorders>
                  <w:vAlign w:val="center"/>
                </w:tcPr>
                <w:p w14:paraId="5885A94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单位投资（元）</w:t>
                  </w:r>
                </w:p>
              </w:tc>
              <w:tc>
                <w:tcPr>
                  <w:tcW w:w="1530" w:type="dxa"/>
                  <w:tcBorders>
                    <w:tl2br w:val="nil"/>
                    <w:tr2bl w:val="nil"/>
                  </w:tcBorders>
                  <w:vAlign w:val="center"/>
                </w:tcPr>
                <w:p w14:paraId="218A66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3417.93</w:t>
                  </w:r>
                </w:p>
              </w:tc>
              <w:tc>
                <w:tcPr>
                  <w:tcW w:w="1530" w:type="dxa"/>
                  <w:tcBorders>
                    <w:tl2br w:val="nil"/>
                    <w:tr2bl w:val="nil"/>
                  </w:tcBorders>
                  <w:vAlign w:val="center"/>
                </w:tcPr>
                <w:p w14:paraId="0A995B5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3920.13</w:t>
                  </w:r>
                </w:p>
              </w:tc>
              <w:tc>
                <w:tcPr>
                  <w:tcW w:w="1281" w:type="dxa"/>
                  <w:tcBorders>
                    <w:tl2br w:val="nil"/>
                    <w:tr2bl w:val="nil"/>
                  </w:tcBorders>
                  <w:vAlign w:val="center"/>
                </w:tcPr>
                <w:p w14:paraId="2B72D0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3911.32</w:t>
                  </w:r>
                </w:p>
              </w:tc>
              <w:tc>
                <w:tcPr>
                  <w:tcW w:w="1067" w:type="dxa"/>
                  <w:tcBorders>
                    <w:tl2br w:val="nil"/>
                    <w:tr2bl w:val="nil"/>
                  </w:tcBorders>
                  <w:vAlign w:val="center"/>
                </w:tcPr>
                <w:p w14:paraId="322E1FD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rPr>
                  </w:pPr>
                </w:p>
              </w:tc>
            </w:tr>
          </w:tbl>
          <w:p w14:paraId="0901A5BD">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b w:val="0"/>
                <w:bCs w:val="0"/>
                <w:sz w:val="21"/>
                <w:szCs w:val="21"/>
                <w:lang w:val="en-US" w:eastAsia="zh-CN"/>
              </w:rPr>
            </w:pPr>
            <w:r>
              <w:rPr>
                <w:rFonts w:hint="eastAsia"/>
                <w:b w:val="0"/>
                <w:bCs w:val="0"/>
                <w:sz w:val="24"/>
                <w:szCs w:val="24"/>
                <w:lang w:val="en-US" w:eastAsia="zh-CN"/>
              </w:rPr>
              <w:t>经综合比较，钢筋石笼护岸及格宾石笼护岸都存在施工不需导流、抽排水，可水下抛投，防冲能力强，有很强的抵御自然破坏及耐腐蚀和抗恶劣气候影响的能力，可以承受大范围的变形，而仍不坍塌，笼子石头缝隙间的淤泥有利于植物生产，可与周围自然环境融为一体，钢筋石笼和格宾石笼两种型式的工程量及性能基本相同，投资钢筋石笼少502.21元。本次治理河道大部分为山区河道工程，洪水汇流速度快，暴涨暴落，其流速快，抗冲刷要求高，结合州内河道治理经验，钢筋石笼的耐久性及抗冲刷性比格宾石笼强，推荐采用钢筋石笼护岸型式</w:t>
            </w:r>
            <w:r>
              <w:rPr>
                <w:rFonts w:hint="eastAsia"/>
                <w:b w:val="0"/>
                <w:bCs w:val="0"/>
                <w:sz w:val="21"/>
                <w:szCs w:val="21"/>
                <w:lang w:val="en-US" w:eastAsia="zh-CN"/>
              </w:rPr>
              <w:t>。</w:t>
            </w:r>
          </w:p>
          <w:p w14:paraId="2A4D816C">
            <w:pPr>
              <w:pStyle w:val="37"/>
              <w:keepNext w:val="0"/>
              <w:keepLines w:val="0"/>
              <w:pageBreakBefore w:val="0"/>
              <w:widowControl w:val="0"/>
              <w:kinsoku/>
              <w:wordWrap/>
              <w:overflowPunct/>
              <w:topLinePunct w:val="0"/>
              <w:autoSpaceDE/>
              <w:autoSpaceDN/>
              <w:bidi w:val="0"/>
              <w:adjustRightInd w:val="0"/>
              <w:snapToGrid/>
              <w:ind w:left="0" w:leftChars="0" w:firstLine="480" w:firstLineChars="200"/>
              <w:jc w:val="both"/>
              <w:textAlignment w:val="baseline"/>
              <w:rPr>
                <w:rFonts w:hint="eastAsia"/>
                <w:color w:val="auto"/>
                <w:lang w:val="en-US" w:eastAsia="zh-CN"/>
              </w:rPr>
            </w:pPr>
          </w:p>
        </w:tc>
      </w:tr>
    </w:tbl>
    <w:p w14:paraId="04C790B6">
      <w:pPr>
        <w:rPr>
          <w:rFonts w:hint="default" w:ascii="Times New Roman" w:hAnsi="Times New Roman" w:cs="Times New Roman"/>
          <w:color w:val="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11B20DC">
      <w:pPr>
        <w:pStyle w:val="4"/>
        <w:keepNext w:val="0"/>
        <w:keepLines w:val="0"/>
        <w:pageBreakBefore/>
        <w:widowControl w:val="0"/>
        <w:kinsoku/>
        <w:wordWrap/>
        <w:overflowPunct/>
        <w:topLinePunct w:val="0"/>
        <w:autoSpaceDE/>
        <w:autoSpaceDN/>
        <w:bidi w:val="0"/>
        <w:adjustRightInd/>
        <w:snapToGrid w:val="0"/>
        <w:ind w:firstLine="0" w:firstLineChars="0"/>
        <w:textAlignment w:val="auto"/>
        <w:rPr>
          <w:rFonts w:hint="default"/>
          <w:color w:val="auto"/>
        </w:rPr>
      </w:pPr>
      <w:bookmarkStart w:id="31" w:name="_Toc28966"/>
      <w:r>
        <w:rPr>
          <w:rFonts w:hint="default"/>
          <w:color w:val="auto"/>
        </w:rPr>
        <w:t>三、生态环境现状、保护目标及评价标准</w:t>
      </w:r>
      <w:bookmarkEnd w:id="31"/>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8022"/>
      </w:tblGrid>
      <w:tr w14:paraId="7DE5C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vAlign w:val="center"/>
          </w:tcPr>
          <w:p w14:paraId="1863D73E">
            <w:pPr>
              <w:adjustRightInd w:val="0"/>
              <w:snapToGrid w:val="0"/>
              <w:ind w:left="0" w:leftChars="0"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生态环境现状</w:t>
            </w:r>
          </w:p>
        </w:tc>
        <w:tc>
          <w:tcPr>
            <w:tcW w:w="4647" w:type="pct"/>
            <w:vAlign w:val="center"/>
          </w:tcPr>
          <w:p w14:paraId="61BE9004">
            <w:pPr>
              <w:pStyle w:val="37"/>
              <w:bidi w:val="0"/>
              <w:rPr>
                <w:rFonts w:hint="default"/>
                <w:b/>
                <w:bCs/>
                <w:color w:val="auto"/>
              </w:rPr>
            </w:pPr>
            <w:r>
              <w:rPr>
                <w:rFonts w:hint="eastAsia"/>
                <w:b/>
                <w:bCs/>
                <w:color w:val="auto"/>
                <w:lang w:val="en-US" w:eastAsia="zh-CN"/>
              </w:rPr>
              <w:t>一、</w:t>
            </w:r>
            <w:r>
              <w:rPr>
                <w:rFonts w:hint="default"/>
                <w:b/>
                <w:bCs/>
                <w:color w:val="auto"/>
              </w:rPr>
              <w:t>生态环境质量现状</w:t>
            </w:r>
          </w:p>
          <w:p w14:paraId="2C55E32A">
            <w:pPr>
              <w:pStyle w:val="37"/>
              <w:bidi w:val="0"/>
              <w:rPr>
                <w:rFonts w:hint="default"/>
                <w:b/>
                <w:bCs/>
                <w:color w:val="auto"/>
              </w:rPr>
            </w:pPr>
            <w:r>
              <w:rPr>
                <w:rFonts w:hint="eastAsia"/>
                <w:b/>
                <w:bCs/>
                <w:color w:val="auto"/>
                <w:lang w:val="en-US" w:eastAsia="zh-CN"/>
              </w:rPr>
              <w:t>1、</w:t>
            </w:r>
            <w:r>
              <w:rPr>
                <w:rFonts w:hint="default"/>
                <w:b/>
                <w:bCs/>
                <w:color w:val="auto"/>
              </w:rPr>
              <w:t>生态功能区划</w:t>
            </w:r>
          </w:p>
          <w:p w14:paraId="3633EE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553085</wp:posOffset>
                      </wp:positionH>
                      <wp:positionV relativeFrom="paragraph">
                        <wp:posOffset>765175</wp:posOffset>
                      </wp:positionV>
                      <wp:extent cx="1365250" cy="1229995"/>
                      <wp:effectExtent l="0" t="3810" r="6350" b="4445"/>
                      <wp:wrapNone/>
                      <wp:docPr id="6" name="直接箭头连接符 6"/>
                      <wp:cNvGraphicFramePr/>
                      <a:graphic xmlns:a="http://schemas.openxmlformats.org/drawingml/2006/main">
                        <a:graphicData uri="http://schemas.microsoft.com/office/word/2010/wordprocessingShape">
                          <wps:wsp>
                            <wps:cNvCnPr/>
                            <wps:spPr>
                              <a:xfrm flipH="1">
                                <a:off x="2781300" y="2315210"/>
                                <a:ext cx="1365250" cy="1229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3.55pt;margin-top:60.25pt;height:96.85pt;width:107.5pt;z-index:251663360;mso-width-relative:page;mso-height-relative:page;" filled="f" stroked="t" coordsize="21600,21600" o:gfxdata="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JZqL2AAAAAoB&#10;AAAPAAAAAAAAAAEAIAAAACIAAABkcnMvZG93bnJldi54bWxQSwECFAAUAAAACACHTuJAZBhT0hsC&#10;AAD6AwAADgAAAAAAAAABACAAAAAnAQAAZHJzL2Uyb0RvYy54bWxQSwUGAAAAAAYABgBZAQAAtAUA&#10;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4"/>
              </w:rPr>
              <w:drawing>
                <wp:inline distT="0" distB="0" distL="114300" distR="114300">
                  <wp:extent cx="4645025" cy="3327400"/>
                  <wp:effectExtent l="0" t="0" r="3175" b="635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7"/>
                          <a:stretch>
                            <a:fillRect/>
                          </a:stretch>
                        </pic:blipFill>
                        <pic:spPr>
                          <a:xfrm>
                            <a:off x="0" y="0"/>
                            <a:ext cx="4645025" cy="3327400"/>
                          </a:xfrm>
                          <a:prstGeom prst="rect">
                            <a:avLst/>
                          </a:prstGeom>
                          <a:noFill/>
                          <a:ln>
                            <a:noFill/>
                          </a:ln>
                        </pic:spPr>
                      </pic:pic>
                    </a:graphicData>
                  </a:graphic>
                </wp:inline>
              </w:drawing>
            </w:r>
            <w:r>
              <w:rPr>
                <w:rFonts w:hint="default" w:ascii="Times New Roman" w:hAnsi="Times New Roman" w:cs="Times New Roman"/>
                <w:b/>
                <w:bCs/>
                <w:color w:val="auto"/>
                <w:sz w:val="24"/>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511810</wp:posOffset>
                      </wp:positionV>
                      <wp:extent cx="981710" cy="2838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81710"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7ECBC">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pPr>
                                  <w:r>
                                    <w:rPr>
                                      <w:rFonts w:hint="eastAsia"/>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4pt;margin-top:40.3pt;height:22.35pt;width:77.3pt;z-index:251662336;mso-width-relative:page;mso-height-relative:page;" filled="f" stroked="f" coordsize="21600,21600" o:gfxdata="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&#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Jix2wAAAAoBAAAPAAAAAAAAAAEAIAAAACIAAABk&#10;cnMvZG93bnJldi54bWxQSwECFAAUAAAACACHTuJAhA+DUDwCAABlBAAADgAAAAAAAAABACAAAAAq&#10;AQAAZHJzL2Uyb0RvYy54bWxQSwUGAAAAAAYABgBZAQAA2AUAAAAA&#10;">
                      <v:fill on="f" focussize="0,0"/>
                      <v:stroke on="f" weight="0.5pt"/>
                      <v:imagedata o:title=""/>
                      <o:lock v:ext="edit" aspectratio="f"/>
                      <v:textbox>
                        <w:txbxContent>
                          <w:p w14:paraId="30C7ECBC">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pPr>
                            <w:r>
                              <w:rPr>
                                <w:rFonts w:hint="eastAsia"/>
                              </w:rPr>
                              <w:t>项目位置</w:t>
                            </w:r>
                          </w:p>
                        </w:txbxContent>
                      </v:textbox>
                    </v:shape>
                  </w:pict>
                </mc:Fallback>
              </mc:AlternateContent>
            </w:r>
          </w:p>
          <w:p w14:paraId="04902DC1">
            <w:pPr>
              <w:pStyle w:val="32"/>
              <w:bidi w:val="0"/>
              <w:rPr>
                <w:rFonts w:hint="default"/>
                <w:color w:val="auto"/>
              </w:rPr>
            </w:pPr>
            <w:r>
              <w:rPr>
                <w:rFonts w:hint="default"/>
                <w:color w:val="auto"/>
              </w:rPr>
              <w:t>图3-</w:t>
            </w:r>
            <w:r>
              <w:rPr>
                <w:rFonts w:hint="eastAsia"/>
                <w:color w:val="auto"/>
                <w:lang w:val="en-US" w:eastAsia="zh-CN"/>
              </w:rPr>
              <w:t>1</w:t>
            </w:r>
            <w:r>
              <w:rPr>
                <w:rFonts w:hint="default"/>
                <w:color w:val="auto"/>
              </w:rPr>
              <w:t xml:space="preserve"> 项目生态功能区划图</w:t>
            </w:r>
          </w:p>
          <w:p w14:paraId="435198B1">
            <w:pPr>
              <w:pStyle w:val="37"/>
              <w:bidi w:val="0"/>
              <w:rPr>
                <w:rFonts w:hint="eastAsia"/>
                <w:color w:val="auto"/>
                <w:lang w:eastAsia="zh-CN"/>
              </w:rPr>
            </w:pPr>
            <w:r>
              <w:rPr>
                <w:rFonts w:hint="eastAsia"/>
                <w:color w:val="auto"/>
                <w:lang w:eastAsia="zh-CN"/>
              </w:rPr>
              <w:t>由图</w:t>
            </w:r>
            <w:r>
              <w:rPr>
                <w:rFonts w:hint="eastAsia"/>
                <w:color w:val="auto"/>
                <w:lang w:val="en-US" w:eastAsia="zh-CN"/>
              </w:rPr>
              <w:t>3-1可知，</w:t>
            </w:r>
            <w:r>
              <w:rPr>
                <w:rFonts w:hint="eastAsia"/>
                <w:color w:val="auto"/>
              </w:rPr>
              <w:t>项目所在地的德宏州芒市属于Ⅰ季风热带北缘热带雨林生态区，该生态功能区详情如下表所示。</w:t>
            </w:r>
          </w:p>
          <w:p w14:paraId="46635091">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表3-1  项目所在区域生态功能区划</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783"/>
              <w:gridCol w:w="795"/>
              <w:gridCol w:w="899"/>
              <w:gridCol w:w="1539"/>
              <w:gridCol w:w="644"/>
              <w:gridCol w:w="640"/>
              <w:gridCol w:w="770"/>
              <w:gridCol w:w="1099"/>
            </w:tblGrid>
            <w:tr w14:paraId="39A7C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5" w:type="pct"/>
                  <w:gridSpan w:val="3"/>
                  <w:tcBorders>
                    <w:tl2br w:val="nil"/>
                    <w:tr2bl w:val="nil"/>
                  </w:tcBorders>
                  <w:noWrap w:val="0"/>
                  <w:vAlign w:val="center"/>
                </w:tcPr>
                <w:p w14:paraId="1876C785">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生态功能分区单元</w:t>
                  </w:r>
                </w:p>
              </w:tc>
              <w:tc>
                <w:tcPr>
                  <w:tcW w:w="577" w:type="pct"/>
                  <w:vMerge w:val="restart"/>
                  <w:tcBorders>
                    <w:tl2br w:val="nil"/>
                    <w:tr2bl w:val="nil"/>
                  </w:tcBorders>
                  <w:noWrap w:val="0"/>
                  <w:vAlign w:val="center"/>
                </w:tcPr>
                <w:p w14:paraId="7BB6F128">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所在区域与面积</w:t>
                  </w:r>
                </w:p>
              </w:tc>
              <w:tc>
                <w:tcPr>
                  <w:tcW w:w="989" w:type="pct"/>
                  <w:vMerge w:val="restart"/>
                  <w:tcBorders>
                    <w:tl2br w:val="nil"/>
                    <w:tr2bl w:val="nil"/>
                  </w:tcBorders>
                  <w:noWrap w:val="0"/>
                  <w:vAlign w:val="center"/>
                </w:tcPr>
                <w:p w14:paraId="4029BB5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主要生态特征</w:t>
                  </w:r>
                </w:p>
              </w:tc>
              <w:tc>
                <w:tcPr>
                  <w:tcW w:w="414" w:type="pct"/>
                  <w:vMerge w:val="restart"/>
                  <w:tcBorders>
                    <w:tl2br w:val="nil"/>
                    <w:tr2bl w:val="nil"/>
                  </w:tcBorders>
                  <w:noWrap w:val="0"/>
                  <w:vAlign w:val="center"/>
                </w:tcPr>
                <w:p w14:paraId="0D6B92E2">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主要生态环境问题</w:t>
                  </w:r>
                </w:p>
              </w:tc>
              <w:tc>
                <w:tcPr>
                  <w:tcW w:w="411" w:type="pct"/>
                  <w:vMerge w:val="restart"/>
                  <w:tcBorders>
                    <w:tl2br w:val="nil"/>
                    <w:tr2bl w:val="nil"/>
                  </w:tcBorders>
                  <w:noWrap w:val="0"/>
                  <w:vAlign w:val="center"/>
                </w:tcPr>
                <w:p w14:paraId="5A20EDEE">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生态环境敏感性</w:t>
                  </w:r>
                </w:p>
              </w:tc>
              <w:tc>
                <w:tcPr>
                  <w:tcW w:w="495" w:type="pct"/>
                  <w:vMerge w:val="restart"/>
                  <w:tcBorders>
                    <w:tl2br w:val="nil"/>
                    <w:tr2bl w:val="nil"/>
                  </w:tcBorders>
                  <w:noWrap w:val="0"/>
                  <w:vAlign w:val="center"/>
                </w:tcPr>
                <w:p w14:paraId="7BE77BDA">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主要生态系统服务功能</w:t>
                  </w:r>
                </w:p>
              </w:tc>
              <w:tc>
                <w:tcPr>
                  <w:tcW w:w="706" w:type="pct"/>
                  <w:vMerge w:val="restart"/>
                  <w:tcBorders>
                    <w:tl2br w:val="nil"/>
                    <w:tr2bl w:val="nil"/>
                  </w:tcBorders>
                  <w:noWrap w:val="0"/>
                  <w:vAlign w:val="center"/>
                </w:tcPr>
                <w:p w14:paraId="29466AA2">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保护措施与发展方向</w:t>
                  </w:r>
                </w:p>
              </w:tc>
            </w:tr>
            <w:tr w14:paraId="06113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tcBorders>
                    <w:tl2br w:val="nil"/>
                    <w:tr2bl w:val="nil"/>
                  </w:tcBorders>
                  <w:noWrap w:val="0"/>
                  <w:vAlign w:val="center"/>
                </w:tcPr>
                <w:p w14:paraId="257E259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生态区</w:t>
                  </w:r>
                </w:p>
              </w:tc>
              <w:tc>
                <w:tcPr>
                  <w:tcW w:w="503" w:type="pct"/>
                  <w:tcBorders>
                    <w:tl2br w:val="nil"/>
                    <w:tr2bl w:val="nil"/>
                  </w:tcBorders>
                  <w:noWrap w:val="0"/>
                  <w:vAlign w:val="center"/>
                </w:tcPr>
                <w:p w14:paraId="4EDE99C0">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w:t>
                  </w:r>
                </w:p>
                <w:p w14:paraId="1F3282D8">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亚区</w:t>
                  </w:r>
                </w:p>
              </w:tc>
              <w:tc>
                <w:tcPr>
                  <w:tcW w:w="511" w:type="pct"/>
                  <w:tcBorders>
                    <w:tl2br w:val="nil"/>
                    <w:tr2bl w:val="nil"/>
                  </w:tcBorders>
                  <w:noWrap w:val="0"/>
                  <w:vAlign w:val="center"/>
                </w:tcPr>
                <w:p w14:paraId="7EB9041E">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生态功能区</w:t>
                  </w:r>
                </w:p>
              </w:tc>
              <w:tc>
                <w:tcPr>
                  <w:tcW w:w="577" w:type="pct"/>
                  <w:vMerge w:val="continue"/>
                  <w:tcBorders>
                    <w:tl2br w:val="nil"/>
                    <w:tr2bl w:val="nil"/>
                  </w:tcBorders>
                  <w:noWrap w:val="0"/>
                  <w:vAlign w:val="center"/>
                </w:tcPr>
                <w:p w14:paraId="0F9E0824">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89" w:type="pct"/>
                  <w:vMerge w:val="continue"/>
                  <w:tcBorders>
                    <w:tl2br w:val="nil"/>
                    <w:tr2bl w:val="nil"/>
                  </w:tcBorders>
                  <w:noWrap w:val="0"/>
                  <w:vAlign w:val="center"/>
                </w:tcPr>
                <w:p w14:paraId="0C33EEDF">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414" w:type="pct"/>
                  <w:vMerge w:val="continue"/>
                  <w:tcBorders>
                    <w:tl2br w:val="nil"/>
                    <w:tr2bl w:val="nil"/>
                  </w:tcBorders>
                  <w:noWrap w:val="0"/>
                  <w:vAlign w:val="center"/>
                </w:tcPr>
                <w:p w14:paraId="59081B04">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411" w:type="pct"/>
                  <w:vMerge w:val="continue"/>
                  <w:tcBorders>
                    <w:tl2br w:val="nil"/>
                    <w:tr2bl w:val="nil"/>
                  </w:tcBorders>
                  <w:noWrap w:val="0"/>
                  <w:vAlign w:val="center"/>
                </w:tcPr>
                <w:p w14:paraId="0DDF9F35">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495" w:type="pct"/>
                  <w:vMerge w:val="continue"/>
                  <w:tcBorders>
                    <w:tl2br w:val="nil"/>
                    <w:tr2bl w:val="nil"/>
                  </w:tcBorders>
                  <w:noWrap w:val="0"/>
                  <w:vAlign w:val="center"/>
                </w:tcPr>
                <w:p w14:paraId="786A9CB4">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706" w:type="pct"/>
                  <w:vMerge w:val="continue"/>
                  <w:tcBorders>
                    <w:tl2br w:val="nil"/>
                    <w:tr2bl w:val="nil"/>
                  </w:tcBorders>
                  <w:noWrap w:val="0"/>
                  <w:vAlign w:val="center"/>
                </w:tcPr>
                <w:p w14:paraId="594397F9">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p>
              </w:tc>
            </w:tr>
            <w:tr w14:paraId="36000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tcBorders>
                    <w:tl2br w:val="nil"/>
                    <w:tr2bl w:val="nil"/>
                  </w:tcBorders>
                  <w:noWrap w:val="0"/>
                  <w:vAlign w:val="center"/>
                </w:tcPr>
                <w:p w14:paraId="740EFA12">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Ⅰ季风热带北缘热带雨林生态区</w:t>
                  </w:r>
                </w:p>
              </w:tc>
              <w:tc>
                <w:tcPr>
                  <w:tcW w:w="503" w:type="pct"/>
                  <w:tcBorders>
                    <w:tl2br w:val="nil"/>
                    <w:tr2bl w:val="nil"/>
                  </w:tcBorders>
                  <w:noWrap w:val="0"/>
                  <w:vAlign w:val="center"/>
                </w:tcPr>
                <w:p w14:paraId="1D1A4865">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Ⅰ3滇西南中山宽谷半常绿季雨林生态亚区</w:t>
                  </w:r>
                </w:p>
                <w:p w14:paraId="6E390122">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p>
              </w:tc>
              <w:tc>
                <w:tcPr>
                  <w:tcW w:w="511" w:type="pct"/>
                  <w:tcBorders>
                    <w:tl2br w:val="nil"/>
                    <w:tr2bl w:val="nil"/>
                  </w:tcBorders>
                  <w:noWrap w:val="0"/>
                  <w:vAlign w:val="center"/>
                </w:tcPr>
                <w:p w14:paraId="7C90A217">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Ⅰ3-1大盈江、南畹河下游中山丘陵农业生态功能区</w:t>
                  </w:r>
                </w:p>
              </w:tc>
              <w:tc>
                <w:tcPr>
                  <w:tcW w:w="577" w:type="pct"/>
                  <w:tcBorders>
                    <w:tl2br w:val="nil"/>
                    <w:tr2bl w:val="nil"/>
                  </w:tcBorders>
                  <w:noWrap w:val="0"/>
                  <w:vAlign w:val="center"/>
                </w:tcPr>
                <w:p w14:paraId="1CD3C7D6">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瑞丽、潞西，陇川，盈江、梁河以及龙陵县的南部地区，面积9332.67平方公里</w:t>
                  </w:r>
                </w:p>
              </w:tc>
              <w:tc>
                <w:tcPr>
                  <w:tcW w:w="989" w:type="pct"/>
                  <w:tcBorders>
                    <w:tl2br w:val="nil"/>
                    <w:tr2bl w:val="nil"/>
                  </w:tcBorders>
                  <w:noWrap w:val="0"/>
                  <w:vAlign w:val="center"/>
                </w:tcPr>
                <w:p w14:paraId="4CA81F50">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为中山丘陵地貌为主，年降水量1400</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1700毫米，地带性植被类型为季风常绿阔叶林。地带性土壤类型为赤红壤、红壤</w:t>
                  </w:r>
                </w:p>
              </w:tc>
              <w:tc>
                <w:tcPr>
                  <w:tcW w:w="414" w:type="pct"/>
                  <w:tcBorders>
                    <w:tl2br w:val="nil"/>
                    <w:tr2bl w:val="nil"/>
                  </w:tcBorders>
                  <w:noWrap w:val="0"/>
                  <w:vAlign w:val="center"/>
                </w:tcPr>
                <w:p w14:paraId="6C2E362A">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旅游业和不合理的热区开发带来的生态破坏</w:t>
                  </w:r>
                </w:p>
              </w:tc>
              <w:tc>
                <w:tcPr>
                  <w:tcW w:w="411" w:type="pct"/>
                  <w:tcBorders>
                    <w:tl2br w:val="nil"/>
                    <w:tr2bl w:val="nil"/>
                  </w:tcBorders>
                  <w:noWrap w:val="0"/>
                  <w:vAlign w:val="center"/>
                </w:tcPr>
                <w:p w14:paraId="2C697D3F">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生境高度敏感和极为敏感、土壤侵蚀极为敏感</w:t>
                  </w:r>
                </w:p>
              </w:tc>
              <w:tc>
                <w:tcPr>
                  <w:tcW w:w="495" w:type="pct"/>
                  <w:tcBorders>
                    <w:tl2br w:val="nil"/>
                    <w:tr2bl w:val="nil"/>
                  </w:tcBorders>
                  <w:noWrap w:val="0"/>
                  <w:vAlign w:val="center"/>
                </w:tcPr>
                <w:p w14:paraId="41EAAFB7">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发展生态农业和以蔗糖为主热带作物、以澳洲坚果和柠檬为主的热带经济林</w:t>
                  </w:r>
                </w:p>
              </w:tc>
              <w:tc>
                <w:tcPr>
                  <w:tcW w:w="706" w:type="pct"/>
                  <w:tcBorders>
                    <w:tl2br w:val="nil"/>
                    <w:tr2bl w:val="nil"/>
                  </w:tcBorders>
                  <w:noWrap w:val="0"/>
                  <w:vAlign w:val="center"/>
                </w:tcPr>
                <w:p w14:paraId="0B85C8C7">
                  <w:pPr>
                    <w:topLinePunct/>
                    <w:adjustRightInd w:val="0"/>
                    <w:snapToGrid w:val="0"/>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保护农业生态环境，防止水土流失和旅游和边境贸易带来的环境污染，推行清洁生产，加强国际大通道的建设</w:t>
                  </w:r>
                </w:p>
              </w:tc>
            </w:tr>
          </w:tbl>
          <w:p w14:paraId="7BA010A4">
            <w:pPr>
              <w:pStyle w:val="37"/>
              <w:bidi w:val="0"/>
              <w:rPr>
                <w:rFonts w:hint="eastAsia"/>
                <w:b/>
                <w:bCs/>
                <w:color w:val="auto"/>
                <w:lang w:val="en-US" w:eastAsia="zh-CN"/>
              </w:rPr>
            </w:pPr>
            <w:r>
              <w:rPr>
                <w:color w:val="auto"/>
              </w:rPr>
              <w:t>本项目为防洪除涝工程，项目的建设有利于提供河道防洪能力，保障人民财产安全的同时能够有效保护耕地及农田</w:t>
            </w:r>
            <w:r>
              <w:rPr>
                <w:rFonts w:hint="eastAsia"/>
                <w:color w:val="auto"/>
                <w:lang w:eastAsia="zh-CN"/>
              </w:rPr>
              <w:t>，有利于保护农业生态环境。</w:t>
            </w:r>
            <w:r>
              <w:rPr>
                <w:rFonts w:ascii="Times New Roman" w:hAnsi="Times New Roman" w:eastAsia="宋体" w:cs="Times New Roman"/>
                <w:color w:val="000000"/>
                <w:sz w:val="24"/>
                <w:szCs w:val="22"/>
                <w:highlight w:val="none"/>
              </w:rPr>
              <w:t>项目距离自然保护区</w:t>
            </w:r>
            <w:r>
              <w:rPr>
                <w:rFonts w:ascii="Times New Roman" w:hAnsi="Times New Roman" w:eastAsia="宋体" w:cs="Times New Roman"/>
                <w:color w:val="000000"/>
                <w:sz w:val="24"/>
                <w:szCs w:val="24"/>
                <w:highlight w:val="none"/>
              </w:rPr>
              <w:t>较远，</w:t>
            </w:r>
            <w:r>
              <w:rPr>
                <w:rFonts w:hint="eastAsia"/>
                <w:color w:val="auto"/>
                <w:sz w:val="24"/>
                <w:szCs w:val="24"/>
                <w:lang w:eastAsia="zh-CN"/>
              </w:rPr>
              <w:t>项目不涉及永久占地，</w:t>
            </w:r>
            <w:r>
              <w:rPr>
                <w:rFonts w:hint="eastAsia"/>
                <w:color w:val="auto"/>
                <w:sz w:val="24"/>
                <w:szCs w:val="24"/>
                <w:lang w:val="en-US" w:eastAsia="zh-CN"/>
              </w:rPr>
              <w:t>项目占地仅为临时占地包括旱地0.94hm</w:t>
            </w:r>
            <w:r>
              <w:rPr>
                <w:rFonts w:hint="eastAsia"/>
                <w:color w:val="auto"/>
                <w:sz w:val="24"/>
                <w:szCs w:val="24"/>
                <w:vertAlign w:val="superscript"/>
                <w:lang w:val="en-US" w:eastAsia="zh-CN"/>
              </w:rPr>
              <w:t>2</w:t>
            </w:r>
            <w:r>
              <w:rPr>
                <w:rFonts w:hint="eastAsia"/>
                <w:color w:val="auto"/>
                <w:sz w:val="24"/>
                <w:szCs w:val="24"/>
                <w:lang w:val="en-US" w:eastAsia="zh-CN"/>
              </w:rPr>
              <w:t>、园地0.42hm</w:t>
            </w:r>
            <w:r>
              <w:rPr>
                <w:rFonts w:hint="eastAsia"/>
                <w:color w:val="auto"/>
                <w:sz w:val="24"/>
                <w:szCs w:val="24"/>
                <w:vertAlign w:val="superscript"/>
                <w:lang w:val="en-US" w:eastAsia="zh-CN"/>
              </w:rPr>
              <w:t>2</w:t>
            </w:r>
            <w:r>
              <w:rPr>
                <w:rFonts w:hint="eastAsia"/>
                <w:color w:val="auto"/>
                <w:sz w:val="24"/>
                <w:szCs w:val="24"/>
                <w:lang w:val="en-US" w:eastAsia="zh-CN"/>
              </w:rPr>
              <w:t>、水田0.78hm</w:t>
            </w:r>
            <w:r>
              <w:rPr>
                <w:rFonts w:hint="eastAsia"/>
                <w:color w:val="auto"/>
                <w:sz w:val="24"/>
                <w:szCs w:val="24"/>
                <w:vertAlign w:val="superscript"/>
                <w:lang w:val="en-US" w:eastAsia="zh-CN"/>
              </w:rPr>
              <w:t>2</w:t>
            </w:r>
            <w:r>
              <w:rPr>
                <w:rFonts w:hint="eastAsia"/>
                <w:color w:val="auto"/>
                <w:sz w:val="24"/>
                <w:szCs w:val="24"/>
                <w:lang w:val="en-US" w:eastAsia="zh-CN"/>
              </w:rPr>
              <w:t>。工程结束后，及时对临时用地恢复原有的使用功能</w:t>
            </w:r>
            <w:r>
              <w:rPr>
                <w:rFonts w:hint="eastAsia" w:ascii="Times New Roman" w:hAnsi="Times New Roman" w:eastAsia="宋体" w:cs="Times New Roman"/>
                <w:color w:val="000000"/>
                <w:sz w:val="24"/>
                <w:szCs w:val="24"/>
                <w:highlight w:val="none"/>
              </w:rPr>
              <w:t>，</w:t>
            </w:r>
            <w:r>
              <w:rPr>
                <w:color w:val="auto"/>
              </w:rPr>
              <w:t>因此项目的建设符合《云南省生态功能区划》的相关规定。</w:t>
            </w:r>
          </w:p>
          <w:p w14:paraId="757A7BB8">
            <w:pPr>
              <w:pStyle w:val="37"/>
              <w:bidi w:val="0"/>
              <w:rPr>
                <w:rFonts w:hint="default"/>
                <w:b/>
                <w:bCs/>
                <w:color w:val="auto"/>
              </w:rPr>
            </w:pPr>
            <w:r>
              <w:rPr>
                <w:rFonts w:hint="eastAsia"/>
                <w:b/>
                <w:bCs/>
                <w:color w:val="auto"/>
                <w:lang w:val="en-US" w:eastAsia="zh-CN"/>
              </w:rPr>
              <w:t>2、</w:t>
            </w:r>
            <w:r>
              <w:rPr>
                <w:rFonts w:hint="default"/>
                <w:b/>
                <w:bCs/>
                <w:color w:val="auto"/>
              </w:rPr>
              <w:t>土地利用类型</w:t>
            </w:r>
          </w:p>
          <w:p w14:paraId="28E9D2D9">
            <w:pPr>
              <w:pStyle w:val="37"/>
              <w:bidi w:val="0"/>
              <w:rPr>
                <w:rFonts w:hint="default"/>
                <w:color w:val="auto"/>
                <w:lang w:val="en-US"/>
              </w:rPr>
            </w:pPr>
            <w:bookmarkStart w:id="32" w:name="_Hlk143618058"/>
            <w:r>
              <w:rPr>
                <w:rFonts w:hint="eastAsia"/>
                <w:color w:val="auto"/>
                <w:lang w:val="en-US" w:eastAsia="zh-CN"/>
              </w:rPr>
              <w:t>项目不涉及新增永久占地，仅涉及临时占地。临时占地主要是施工工程中临时占用的工程建设施工区、施工临时道路区等，临时占地2.14hm</w:t>
            </w:r>
            <w:r>
              <w:rPr>
                <w:rFonts w:hint="eastAsia"/>
                <w:color w:val="auto"/>
                <w:vertAlign w:val="superscript"/>
                <w:lang w:val="en-US" w:eastAsia="zh-CN"/>
              </w:rPr>
              <w:t>2</w:t>
            </w:r>
            <w:r>
              <w:rPr>
                <w:rFonts w:hint="eastAsia"/>
                <w:color w:val="auto"/>
                <w:lang w:val="en-US" w:eastAsia="zh-CN"/>
              </w:rPr>
              <w:t>（包括水田0.78hm</w:t>
            </w:r>
            <w:r>
              <w:rPr>
                <w:rFonts w:hint="eastAsia"/>
                <w:color w:val="auto"/>
                <w:vertAlign w:val="superscript"/>
                <w:lang w:val="en-US" w:eastAsia="zh-CN"/>
              </w:rPr>
              <w:t>2</w:t>
            </w:r>
            <w:r>
              <w:rPr>
                <w:rFonts w:hint="eastAsia"/>
                <w:color w:val="auto"/>
                <w:lang w:val="en-US" w:eastAsia="zh-CN"/>
              </w:rPr>
              <w:t>，旱地0.94hm</w:t>
            </w:r>
            <w:r>
              <w:rPr>
                <w:rFonts w:hint="eastAsia"/>
                <w:color w:val="auto"/>
                <w:vertAlign w:val="superscript"/>
                <w:lang w:val="en-US" w:eastAsia="zh-CN"/>
              </w:rPr>
              <w:t>2</w:t>
            </w:r>
            <w:r>
              <w:rPr>
                <w:rFonts w:hint="eastAsia"/>
                <w:color w:val="auto"/>
                <w:lang w:val="en-US" w:eastAsia="zh-CN"/>
              </w:rPr>
              <w:t>，园地0.42hm</w:t>
            </w:r>
            <w:r>
              <w:rPr>
                <w:rFonts w:hint="eastAsia"/>
                <w:color w:val="auto"/>
                <w:vertAlign w:val="superscript"/>
                <w:lang w:val="en-US" w:eastAsia="zh-CN"/>
              </w:rPr>
              <w:t>2</w:t>
            </w:r>
            <w:r>
              <w:rPr>
                <w:rFonts w:hint="eastAsia"/>
                <w:color w:val="auto"/>
                <w:lang w:val="en-US" w:eastAsia="zh-CN"/>
              </w:rPr>
              <w:t>）</w:t>
            </w:r>
            <w:r>
              <w:rPr>
                <w:rFonts w:hint="eastAsia"/>
                <w:color w:val="auto"/>
              </w:rPr>
              <w:t>。工程征占地</w:t>
            </w:r>
            <w:r>
              <w:rPr>
                <w:rFonts w:hint="eastAsia"/>
                <w:color w:val="auto"/>
                <w:lang w:eastAsia="zh-CN"/>
              </w:rPr>
              <w:t>类型</w:t>
            </w:r>
            <w:r>
              <w:rPr>
                <w:rFonts w:hint="eastAsia"/>
                <w:color w:val="auto"/>
              </w:rPr>
              <w:t>表</w:t>
            </w:r>
            <w:r>
              <w:rPr>
                <w:rFonts w:hint="eastAsia"/>
                <w:color w:val="auto"/>
                <w:lang w:val="en-US" w:eastAsia="zh-CN"/>
              </w:rPr>
              <w:t>3-2。</w:t>
            </w:r>
          </w:p>
          <w:p w14:paraId="577D313F">
            <w:pPr>
              <w:pStyle w:val="37"/>
              <w:bidi w:val="0"/>
              <w:spacing w:line="240" w:lineRule="auto"/>
              <w:ind w:left="0" w:leftChars="0" w:firstLine="0" w:firstLineChars="0"/>
              <w:jc w:val="center"/>
              <w:rPr>
                <w:rStyle w:val="69"/>
                <w:rFonts w:hint="eastAsia" w:eastAsia="宋体"/>
                <w:b/>
                <w:bCs/>
                <w:sz w:val="21"/>
                <w:szCs w:val="21"/>
                <w:lang w:val="en-US" w:eastAsia="zh-CN"/>
              </w:rPr>
            </w:pPr>
            <w:r>
              <w:rPr>
                <w:rFonts w:hint="eastAsia"/>
                <w:b/>
                <w:bCs/>
                <w:color w:val="auto"/>
                <w:sz w:val="21"/>
                <w:szCs w:val="21"/>
                <w:lang w:val="en-US" w:eastAsia="zh-CN"/>
              </w:rPr>
              <w:t xml:space="preserve">   </w:t>
            </w:r>
            <w:r>
              <w:rPr>
                <w:rFonts w:hint="eastAsia"/>
                <w:b/>
                <w:bCs/>
                <w:color w:val="auto"/>
                <w:sz w:val="21"/>
                <w:szCs w:val="21"/>
              </w:rPr>
              <w:t xml:space="preserve">表 </w:t>
            </w:r>
            <w:r>
              <w:rPr>
                <w:rFonts w:hint="eastAsia"/>
                <w:b/>
                <w:bCs/>
                <w:color w:val="auto"/>
                <w:sz w:val="21"/>
                <w:szCs w:val="21"/>
                <w:lang w:val="en-US" w:eastAsia="zh-CN"/>
              </w:rPr>
              <w:t>3-2</w:t>
            </w:r>
            <w:r>
              <w:rPr>
                <w:rFonts w:hint="eastAsia"/>
                <w:b/>
                <w:bCs/>
                <w:color w:val="auto"/>
                <w:sz w:val="21"/>
                <w:szCs w:val="21"/>
              </w:rPr>
              <w:t>工程占地</w:t>
            </w:r>
            <w:r>
              <w:rPr>
                <w:rFonts w:hint="eastAsia"/>
                <w:b/>
                <w:bCs/>
                <w:color w:val="auto"/>
                <w:sz w:val="21"/>
                <w:szCs w:val="21"/>
                <w:lang w:eastAsia="zh-CN"/>
              </w:rPr>
              <w:t>类型</w:t>
            </w:r>
            <w:r>
              <w:rPr>
                <w:rFonts w:hint="eastAsia"/>
                <w:b/>
                <w:bCs/>
                <w:color w:val="auto"/>
                <w:sz w:val="21"/>
                <w:szCs w:val="21"/>
              </w:rPr>
              <w:t>统计汇总表    单位：hm</w:t>
            </w:r>
            <w:r>
              <w:rPr>
                <w:rFonts w:hint="eastAsia"/>
                <w:b/>
                <w:bCs/>
                <w:color w:val="auto"/>
                <w:sz w:val="21"/>
                <w:szCs w:val="21"/>
                <w:vertAlign w:val="superscript"/>
              </w:rPr>
              <w:t>2</w:t>
            </w:r>
          </w:p>
          <w:tbl>
            <w:tblPr>
              <w:tblStyle w:val="47"/>
              <w:tblW w:w="4990" w:type="pct"/>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16"/>
              <w:gridCol w:w="2890"/>
              <w:gridCol w:w="947"/>
              <w:gridCol w:w="992"/>
              <w:gridCol w:w="958"/>
              <w:gridCol w:w="1157"/>
            </w:tblGrid>
            <w:tr w14:paraId="560AB3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26" w:type="pct"/>
                  <w:tcBorders>
                    <w:tl2br w:val="nil"/>
                    <w:tr2bl w:val="nil"/>
                  </w:tcBorders>
                  <w:vAlign w:val="center"/>
                </w:tcPr>
                <w:p w14:paraId="6D2BDEB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序号</w:t>
                  </w:r>
                </w:p>
              </w:tc>
              <w:tc>
                <w:tcPr>
                  <w:tcW w:w="1861" w:type="pct"/>
                  <w:tcBorders>
                    <w:tl2br w:val="nil"/>
                    <w:tr2bl w:val="nil"/>
                  </w:tcBorders>
                  <w:vAlign w:val="center"/>
                </w:tcPr>
                <w:p w14:paraId="5B15436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项目区</w:t>
                  </w:r>
                </w:p>
              </w:tc>
              <w:tc>
                <w:tcPr>
                  <w:tcW w:w="610" w:type="pct"/>
                  <w:tcBorders>
                    <w:tl2br w:val="nil"/>
                    <w:tr2bl w:val="nil"/>
                  </w:tcBorders>
                  <w:vAlign w:val="center"/>
                </w:tcPr>
                <w:p w14:paraId="0DE300D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水田</w:t>
                  </w:r>
                </w:p>
              </w:tc>
              <w:tc>
                <w:tcPr>
                  <w:tcW w:w="639" w:type="pct"/>
                  <w:tcBorders>
                    <w:tl2br w:val="nil"/>
                    <w:tr2bl w:val="nil"/>
                  </w:tcBorders>
                  <w:vAlign w:val="center"/>
                </w:tcPr>
                <w:p w14:paraId="7CABD43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旱地</w:t>
                  </w:r>
                </w:p>
              </w:tc>
              <w:tc>
                <w:tcPr>
                  <w:tcW w:w="617" w:type="pct"/>
                  <w:tcBorders>
                    <w:tl2br w:val="nil"/>
                    <w:tr2bl w:val="nil"/>
                  </w:tcBorders>
                  <w:vAlign w:val="center"/>
                </w:tcPr>
                <w:p w14:paraId="6A68722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4"/>
                      <w:sz w:val="21"/>
                      <w:szCs w:val="21"/>
                    </w:rPr>
                    <w:t>园地</w:t>
                  </w:r>
                </w:p>
              </w:tc>
              <w:tc>
                <w:tcPr>
                  <w:tcW w:w="745" w:type="pct"/>
                  <w:tcBorders>
                    <w:tl2br w:val="nil"/>
                    <w:tr2bl w:val="nil"/>
                  </w:tcBorders>
                  <w:vAlign w:val="center"/>
                </w:tcPr>
                <w:p w14:paraId="227942F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szCs w:val="21"/>
                      <w:lang w:eastAsia="zh-CN"/>
                    </w:rPr>
                  </w:pPr>
                  <w:r>
                    <w:rPr>
                      <w:rFonts w:hint="eastAsia"/>
                      <w:sz w:val="21"/>
                      <w:szCs w:val="21"/>
                      <w:lang w:eastAsia="zh-CN"/>
                    </w:rPr>
                    <w:t>小计</w:t>
                  </w:r>
                </w:p>
              </w:tc>
            </w:tr>
            <w:tr w14:paraId="1CBF10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7D85826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position w:val="-4"/>
                      <w:sz w:val="21"/>
                      <w:szCs w:val="21"/>
                    </w:rPr>
                    <w:t>一</w:t>
                  </w:r>
                </w:p>
              </w:tc>
              <w:tc>
                <w:tcPr>
                  <w:tcW w:w="1861" w:type="pct"/>
                  <w:tcBorders>
                    <w:tl2br w:val="nil"/>
                    <w:tr2bl w:val="nil"/>
                  </w:tcBorders>
                  <w:vAlign w:val="center"/>
                </w:tcPr>
                <w:p w14:paraId="6EE6FC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6"/>
                      <w:sz w:val="21"/>
                      <w:szCs w:val="21"/>
                    </w:rPr>
                    <w:t>永久占地</w:t>
                  </w:r>
                </w:p>
              </w:tc>
              <w:tc>
                <w:tcPr>
                  <w:tcW w:w="610" w:type="pct"/>
                  <w:tcBorders>
                    <w:tl2br w:val="nil"/>
                    <w:tr2bl w:val="nil"/>
                  </w:tcBorders>
                  <w:vAlign w:val="center"/>
                </w:tcPr>
                <w:p w14:paraId="4E06AA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639" w:type="pct"/>
                  <w:tcBorders>
                    <w:tl2br w:val="nil"/>
                    <w:tr2bl w:val="nil"/>
                  </w:tcBorders>
                  <w:vAlign w:val="center"/>
                </w:tcPr>
                <w:p w14:paraId="060AC6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617" w:type="pct"/>
                  <w:tcBorders>
                    <w:tl2br w:val="nil"/>
                    <w:tr2bl w:val="nil"/>
                  </w:tcBorders>
                  <w:vAlign w:val="center"/>
                </w:tcPr>
                <w:p w14:paraId="56AD3D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rPr>
                  </w:pPr>
                </w:p>
              </w:tc>
              <w:tc>
                <w:tcPr>
                  <w:tcW w:w="745" w:type="pct"/>
                  <w:tcBorders>
                    <w:tl2br w:val="nil"/>
                    <w:tr2bl w:val="nil"/>
                  </w:tcBorders>
                  <w:vAlign w:val="center"/>
                </w:tcPr>
                <w:p w14:paraId="4DF075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eastAsia="宋体" w:cs="Times New Roman"/>
                      <w:spacing w:val="3"/>
                      <w:sz w:val="21"/>
                      <w:szCs w:val="21"/>
                      <w:lang w:val="en-US" w:eastAsia="zh-CN"/>
                    </w:rPr>
                    <w:t>0</w:t>
                  </w:r>
                </w:p>
              </w:tc>
            </w:tr>
            <w:tr w14:paraId="69FFA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4259332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6C8A5E3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堤防建设区</w:t>
                  </w:r>
                </w:p>
              </w:tc>
              <w:tc>
                <w:tcPr>
                  <w:tcW w:w="610" w:type="pct"/>
                  <w:tcBorders>
                    <w:tl2br w:val="nil"/>
                    <w:tr2bl w:val="nil"/>
                  </w:tcBorders>
                  <w:vAlign w:val="center"/>
                </w:tcPr>
                <w:p w14:paraId="3735DC5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39" w:type="pct"/>
                  <w:tcBorders>
                    <w:tl2br w:val="nil"/>
                    <w:tr2bl w:val="nil"/>
                  </w:tcBorders>
                  <w:vAlign w:val="center"/>
                </w:tcPr>
                <w:p w14:paraId="3F97E3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17" w:type="pct"/>
                  <w:tcBorders>
                    <w:tl2br w:val="nil"/>
                    <w:tr2bl w:val="nil"/>
                  </w:tcBorders>
                  <w:vAlign w:val="center"/>
                </w:tcPr>
                <w:p w14:paraId="4763738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745" w:type="pct"/>
                  <w:tcBorders>
                    <w:tl2br w:val="nil"/>
                    <w:tr2bl w:val="nil"/>
                  </w:tcBorders>
                  <w:vAlign w:val="center"/>
                </w:tcPr>
                <w:p w14:paraId="4693147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eastAsia" w:ascii="Times New Roman" w:hAnsi="Times New Roman" w:eastAsia="宋体" w:cs="Times New Roman"/>
                      <w:spacing w:val="6"/>
                      <w:sz w:val="21"/>
                      <w:szCs w:val="21"/>
                      <w:lang w:val="en-US" w:eastAsia="zh-CN"/>
                    </w:rPr>
                    <w:t>0</w:t>
                  </w:r>
                </w:p>
              </w:tc>
            </w:tr>
            <w:tr w14:paraId="3D9DA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667C3B9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二</w:t>
                  </w:r>
                </w:p>
              </w:tc>
              <w:tc>
                <w:tcPr>
                  <w:tcW w:w="1861" w:type="pct"/>
                  <w:tcBorders>
                    <w:tl2br w:val="nil"/>
                    <w:tr2bl w:val="nil"/>
                  </w:tcBorders>
                  <w:vAlign w:val="center"/>
                </w:tcPr>
                <w:p w14:paraId="585C5DF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临时占地</w:t>
                  </w:r>
                </w:p>
              </w:tc>
              <w:tc>
                <w:tcPr>
                  <w:tcW w:w="610" w:type="pct"/>
                  <w:tcBorders>
                    <w:tl2br w:val="nil"/>
                    <w:tr2bl w:val="nil"/>
                  </w:tcBorders>
                  <w:vAlign w:val="center"/>
                </w:tcPr>
                <w:p w14:paraId="320AEDA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7EEE360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6284F5A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46246D4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2.14</w:t>
                  </w:r>
                </w:p>
              </w:tc>
            </w:tr>
            <w:tr w14:paraId="57AE5A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51205AF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61C1519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工程建设施工区</w:t>
                  </w:r>
                </w:p>
              </w:tc>
              <w:tc>
                <w:tcPr>
                  <w:tcW w:w="610" w:type="pct"/>
                  <w:tcBorders>
                    <w:tl2br w:val="nil"/>
                    <w:tr2bl w:val="nil"/>
                  </w:tcBorders>
                  <w:vAlign w:val="center"/>
                </w:tcPr>
                <w:p w14:paraId="7CE7B0E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39" w:type="pct"/>
                  <w:tcBorders>
                    <w:tl2br w:val="nil"/>
                    <w:tr2bl w:val="nil"/>
                  </w:tcBorders>
                  <w:vAlign w:val="center"/>
                </w:tcPr>
                <w:p w14:paraId="235E310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2AF1319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67BDE3D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r>
            <w:tr w14:paraId="5389E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782A15F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w:t>
                  </w:r>
                </w:p>
              </w:tc>
              <w:tc>
                <w:tcPr>
                  <w:tcW w:w="1861" w:type="pct"/>
                  <w:tcBorders>
                    <w:tl2br w:val="nil"/>
                    <w:tr2bl w:val="nil"/>
                  </w:tcBorders>
                  <w:vAlign w:val="center"/>
                </w:tcPr>
                <w:p w14:paraId="2EC66E3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施工临时道路区</w:t>
                  </w:r>
                </w:p>
              </w:tc>
              <w:tc>
                <w:tcPr>
                  <w:tcW w:w="610" w:type="pct"/>
                  <w:tcBorders>
                    <w:tl2br w:val="nil"/>
                    <w:tr2bl w:val="nil"/>
                  </w:tcBorders>
                  <w:vAlign w:val="center"/>
                </w:tcPr>
                <w:p w14:paraId="5D3538C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07EDAC7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0D87CEA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35D3562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1.20</w:t>
                  </w:r>
                </w:p>
              </w:tc>
            </w:tr>
            <w:tr w14:paraId="5AA6B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735D76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w:t>
                  </w:r>
                </w:p>
              </w:tc>
              <w:tc>
                <w:tcPr>
                  <w:tcW w:w="1861" w:type="pct"/>
                  <w:tcBorders>
                    <w:tl2br w:val="nil"/>
                    <w:tr2bl w:val="nil"/>
                  </w:tcBorders>
                  <w:vAlign w:val="center"/>
                </w:tcPr>
                <w:p w14:paraId="2DCE4A4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1#表土转存场（不计入总占地</w:t>
                  </w:r>
                  <w:r>
                    <w:rPr>
                      <w:rFonts w:hint="eastAsia" w:ascii="Times New Roman" w:hAnsi="Times New Roman" w:cs="Times New Roman"/>
                      <w:spacing w:val="6"/>
                      <w:sz w:val="21"/>
                      <w:szCs w:val="21"/>
                      <w:lang w:val="en-US" w:eastAsia="zh-CN"/>
                    </w:rPr>
                    <w:t>）</w:t>
                  </w:r>
                </w:p>
              </w:tc>
              <w:tc>
                <w:tcPr>
                  <w:tcW w:w="610" w:type="pct"/>
                  <w:tcBorders>
                    <w:tl2br w:val="nil"/>
                    <w:tr2bl w:val="nil"/>
                  </w:tcBorders>
                  <w:vAlign w:val="center"/>
                </w:tcPr>
                <w:p w14:paraId="46301D9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0.25</w:t>
                  </w:r>
                </w:p>
              </w:tc>
              <w:tc>
                <w:tcPr>
                  <w:tcW w:w="639" w:type="pct"/>
                  <w:tcBorders>
                    <w:tl2br w:val="nil"/>
                    <w:tr2bl w:val="nil"/>
                  </w:tcBorders>
                  <w:vAlign w:val="center"/>
                </w:tcPr>
                <w:p w14:paraId="607B85D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501372B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1FF804F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rPr>
                    <w:t>0.2</w:t>
                  </w:r>
                  <w:r>
                    <w:rPr>
                      <w:rFonts w:hint="default" w:ascii="Times New Roman" w:hAnsi="Times New Roman" w:eastAsia="宋体" w:cs="Times New Roman"/>
                      <w:spacing w:val="6"/>
                      <w:sz w:val="21"/>
                      <w:szCs w:val="21"/>
                      <w:lang w:val="en-US" w:eastAsia="zh-CN"/>
                    </w:rPr>
                    <w:t>5</w:t>
                  </w:r>
                </w:p>
              </w:tc>
            </w:tr>
            <w:tr w14:paraId="76FD4D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83E445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pacing w:val="6"/>
                      <w:sz w:val="21"/>
                      <w:szCs w:val="21"/>
                      <w:lang w:val="en-US" w:eastAsia="zh-CN"/>
                    </w:rPr>
                  </w:pPr>
                  <w:r>
                    <w:rPr>
                      <w:rFonts w:hint="eastAsia" w:ascii="Times New Roman" w:hAnsi="Times New Roman" w:cs="Times New Roman"/>
                      <w:spacing w:val="6"/>
                      <w:sz w:val="21"/>
                      <w:szCs w:val="21"/>
                      <w:lang w:val="en-US" w:eastAsia="zh-CN"/>
                    </w:rPr>
                    <w:t>4</w:t>
                  </w:r>
                </w:p>
              </w:tc>
              <w:tc>
                <w:tcPr>
                  <w:tcW w:w="1861" w:type="pct"/>
                  <w:tcBorders>
                    <w:tl2br w:val="nil"/>
                    <w:tr2bl w:val="nil"/>
                  </w:tcBorders>
                  <w:vAlign w:val="center"/>
                </w:tcPr>
                <w:p w14:paraId="293D1C2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2#表土转存场（不计入总占地）</w:t>
                  </w:r>
                </w:p>
              </w:tc>
              <w:tc>
                <w:tcPr>
                  <w:tcW w:w="610" w:type="pct"/>
                  <w:tcBorders>
                    <w:tl2br w:val="nil"/>
                    <w:tr2bl w:val="nil"/>
                  </w:tcBorders>
                  <w:vAlign w:val="center"/>
                </w:tcPr>
                <w:p w14:paraId="1BF0129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w:t>
                  </w:r>
                  <w:r>
                    <w:rPr>
                      <w:rFonts w:hint="eastAsia" w:ascii="Times New Roman" w:hAnsi="Times New Roman" w:eastAsia="宋体" w:cs="Times New Roman"/>
                      <w:spacing w:val="6"/>
                      <w:sz w:val="21"/>
                      <w:szCs w:val="21"/>
                      <w:lang w:val="en-US" w:eastAsia="zh-CN"/>
                    </w:rPr>
                    <w:t>6</w:t>
                  </w:r>
                </w:p>
              </w:tc>
              <w:tc>
                <w:tcPr>
                  <w:tcW w:w="639" w:type="pct"/>
                  <w:tcBorders>
                    <w:tl2br w:val="nil"/>
                    <w:tr2bl w:val="nil"/>
                  </w:tcBorders>
                  <w:vAlign w:val="center"/>
                </w:tcPr>
                <w:p w14:paraId="3D4BCF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77180AF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4B09D73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0.26</w:t>
                  </w:r>
                </w:p>
              </w:tc>
            </w:tr>
            <w:tr w14:paraId="1F2BF0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388" w:type="pct"/>
                  <w:gridSpan w:val="2"/>
                  <w:tcBorders>
                    <w:tl2br w:val="nil"/>
                    <w:tr2bl w:val="nil"/>
                  </w:tcBorders>
                  <w:vAlign w:val="center"/>
                </w:tcPr>
                <w:p w14:paraId="1271A11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合   计</w:t>
                  </w:r>
                </w:p>
              </w:tc>
              <w:tc>
                <w:tcPr>
                  <w:tcW w:w="610" w:type="pct"/>
                  <w:tcBorders>
                    <w:tl2br w:val="nil"/>
                    <w:tr2bl w:val="nil"/>
                  </w:tcBorders>
                  <w:vAlign w:val="center"/>
                </w:tcPr>
                <w:p w14:paraId="2F4710D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1657F70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2417C99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4B9FE57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2.14</w:t>
                  </w:r>
                </w:p>
              </w:tc>
            </w:tr>
          </w:tbl>
          <w:p w14:paraId="1B48574E">
            <w:pPr>
              <w:pStyle w:val="37"/>
              <w:bidi w:val="0"/>
              <w:ind w:left="0" w:leftChars="0" w:firstLine="0" w:firstLineChars="0"/>
              <w:rPr>
                <w:rFonts w:hint="eastAsia"/>
                <w:b/>
                <w:bCs/>
                <w:color w:val="auto"/>
                <w:lang w:val="en-US" w:eastAsia="zh-CN"/>
              </w:rPr>
            </w:pPr>
          </w:p>
          <w:p w14:paraId="73AFCEBC">
            <w:pPr>
              <w:pStyle w:val="37"/>
              <w:bidi w:val="0"/>
              <w:rPr>
                <w:rFonts w:hint="eastAsia"/>
                <w:b/>
                <w:bCs/>
                <w:color w:val="auto"/>
                <w:lang w:val="en-US" w:eastAsia="zh-CN"/>
              </w:rPr>
            </w:pPr>
            <w:r>
              <w:rPr>
                <w:rFonts w:hint="eastAsia"/>
                <w:b/>
                <w:bCs/>
                <w:color w:val="auto"/>
                <w:lang w:val="en-US" w:eastAsia="zh-CN"/>
              </w:rPr>
              <w:t>2、陆生生态环境现状</w:t>
            </w:r>
          </w:p>
          <w:p w14:paraId="038F2ED6">
            <w:pPr>
              <w:spacing w:line="360" w:lineRule="auto"/>
              <w:ind w:firstLine="482" w:firstLineChars="200"/>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eastAsia="宋体" w:cs="Times New Roman"/>
                <w:b/>
                <w:bCs/>
                <w:color w:val="auto"/>
              </w:rPr>
              <w:t>.1 评价范围</w:t>
            </w:r>
          </w:p>
          <w:p w14:paraId="5E06D62F">
            <w:pPr>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14:textFill>
                  <w14:solidFill>
                    <w14:schemeClr w14:val="tx1"/>
                  </w14:solidFill>
                </w14:textFill>
              </w:rPr>
              <w:t>本次陆生生态评价根据工程方案确定调查范围和调查线路，</w:t>
            </w:r>
            <w:r>
              <w:rPr>
                <w:rFonts w:hint="default" w:ascii="Times New Roman" w:hAnsi="Times New Roman" w:eastAsia="宋体" w:cs="Times New Roman"/>
                <w:color w:val="000000"/>
                <w:sz w:val="24"/>
              </w:rPr>
              <w:t>以河堤两侧外延300m为调查范围</w:t>
            </w:r>
            <w:r>
              <w:rPr>
                <w:rFonts w:hint="eastAsia" w:eastAsia="宋体" w:cs="Times New Roman"/>
                <w:color w:val="000000"/>
                <w:sz w:val="24"/>
                <w:lang w:eastAsia="zh-CN"/>
              </w:rPr>
              <w:t>，合计调查面积约229.8</w:t>
            </w:r>
            <w:r>
              <w:rPr>
                <w:rFonts w:hint="eastAsia" w:eastAsia="宋体" w:cs="Times New Roman"/>
                <w:color w:val="000000"/>
                <w:sz w:val="24"/>
                <w:lang w:val="en-US" w:eastAsia="zh-CN"/>
              </w:rPr>
              <w:t>hm</w:t>
            </w:r>
            <w:r>
              <w:rPr>
                <w:rFonts w:hint="eastAsia" w:eastAsia="宋体" w:cs="Times New Roman"/>
                <w:color w:val="000000"/>
                <w:sz w:val="24"/>
                <w:vertAlign w:val="superscript"/>
                <w:lang w:val="en-US" w:eastAsia="zh-CN"/>
              </w:rPr>
              <w:t>2</w:t>
            </w:r>
            <w:r>
              <w:rPr>
                <w:rFonts w:hint="eastAsia" w:eastAsia="宋体" w:cs="Times New Roman"/>
                <w:color w:val="000000"/>
                <w:sz w:val="24"/>
                <w:lang w:val="en-US" w:eastAsia="zh-CN"/>
              </w:rPr>
              <w:t>。</w:t>
            </w:r>
          </w:p>
          <w:p w14:paraId="7222B5BF">
            <w:pPr>
              <w:spacing w:line="360" w:lineRule="auto"/>
              <w:ind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.2 调查方法</w:t>
            </w:r>
          </w:p>
          <w:p w14:paraId="4C679836">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（1）植物植被</w:t>
            </w:r>
          </w:p>
          <w:p w14:paraId="016D7C3D">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植被、植物的调查主要采用线路调查法，沿现有道路调查评价区范围内的植被及植物分布情况，记录沿途目力范围内发现的植被类型和植物种类，重点关注评价区内的古树名木、保护植物、地方特有种。</w:t>
            </w:r>
          </w:p>
          <w:p w14:paraId="2DE537F0">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向当地相关部门收集该地区地方志、保护区科学考察报告和林业资源二类调查报告等地方资料；同时参考《云南植被》、《中国植被》、《云南森林》、《云南植物志》、《中国植物志》、《Flora of</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eastAsia="宋体" w:cs="Times New Roman"/>
                <w:color w:val="000000" w:themeColor="text1"/>
                <w:lang w:val="en-US" w:eastAsia="zh-CN"/>
                <w14:textFill>
                  <w14:solidFill>
                    <w14:schemeClr w14:val="tx1"/>
                  </w14:solidFill>
                </w14:textFill>
              </w:rPr>
              <w:t>China》等文献中记录于该区域的资料，以及区域重大工程环评生态现状调查资料。</w:t>
            </w:r>
          </w:p>
          <w:p w14:paraId="792DA330">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（2）陆栖脊椎动物调查方法</w:t>
            </w:r>
          </w:p>
          <w:p w14:paraId="28416A16">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陆栖脊椎动物调查以野外现场调查、访问调查和查阅文献资料相结合的方式进行。</w:t>
            </w:r>
          </w:p>
          <w:p w14:paraId="0CEE25D7">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访问调查则对评价区内放牧的村民进行了访问记录，通过指认《中国鸟类野外手册》等常用工具书中的动物图片，记录了体形较大、特征较明显的群众易分辨种类。</w:t>
            </w:r>
          </w:p>
          <w:p w14:paraId="6EA8DE74">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文献资料以《中国哺乳动物分布》、《中国哺乳动物物种和亚种分类名录与分布大全》、《云南鸟类志》、《云南鸟类名录》、《云南两栖爬行动物》、《云南两栖类志》等记载的该区的各类群动物。同时，根据国家重点保护野生动物名录、云南省重点保护野生动物名录、《中国生物多样性红色名录•脊椎动物卷》（2015）、《濒危野生动植物种国际贸易公约》（CITES）附录I、附录II，以及《中国生物多样性红色名录•脊椎动物卷》（2015），确定动物的特有种和保护物种。</w:t>
            </w:r>
          </w:p>
          <w:p w14:paraId="32100ACD">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（3）调查人员及时间</w:t>
            </w:r>
          </w:p>
          <w:p w14:paraId="1868585A">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评价单位项目组成员于202</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月初对项目路线评价区域内的植物植被和陆栖脊椎动物现状进行了野外调查。</w:t>
            </w:r>
          </w:p>
          <w:p w14:paraId="720B17A0">
            <w:pPr>
              <w:spacing w:line="360" w:lineRule="auto"/>
              <w:ind w:firstLine="482" w:firstLineChars="200"/>
              <w:jc w:val="left"/>
              <w:rPr>
                <w:rFonts w:hint="default" w:ascii="Times New Roman" w:hAnsi="Times New Roman" w:eastAsia="宋体" w:cs="Times New Roman"/>
                <w:b/>
                <w:bCs/>
                <w:color w:val="000000"/>
                <w:sz w:val="24"/>
              </w:rPr>
            </w:pPr>
            <w:r>
              <w:rPr>
                <w:rFonts w:hint="eastAsia" w:eastAsia="宋体" w:cs="Times New Roman"/>
                <w:b/>
                <w:bCs/>
                <w:color w:val="000000"/>
                <w:sz w:val="24"/>
                <w:lang w:val="en-US" w:eastAsia="zh-CN"/>
              </w:rPr>
              <w:t>2.3植物植被</w:t>
            </w:r>
            <w:r>
              <w:rPr>
                <w:rFonts w:hint="default" w:ascii="Times New Roman" w:hAnsi="Times New Roman" w:eastAsia="宋体" w:cs="Times New Roman"/>
                <w:b/>
                <w:bCs/>
                <w:color w:val="000000"/>
                <w:sz w:val="24"/>
              </w:rPr>
              <w:t>现状调查及评价</w:t>
            </w:r>
          </w:p>
          <w:p w14:paraId="0DE4CF80">
            <w:pPr>
              <w:spacing w:line="360" w:lineRule="auto"/>
              <w:ind w:firstLine="52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根据《中国植被</w:t>
            </w:r>
            <w:r>
              <w:rPr>
                <w:rFonts w:hint="eastAsia" w:ascii="Times New Roman" w:hAnsi="Times New Roman" w:cs="Times New Roman"/>
                <w:color w:val="000000"/>
                <w:sz w:val="24"/>
                <w:lang w:eastAsia="zh-CN"/>
              </w:rPr>
              <w:t>》《</w:t>
            </w:r>
            <w:r>
              <w:rPr>
                <w:rFonts w:hint="default" w:ascii="Times New Roman" w:hAnsi="Times New Roman" w:eastAsia="宋体" w:cs="Times New Roman"/>
                <w:color w:val="000000"/>
                <w:sz w:val="24"/>
              </w:rPr>
              <w:t>云南植被》等专著中确定的植被分类的依据和原则，结合野外实地考察记录表明，本次</w:t>
            </w:r>
            <w:r>
              <w:rPr>
                <w:rFonts w:hint="eastAsia" w:eastAsia="宋体" w:cs="Times New Roman"/>
                <w:color w:val="000000"/>
                <w:sz w:val="24"/>
                <w:lang w:eastAsia="zh-CN"/>
              </w:rPr>
              <w:t>芒市大河</w:t>
            </w:r>
            <w:r>
              <w:rPr>
                <w:rFonts w:hint="default" w:ascii="Times New Roman" w:hAnsi="Times New Roman" w:eastAsia="宋体" w:cs="Times New Roman"/>
                <w:color w:val="000000"/>
                <w:sz w:val="24"/>
              </w:rPr>
              <w:t>治理段河堤沿线300m范围内主要分布有乔木、灌木、草丛、道路、村庄、河流等。根据植被分布的地带性规律和评价区的地理位置及气候条件可知，项目区域处于河谷盆地，为季风热带北缘，降雨充沛，但干湿季分明。区域植被在《云南植被》中属于IAii季风热带北缘季节雨林、半常绿季雨林地带，IAii-1滇南、滇西南间山盆地季节雨林、半常绿季雨林区，IAii-1c滇西南中山宽谷高榕、麻栎林亚区；区域水平地带性植被类型为半常绿季雨林。</w:t>
            </w:r>
          </w:p>
          <w:p w14:paraId="01FD2A01">
            <w:pPr>
              <w:spacing w:line="360" w:lineRule="auto"/>
              <w:ind w:firstLine="52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rPr>
              <w:t>由于区域农垦活动历史较悠久，受当地群众频繁干扰的影响，区域内的半常绿季雨林仅在</w:t>
            </w:r>
            <w:r>
              <w:rPr>
                <w:rFonts w:hint="eastAsia" w:eastAsia="宋体" w:cs="Times New Roman"/>
                <w:color w:val="000000"/>
                <w:sz w:val="24"/>
                <w:lang w:eastAsia="zh-CN"/>
              </w:rPr>
              <w:t>芒市大河</w:t>
            </w:r>
            <w:r>
              <w:rPr>
                <w:rFonts w:hint="default" w:ascii="Times New Roman" w:hAnsi="Times New Roman" w:eastAsia="宋体" w:cs="Times New Roman"/>
                <w:color w:val="000000"/>
                <w:sz w:val="24"/>
              </w:rPr>
              <w:t>局部江岸200m范围内残存有少量林分，因筑堤防洪需要，较平缓江段的林中多人工种植四籽柳、竹类，加之受旅游、放牧等</w:t>
            </w:r>
            <w:r>
              <w:rPr>
                <w:rFonts w:hint="default" w:ascii="Times New Roman" w:hAnsi="Times New Roman" w:eastAsia="宋体" w:cs="Times New Roman"/>
                <w:color w:val="000000"/>
                <w:sz w:val="24"/>
                <w:lang w:eastAsia="zh-CN"/>
              </w:rPr>
              <w:t>人为活动干扰，区域内自然植被表现出较强的次生性。详细介绍如下：</w:t>
            </w:r>
          </w:p>
          <w:p w14:paraId="132E40CE">
            <w:pPr>
              <w:spacing w:line="360" w:lineRule="auto"/>
              <w:ind w:firstLine="52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eastAsia="zh-CN"/>
              </w:rPr>
              <w:t>）植物</w:t>
            </w:r>
            <w:r>
              <w:rPr>
                <w:rFonts w:hint="default" w:ascii="Times New Roman" w:hAnsi="Times New Roman" w:eastAsia="宋体" w:cs="Times New Roman"/>
                <w:b/>
                <w:bCs/>
                <w:color w:val="auto"/>
                <w:sz w:val="24"/>
                <w:lang w:val="en-US" w:eastAsia="zh-CN"/>
              </w:rPr>
              <w:t>分类系统</w:t>
            </w:r>
          </w:p>
          <w:p w14:paraId="2E78DD4B">
            <w:pPr>
              <w:spacing w:line="360" w:lineRule="auto"/>
              <w:ind w:firstLine="520"/>
              <w:rPr>
                <w:rFonts w:hint="default" w:ascii="Times New Roman" w:hAnsi="Times New Roman" w:cs="Times New Roman"/>
                <w:color w:val="000000"/>
              </w:rPr>
            </w:pPr>
            <w:r>
              <w:rPr>
                <w:rFonts w:hint="default" w:ascii="Times New Roman" w:hAnsi="Times New Roman" w:eastAsia="宋体" w:cs="Times New Roman"/>
                <w:color w:val="000000"/>
                <w:sz w:val="24"/>
                <w:lang w:eastAsia="zh-CN"/>
              </w:rPr>
              <w:t>根据调查，评价区范围内涉及的自然植被类型较丰富，根据现有的植被状况，依据《云南植被》中</w:t>
            </w:r>
            <w:r>
              <w:rPr>
                <w:rFonts w:hint="default" w:ascii="Times New Roman" w:hAnsi="Times New Roman" w:cs="Times New Roman"/>
                <w:color w:val="000000"/>
              </w:rPr>
              <w:t>采用的分类系统，并参考《中国植被</w:t>
            </w:r>
            <w:r>
              <w:rPr>
                <w:rFonts w:hint="default" w:ascii="Times New Roman" w:hAnsi="Times New Roman" w:cs="Times New Roman"/>
                <w:color w:val="000000"/>
                <w:lang w:eastAsia="zh-CN"/>
              </w:rPr>
              <w:t>》《</w:t>
            </w:r>
            <w:r>
              <w:rPr>
                <w:rFonts w:hint="default" w:ascii="Times New Roman" w:hAnsi="Times New Roman" w:cs="Times New Roman"/>
                <w:color w:val="000000"/>
              </w:rPr>
              <w:t>云南森林》等重要的植被专著，遵循群落学</w:t>
            </w:r>
            <w:r>
              <w:rPr>
                <w:rFonts w:hint="default" w:ascii="Times New Roman" w:hAnsi="Times New Roman" w:cs="Times New Roman"/>
                <w:color w:val="000000"/>
                <w:lang w:eastAsia="zh-CN"/>
              </w:rPr>
              <w:t>－</w:t>
            </w:r>
            <w:r>
              <w:rPr>
                <w:rFonts w:hint="default" w:ascii="Times New Roman" w:hAnsi="Times New Roman" w:cs="Times New Roman"/>
                <w:color w:val="000000"/>
              </w:rPr>
              <w:t>生态学的分类原则，评价区出现的植被可划分为4个植被型、5个植被亚型和6个群落类型。自然植被分类系统见下表：</w:t>
            </w:r>
          </w:p>
          <w:p w14:paraId="0455A5ED">
            <w:pPr>
              <w:pStyle w:val="84"/>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表</w:t>
            </w:r>
            <w:r>
              <w:rPr>
                <w:rFonts w:hint="default" w:ascii="Times New Roman" w:hAnsi="Times New Roman" w:cs="Times New Roman"/>
                <w:color w:val="000000"/>
                <w:sz w:val="21"/>
                <w:szCs w:val="21"/>
                <w:lang w:val="en-US" w:eastAsia="zh-CN"/>
              </w:rPr>
              <w:t>3-</w:t>
            </w:r>
            <w:r>
              <w:rPr>
                <w:rFonts w:hint="eastAsia" w:cs="Times New Roman"/>
                <w:color w:val="000000"/>
                <w:sz w:val="21"/>
                <w:szCs w:val="21"/>
                <w:lang w:val="en-US" w:eastAsia="zh-CN"/>
              </w:rPr>
              <w:t>3</w:t>
            </w:r>
            <w:r>
              <w:rPr>
                <w:rFonts w:hint="default" w:ascii="Times New Roman" w:hAnsi="Times New Roman" w:cs="Times New Roman"/>
                <w:color w:val="000000"/>
                <w:sz w:val="21"/>
                <w:szCs w:val="21"/>
              </w:rPr>
              <w:t xml:space="preserve">    评价区自然植被类型一览表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2609"/>
              <w:gridCol w:w="3142"/>
            </w:tblGrid>
            <w:tr w14:paraId="7979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76" w:type="dxa"/>
                  <w:tcBorders>
                    <w:tl2br w:val="nil"/>
                    <w:tr2bl w:val="nil"/>
                  </w:tcBorders>
                  <w:noWrap w:val="0"/>
                  <w:vAlign w:val="center"/>
                </w:tcPr>
                <w:p w14:paraId="053F563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植被型</w:t>
                  </w:r>
                </w:p>
              </w:tc>
              <w:tc>
                <w:tcPr>
                  <w:tcW w:w="2836" w:type="dxa"/>
                  <w:tcBorders>
                    <w:tl2br w:val="nil"/>
                    <w:tr2bl w:val="nil"/>
                  </w:tcBorders>
                  <w:noWrap w:val="0"/>
                  <w:vAlign w:val="center"/>
                </w:tcPr>
                <w:p w14:paraId="78EFFEE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植被亚型</w:t>
                  </w:r>
                </w:p>
              </w:tc>
              <w:tc>
                <w:tcPr>
                  <w:tcW w:w="3403" w:type="dxa"/>
                  <w:tcBorders>
                    <w:tl2br w:val="nil"/>
                    <w:tr2bl w:val="nil"/>
                  </w:tcBorders>
                  <w:noWrap w:val="0"/>
                  <w:vAlign w:val="center"/>
                </w:tcPr>
                <w:p w14:paraId="51145EC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群系</w:t>
                  </w:r>
                </w:p>
              </w:tc>
            </w:tr>
            <w:tr w14:paraId="27461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176" w:type="dxa"/>
                  <w:tcBorders>
                    <w:tl2br w:val="nil"/>
                    <w:tr2bl w:val="nil"/>
                  </w:tcBorders>
                  <w:noWrap w:val="0"/>
                  <w:vAlign w:val="center"/>
                </w:tcPr>
                <w:p w14:paraId="033A15E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一、季风常绿阔叶林</w:t>
                  </w:r>
                </w:p>
              </w:tc>
              <w:tc>
                <w:tcPr>
                  <w:tcW w:w="2836" w:type="dxa"/>
                  <w:tcBorders>
                    <w:tl2br w:val="nil"/>
                    <w:tr2bl w:val="nil"/>
                  </w:tcBorders>
                  <w:noWrap w:val="0"/>
                  <w:vAlign w:val="center"/>
                </w:tcPr>
                <w:p w14:paraId="4969A3E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1、常绿落叶阔叶混交林</w:t>
                  </w:r>
                </w:p>
              </w:tc>
              <w:tc>
                <w:tcPr>
                  <w:tcW w:w="3403" w:type="dxa"/>
                  <w:tcBorders>
                    <w:tl2br w:val="nil"/>
                    <w:tr2bl w:val="nil"/>
                  </w:tcBorders>
                  <w:noWrap w:val="0"/>
                  <w:vAlign w:val="center"/>
                </w:tcPr>
                <w:p w14:paraId="117C742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（1）西南桦、红木荷林</w:t>
                  </w:r>
                </w:p>
              </w:tc>
            </w:tr>
            <w:tr w14:paraId="406FA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176" w:type="dxa"/>
                  <w:tcBorders>
                    <w:tl2br w:val="nil"/>
                    <w:tr2bl w:val="nil"/>
                  </w:tcBorders>
                  <w:noWrap w:val="0"/>
                  <w:vAlign w:val="center"/>
                </w:tcPr>
                <w:p w14:paraId="59561C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二、稀树灌草丛</w:t>
                  </w:r>
                </w:p>
              </w:tc>
              <w:tc>
                <w:tcPr>
                  <w:tcW w:w="2836" w:type="dxa"/>
                  <w:tcBorders>
                    <w:tl2br w:val="nil"/>
                    <w:tr2bl w:val="nil"/>
                  </w:tcBorders>
                  <w:noWrap w:val="0"/>
                  <w:vAlign w:val="center"/>
                </w:tcPr>
                <w:p w14:paraId="506A056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2、热性稀树灌草丛</w:t>
                  </w:r>
                </w:p>
              </w:tc>
              <w:tc>
                <w:tcPr>
                  <w:tcW w:w="3403" w:type="dxa"/>
                  <w:tcBorders>
                    <w:tl2br w:val="nil"/>
                    <w:tr2bl w:val="nil"/>
                  </w:tcBorders>
                  <w:noWrap w:val="0"/>
                  <w:vAlign w:val="center"/>
                </w:tcPr>
                <w:p w14:paraId="4E68354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（2）含毛麻楝、黄牛木的中草草丛</w:t>
                  </w:r>
                </w:p>
              </w:tc>
            </w:tr>
            <w:tr w14:paraId="3E87A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176" w:type="dxa"/>
                  <w:tcBorders>
                    <w:tl2br w:val="nil"/>
                    <w:tr2bl w:val="nil"/>
                  </w:tcBorders>
                  <w:noWrap w:val="0"/>
                  <w:vAlign w:val="center"/>
                </w:tcPr>
                <w:p w14:paraId="19CEE08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三、竹林</w:t>
                  </w:r>
                </w:p>
              </w:tc>
              <w:tc>
                <w:tcPr>
                  <w:tcW w:w="2836" w:type="dxa"/>
                  <w:tcBorders>
                    <w:tl2br w:val="nil"/>
                    <w:tr2bl w:val="nil"/>
                  </w:tcBorders>
                  <w:noWrap w:val="0"/>
                  <w:vAlign w:val="center"/>
                </w:tcPr>
                <w:p w14:paraId="019C993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3、暖热性竹林</w:t>
                  </w:r>
                </w:p>
              </w:tc>
              <w:tc>
                <w:tcPr>
                  <w:tcW w:w="3403" w:type="dxa"/>
                  <w:tcBorders>
                    <w:tl2br w:val="nil"/>
                    <w:tr2bl w:val="nil"/>
                  </w:tcBorders>
                  <w:noWrap w:val="0"/>
                  <w:vAlign w:val="center"/>
                </w:tcPr>
                <w:p w14:paraId="08E762F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（3）凤尾竹林</w:t>
                  </w:r>
                </w:p>
              </w:tc>
            </w:tr>
            <w:tr w14:paraId="53665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176" w:type="dxa"/>
                  <w:vMerge w:val="restart"/>
                  <w:tcBorders>
                    <w:tl2br w:val="nil"/>
                    <w:tr2bl w:val="nil"/>
                  </w:tcBorders>
                  <w:noWrap w:val="0"/>
                  <w:vAlign w:val="center"/>
                </w:tcPr>
                <w:p w14:paraId="055AFA2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四、草丛</w:t>
                  </w:r>
                </w:p>
              </w:tc>
              <w:tc>
                <w:tcPr>
                  <w:tcW w:w="2836" w:type="dxa"/>
                  <w:vMerge w:val="restart"/>
                  <w:tcBorders>
                    <w:tl2br w:val="nil"/>
                    <w:tr2bl w:val="nil"/>
                  </w:tcBorders>
                  <w:noWrap w:val="0"/>
                  <w:vAlign w:val="center"/>
                </w:tcPr>
                <w:p w14:paraId="4C66F77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4、杂草草丛</w:t>
                  </w:r>
                </w:p>
              </w:tc>
              <w:tc>
                <w:tcPr>
                  <w:tcW w:w="3403" w:type="dxa"/>
                  <w:tcBorders>
                    <w:tl2br w:val="nil"/>
                    <w:tr2bl w:val="nil"/>
                  </w:tcBorders>
                  <w:noWrap w:val="0"/>
                  <w:vAlign w:val="center"/>
                </w:tcPr>
                <w:p w14:paraId="097FC63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（4）肿柄菊草丛</w:t>
                  </w:r>
                </w:p>
              </w:tc>
            </w:tr>
            <w:tr w14:paraId="0C9F3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176" w:type="dxa"/>
                  <w:vMerge w:val="continue"/>
                  <w:tcBorders>
                    <w:tl2br w:val="nil"/>
                    <w:tr2bl w:val="nil"/>
                  </w:tcBorders>
                  <w:noWrap w:val="0"/>
                  <w:vAlign w:val="center"/>
                </w:tcPr>
                <w:p w14:paraId="1E3EE1E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2836" w:type="dxa"/>
                  <w:vMerge w:val="continue"/>
                  <w:tcBorders>
                    <w:tl2br w:val="nil"/>
                    <w:tr2bl w:val="nil"/>
                  </w:tcBorders>
                  <w:noWrap w:val="0"/>
                  <w:vAlign w:val="center"/>
                </w:tcPr>
                <w:p w14:paraId="6EAA684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3403" w:type="dxa"/>
                  <w:tcBorders>
                    <w:tl2br w:val="nil"/>
                    <w:tr2bl w:val="nil"/>
                  </w:tcBorders>
                  <w:noWrap w:val="0"/>
                  <w:vAlign w:val="center"/>
                </w:tcPr>
                <w:p w14:paraId="763198A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（5）飞机草草丛</w:t>
                  </w:r>
                </w:p>
              </w:tc>
            </w:tr>
            <w:tr w14:paraId="2D71A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176" w:type="dxa"/>
                  <w:vMerge w:val="continue"/>
                  <w:tcBorders>
                    <w:tl2br w:val="nil"/>
                    <w:tr2bl w:val="nil"/>
                  </w:tcBorders>
                  <w:noWrap w:val="0"/>
                  <w:vAlign w:val="center"/>
                </w:tcPr>
                <w:p w14:paraId="281F58C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2836" w:type="dxa"/>
                  <w:tcBorders>
                    <w:tl2br w:val="nil"/>
                    <w:tr2bl w:val="nil"/>
                  </w:tcBorders>
                  <w:noWrap w:val="0"/>
                  <w:vAlign w:val="center"/>
                </w:tcPr>
                <w:p w14:paraId="2F4291E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5、热性草丛</w:t>
                  </w:r>
                </w:p>
              </w:tc>
              <w:tc>
                <w:tcPr>
                  <w:tcW w:w="3403" w:type="dxa"/>
                  <w:tcBorders>
                    <w:tl2br w:val="nil"/>
                    <w:tr2bl w:val="nil"/>
                  </w:tcBorders>
                  <w:noWrap w:val="0"/>
                  <w:vAlign w:val="center"/>
                </w:tcPr>
                <w:p w14:paraId="255BF89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（6）卡开芦草丛</w:t>
                  </w:r>
                </w:p>
              </w:tc>
            </w:tr>
          </w:tbl>
          <w:p w14:paraId="51DF64EA">
            <w:pPr>
              <w:spacing w:line="360" w:lineRule="auto"/>
              <w:ind w:firstLine="480" w:firstLineChars="200"/>
              <w:rPr>
                <w:rFonts w:hint="default" w:ascii="Times New Roman" w:hAnsi="Times New Roman" w:eastAsia="宋体" w:cs="Times New Roman"/>
                <w:b/>
                <w:color w:val="000000"/>
                <w:sz w:val="24"/>
              </w:rPr>
            </w:pPr>
            <w:r>
              <w:rPr>
                <w:rFonts w:hint="default" w:ascii="Times New Roman" w:hAnsi="Times New Roman" w:eastAsia="宋体" w:cs="Times New Roman"/>
                <w:bCs/>
                <w:color w:val="000000"/>
                <w:sz w:val="24"/>
              </w:rPr>
              <w:t>本次评价调查区植被及土地利用类型占地面积如下：</w:t>
            </w:r>
          </w:p>
          <w:p w14:paraId="6DBA9098">
            <w:pPr>
              <w:spacing w:line="24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表3-</w:t>
            </w:r>
            <w:r>
              <w:rPr>
                <w:rFonts w:hint="eastAsia" w:cs="Times New Roman"/>
                <w:b/>
                <w:color w:val="000000"/>
                <w:sz w:val="21"/>
                <w:szCs w:val="21"/>
                <w:lang w:val="en-US" w:eastAsia="zh-CN"/>
              </w:rPr>
              <w:t>4</w:t>
            </w:r>
            <w:r>
              <w:rPr>
                <w:rFonts w:hint="default" w:ascii="Times New Roman" w:hAnsi="Times New Roman" w:eastAsia="宋体" w:cs="Times New Roman"/>
                <w:b/>
                <w:color w:val="000000"/>
                <w:sz w:val="21"/>
                <w:szCs w:val="21"/>
              </w:rPr>
              <w:t xml:space="preserve">   评价区植被及土地利用类型占地面积一览表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196"/>
              <w:gridCol w:w="1636"/>
              <w:gridCol w:w="2899"/>
              <w:gridCol w:w="1015"/>
            </w:tblGrid>
            <w:tr w14:paraId="67F91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64" w:type="pct"/>
                  <w:tcBorders>
                    <w:tl2br w:val="nil"/>
                    <w:tr2bl w:val="nil"/>
                  </w:tcBorders>
                  <w:noWrap w:val="0"/>
                  <w:vAlign w:val="center"/>
                </w:tcPr>
                <w:p w14:paraId="1DA80ED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植被属性</w:t>
                  </w:r>
                </w:p>
              </w:tc>
              <w:tc>
                <w:tcPr>
                  <w:tcW w:w="772" w:type="pct"/>
                  <w:tcBorders>
                    <w:tl2br w:val="nil"/>
                    <w:tr2bl w:val="nil"/>
                  </w:tcBorders>
                  <w:noWrap w:val="0"/>
                  <w:vAlign w:val="center"/>
                </w:tcPr>
                <w:p w14:paraId="0ECFA51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植被亚型</w:t>
                  </w:r>
                </w:p>
              </w:tc>
              <w:tc>
                <w:tcPr>
                  <w:tcW w:w="1056" w:type="pct"/>
                  <w:tcBorders>
                    <w:tl2br w:val="nil"/>
                    <w:tr2bl w:val="nil"/>
                  </w:tcBorders>
                  <w:noWrap w:val="0"/>
                  <w:vAlign w:val="center"/>
                </w:tcPr>
                <w:p w14:paraId="28E33B0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群系</w:t>
                  </w:r>
                </w:p>
              </w:tc>
              <w:tc>
                <w:tcPr>
                  <w:tcW w:w="1868" w:type="pct"/>
                  <w:tcBorders>
                    <w:tl2br w:val="nil"/>
                    <w:tr2bl w:val="nil"/>
                  </w:tcBorders>
                  <w:noWrap w:val="0"/>
                  <w:vAlign w:val="center"/>
                </w:tcPr>
                <w:p w14:paraId="575267C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分布情况</w:t>
                  </w:r>
                </w:p>
              </w:tc>
              <w:tc>
                <w:tcPr>
                  <w:tcW w:w="638" w:type="pct"/>
                  <w:tcBorders>
                    <w:tl2br w:val="nil"/>
                    <w:tr2bl w:val="nil"/>
                  </w:tcBorders>
                  <w:noWrap w:val="0"/>
                  <w:vAlign w:val="center"/>
                </w:tcPr>
                <w:p w14:paraId="263DC21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面积（hm</w:t>
                  </w:r>
                  <w:r>
                    <w:rPr>
                      <w:rFonts w:hint="default" w:ascii="Times New Roman" w:hAnsi="Times New Roman" w:eastAsia="宋体" w:cs="Times New Roman"/>
                      <w:spacing w:val="6"/>
                      <w:sz w:val="21"/>
                      <w:szCs w:val="21"/>
                      <w:vertAlign w:val="superscript"/>
                      <w:lang w:val="en-US" w:eastAsia="zh-CN"/>
                    </w:rPr>
                    <w:t>2</w:t>
                  </w:r>
                  <w:r>
                    <w:rPr>
                      <w:rFonts w:hint="default" w:ascii="Times New Roman" w:hAnsi="Times New Roman" w:eastAsia="宋体" w:cs="Times New Roman"/>
                      <w:spacing w:val="6"/>
                      <w:sz w:val="21"/>
                      <w:szCs w:val="21"/>
                      <w:lang w:val="en-US" w:eastAsia="zh-CN"/>
                    </w:rPr>
                    <w:t>）</w:t>
                  </w:r>
                </w:p>
              </w:tc>
            </w:tr>
            <w:tr w14:paraId="284CE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restart"/>
                  <w:tcBorders>
                    <w:tl2br w:val="nil"/>
                    <w:tr2bl w:val="nil"/>
                  </w:tcBorders>
                  <w:noWrap w:val="0"/>
                  <w:vAlign w:val="center"/>
                </w:tcPr>
                <w:p w14:paraId="53560E8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①自然植被（含萌生、次生植被）</w:t>
                  </w:r>
                </w:p>
              </w:tc>
              <w:tc>
                <w:tcPr>
                  <w:tcW w:w="772" w:type="pct"/>
                  <w:tcBorders>
                    <w:tl2br w:val="nil"/>
                    <w:tr2bl w:val="nil"/>
                  </w:tcBorders>
                  <w:noWrap w:val="0"/>
                  <w:vAlign w:val="center"/>
                </w:tcPr>
                <w:p w14:paraId="37995B2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常绿落叶阔叶混交林</w:t>
                  </w:r>
                </w:p>
              </w:tc>
              <w:tc>
                <w:tcPr>
                  <w:tcW w:w="1056" w:type="pct"/>
                  <w:tcBorders>
                    <w:tl2br w:val="nil"/>
                    <w:tr2bl w:val="nil"/>
                  </w:tcBorders>
                  <w:noWrap w:val="0"/>
                  <w:vAlign w:val="center"/>
                </w:tcPr>
                <w:p w14:paraId="26FAB8F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西南桦、红木荷林</w:t>
                  </w:r>
                </w:p>
              </w:tc>
              <w:tc>
                <w:tcPr>
                  <w:tcW w:w="1868" w:type="pct"/>
                  <w:tcBorders>
                    <w:tl2br w:val="nil"/>
                    <w:tr2bl w:val="nil"/>
                  </w:tcBorders>
                  <w:noWrap w:val="0"/>
                  <w:vAlign w:val="center"/>
                </w:tcPr>
                <w:p w14:paraId="62B89AA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分布较分散，分散分布于调查区域山坡及河流两岸</w:t>
                  </w:r>
                </w:p>
              </w:tc>
              <w:tc>
                <w:tcPr>
                  <w:tcW w:w="638" w:type="pct"/>
                  <w:tcBorders>
                    <w:tl2br w:val="nil"/>
                    <w:tr2bl w:val="nil"/>
                  </w:tcBorders>
                  <w:noWrap w:val="0"/>
                  <w:vAlign w:val="center"/>
                </w:tcPr>
                <w:p w14:paraId="7FB8C7A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12.4</w:t>
                  </w:r>
                </w:p>
              </w:tc>
            </w:tr>
            <w:tr w14:paraId="3FCF5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tcBorders>
                    <w:tl2br w:val="nil"/>
                    <w:tr2bl w:val="nil"/>
                  </w:tcBorders>
                  <w:noWrap w:val="0"/>
                  <w:vAlign w:val="center"/>
                </w:tcPr>
                <w:p w14:paraId="05B97F2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tcBorders>
                    <w:tl2br w:val="nil"/>
                    <w:tr2bl w:val="nil"/>
                  </w:tcBorders>
                  <w:noWrap w:val="0"/>
                  <w:vAlign w:val="center"/>
                </w:tcPr>
                <w:p w14:paraId="54B9010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热性稀树灌草丛</w:t>
                  </w:r>
                </w:p>
              </w:tc>
              <w:tc>
                <w:tcPr>
                  <w:tcW w:w="1056" w:type="pct"/>
                  <w:tcBorders>
                    <w:tl2br w:val="nil"/>
                    <w:tr2bl w:val="nil"/>
                  </w:tcBorders>
                  <w:noWrap w:val="0"/>
                  <w:vAlign w:val="center"/>
                </w:tcPr>
                <w:p w14:paraId="23E21DE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含毛麻楝、黄牛木的中草草丛</w:t>
                  </w:r>
                </w:p>
              </w:tc>
              <w:tc>
                <w:tcPr>
                  <w:tcW w:w="1868" w:type="pct"/>
                  <w:tcBorders>
                    <w:tl2br w:val="nil"/>
                    <w:tr2bl w:val="nil"/>
                  </w:tcBorders>
                  <w:noWrap w:val="0"/>
                  <w:vAlign w:val="center"/>
                </w:tcPr>
                <w:p w14:paraId="543E68C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分布较分散，分散分布于调查区域山坡及河流右岸</w:t>
                  </w:r>
                </w:p>
              </w:tc>
              <w:tc>
                <w:tcPr>
                  <w:tcW w:w="638" w:type="pct"/>
                  <w:tcBorders>
                    <w:tl2br w:val="nil"/>
                    <w:tr2bl w:val="nil"/>
                  </w:tcBorders>
                  <w:noWrap w:val="0"/>
                  <w:vAlign w:val="center"/>
                </w:tcPr>
                <w:p w14:paraId="542BDD8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8.9</w:t>
                  </w:r>
                </w:p>
              </w:tc>
            </w:tr>
            <w:tr w14:paraId="1A993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64" w:type="pct"/>
                  <w:vMerge w:val="continue"/>
                  <w:tcBorders>
                    <w:tl2br w:val="nil"/>
                    <w:tr2bl w:val="nil"/>
                  </w:tcBorders>
                  <w:noWrap w:val="0"/>
                  <w:vAlign w:val="center"/>
                </w:tcPr>
                <w:p w14:paraId="0BC449B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tcBorders>
                    <w:tl2br w:val="nil"/>
                    <w:tr2bl w:val="nil"/>
                  </w:tcBorders>
                  <w:noWrap w:val="0"/>
                  <w:vAlign w:val="center"/>
                </w:tcPr>
                <w:p w14:paraId="09FD65F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暖热性竹林</w:t>
                  </w:r>
                </w:p>
              </w:tc>
              <w:tc>
                <w:tcPr>
                  <w:tcW w:w="1056" w:type="pct"/>
                  <w:tcBorders>
                    <w:tl2br w:val="nil"/>
                    <w:tr2bl w:val="nil"/>
                  </w:tcBorders>
                  <w:noWrap w:val="0"/>
                  <w:vAlign w:val="center"/>
                </w:tcPr>
                <w:p w14:paraId="25D7E62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凤尾竹林</w:t>
                  </w:r>
                </w:p>
              </w:tc>
              <w:tc>
                <w:tcPr>
                  <w:tcW w:w="1868" w:type="pct"/>
                  <w:tcBorders>
                    <w:tl2br w:val="nil"/>
                    <w:tr2bl w:val="nil"/>
                  </w:tcBorders>
                  <w:noWrap w:val="0"/>
                  <w:vAlign w:val="center"/>
                </w:tcPr>
                <w:p w14:paraId="78561A4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主要分布在道路周边及山坡贫瘠之处</w:t>
                  </w:r>
                </w:p>
              </w:tc>
              <w:tc>
                <w:tcPr>
                  <w:tcW w:w="638" w:type="pct"/>
                  <w:tcBorders>
                    <w:tl2br w:val="nil"/>
                    <w:tr2bl w:val="nil"/>
                  </w:tcBorders>
                  <w:noWrap w:val="0"/>
                  <w:vAlign w:val="center"/>
                </w:tcPr>
                <w:p w14:paraId="039405F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6.5</w:t>
                  </w:r>
                </w:p>
              </w:tc>
            </w:tr>
            <w:tr w14:paraId="1C606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64" w:type="pct"/>
                  <w:vMerge w:val="continue"/>
                  <w:tcBorders>
                    <w:tl2br w:val="nil"/>
                    <w:tr2bl w:val="nil"/>
                  </w:tcBorders>
                  <w:noWrap w:val="0"/>
                  <w:vAlign w:val="center"/>
                </w:tcPr>
                <w:p w14:paraId="3EF310B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vMerge w:val="restart"/>
                  <w:tcBorders>
                    <w:tl2br w:val="nil"/>
                    <w:tr2bl w:val="nil"/>
                  </w:tcBorders>
                  <w:noWrap w:val="0"/>
                  <w:vAlign w:val="center"/>
                </w:tcPr>
                <w:p w14:paraId="7129369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杂草草丛</w:t>
                  </w:r>
                </w:p>
              </w:tc>
              <w:tc>
                <w:tcPr>
                  <w:tcW w:w="1056" w:type="pct"/>
                  <w:tcBorders>
                    <w:tl2br w:val="nil"/>
                    <w:tr2bl w:val="nil"/>
                  </w:tcBorders>
                  <w:noWrap w:val="0"/>
                  <w:vAlign w:val="center"/>
                </w:tcPr>
                <w:p w14:paraId="3A0984C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肿柄菊草丛</w:t>
                  </w:r>
                </w:p>
              </w:tc>
              <w:tc>
                <w:tcPr>
                  <w:tcW w:w="1868" w:type="pct"/>
                  <w:tcBorders>
                    <w:tl2br w:val="nil"/>
                    <w:tr2bl w:val="nil"/>
                  </w:tcBorders>
                  <w:noWrap w:val="0"/>
                  <w:vAlign w:val="center"/>
                </w:tcPr>
                <w:p w14:paraId="670FF4F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主要分布于治理段两岸</w:t>
                  </w:r>
                </w:p>
              </w:tc>
              <w:tc>
                <w:tcPr>
                  <w:tcW w:w="638" w:type="pct"/>
                  <w:tcBorders>
                    <w:tl2br w:val="nil"/>
                    <w:tr2bl w:val="nil"/>
                  </w:tcBorders>
                  <w:noWrap w:val="0"/>
                  <w:vAlign w:val="center"/>
                </w:tcPr>
                <w:p w14:paraId="0E47300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2.3</w:t>
                  </w:r>
                </w:p>
              </w:tc>
            </w:tr>
            <w:tr w14:paraId="250BB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64" w:type="pct"/>
                  <w:vMerge w:val="continue"/>
                  <w:tcBorders>
                    <w:tl2br w:val="nil"/>
                    <w:tr2bl w:val="nil"/>
                  </w:tcBorders>
                  <w:noWrap w:val="0"/>
                  <w:vAlign w:val="center"/>
                </w:tcPr>
                <w:p w14:paraId="5463B94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vMerge w:val="continue"/>
                  <w:tcBorders>
                    <w:tl2br w:val="nil"/>
                    <w:tr2bl w:val="nil"/>
                  </w:tcBorders>
                  <w:noWrap w:val="0"/>
                  <w:vAlign w:val="center"/>
                </w:tcPr>
                <w:p w14:paraId="4046C23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1056" w:type="pct"/>
                  <w:tcBorders>
                    <w:tl2br w:val="nil"/>
                    <w:tr2bl w:val="nil"/>
                  </w:tcBorders>
                  <w:noWrap w:val="0"/>
                  <w:vAlign w:val="center"/>
                </w:tcPr>
                <w:p w14:paraId="03F0E9E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飞机草草丛</w:t>
                  </w:r>
                </w:p>
              </w:tc>
              <w:tc>
                <w:tcPr>
                  <w:tcW w:w="1868" w:type="pct"/>
                  <w:tcBorders>
                    <w:tl2br w:val="nil"/>
                    <w:tr2bl w:val="nil"/>
                  </w:tcBorders>
                  <w:noWrap w:val="0"/>
                  <w:vAlign w:val="center"/>
                </w:tcPr>
                <w:p w14:paraId="7003967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主要分布于治理段两岸</w:t>
                  </w:r>
                </w:p>
              </w:tc>
              <w:tc>
                <w:tcPr>
                  <w:tcW w:w="638" w:type="pct"/>
                  <w:tcBorders>
                    <w:tl2br w:val="nil"/>
                    <w:tr2bl w:val="nil"/>
                  </w:tcBorders>
                  <w:noWrap w:val="0"/>
                  <w:vAlign w:val="center"/>
                </w:tcPr>
                <w:p w14:paraId="2CD5B7B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3.4</w:t>
                  </w:r>
                </w:p>
              </w:tc>
            </w:tr>
            <w:tr w14:paraId="4B6D0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664" w:type="pct"/>
                  <w:vMerge w:val="continue"/>
                  <w:tcBorders>
                    <w:tl2br w:val="nil"/>
                    <w:tr2bl w:val="nil"/>
                  </w:tcBorders>
                  <w:noWrap w:val="0"/>
                  <w:vAlign w:val="center"/>
                </w:tcPr>
                <w:p w14:paraId="23CE34A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tcBorders>
                    <w:tl2br w:val="nil"/>
                    <w:tr2bl w:val="nil"/>
                  </w:tcBorders>
                  <w:noWrap w:val="0"/>
                  <w:vAlign w:val="center"/>
                </w:tcPr>
                <w:p w14:paraId="31408C1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热性草丛</w:t>
                  </w:r>
                </w:p>
              </w:tc>
              <w:tc>
                <w:tcPr>
                  <w:tcW w:w="1056" w:type="pct"/>
                  <w:tcBorders>
                    <w:tl2br w:val="nil"/>
                    <w:tr2bl w:val="nil"/>
                  </w:tcBorders>
                  <w:noWrap w:val="0"/>
                  <w:vAlign w:val="center"/>
                </w:tcPr>
                <w:p w14:paraId="4A353F5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卡开芦草丛</w:t>
                  </w:r>
                </w:p>
              </w:tc>
              <w:tc>
                <w:tcPr>
                  <w:tcW w:w="1868" w:type="pct"/>
                  <w:tcBorders>
                    <w:tl2br w:val="nil"/>
                    <w:tr2bl w:val="nil"/>
                  </w:tcBorders>
                  <w:noWrap w:val="0"/>
                  <w:vAlign w:val="center"/>
                </w:tcPr>
                <w:p w14:paraId="4205DC5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主要分布于治理段两岸</w:t>
                  </w:r>
                </w:p>
              </w:tc>
              <w:tc>
                <w:tcPr>
                  <w:tcW w:w="638" w:type="pct"/>
                  <w:tcBorders>
                    <w:tl2br w:val="nil"/>
                    <w:tr2bl w:val="nil"/>
                  </w:tcBorders>
                  <w:noWrap w:val="0"/>
                  <w:vAlign w:val="center"/>
                </w:tcPr>
                <w:p w14:paraId="5C21794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4.5</w:t>
                  </w:r>
                </w:p>
              </w:tc>
            </w:tr>
            <w:tr w14:paraId="65DD4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64" w:type="pct"/>
                  <w:vMerge w:val="restart"/>
                  <w:tcBorders>
                    <w:tl2br w:val="nil"/>
                    <w:tr2bl w:val="nil"/>
                  </w:tcBorders>
                  <w:noWrap w:val="0"/>
                  <w:vAlign w:val="center"/>
                </w:tcPr>
                <w:p w14:paraId="3FC2632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②人工植被</w:t>
                  </w:r>
                </w:p>
              </w:tc>
              <w:tc>
                <w:tcPr>
                  <w:tcW w:w="772" w:type="pct"/>
                  <w:tcBorders>
                    <w:tl2br w:val="nil"/>
                    <w:tr2bl w:val="nil"/>
                  </w:tcBorders>
                  <w:noWrap w:val="0"/>
                  <w:vAlign w:val="center"/>
                </w:tcPr>
                <w:p w14:paraId="0E31E33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农田植被</w:t>
                  </w:r>
                </w:p>
              </w:tc>
              <w:tc>
                <w:tcPr>
                  <w:tcW w:w="1056" w:type="pct"/>
                  <w:tcBorders>
                    <w:tl2br w:val="nil"/>
                    <w:tr2bl w:val="nil"/>
                  </w:tcBorders>
                  <w:noWrap w:val="0"/>
                  <w:vAlign w:val="center"/>
                </w:tcPr>
                <w:p w14:paraId="7134669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主要包括旱地植被、水田</w:t>
                  </w:r>
                </w:p>
              </w:tc>
              <w:tc>
                <w:tcPr>
                  <w:tcW w:w="1868" w:type="pct"/>
                  <w:tcBorders>
                    <w:tl2br w:val="nil"/>
                    <w:tr2bl w:val="nil"/>
                  </w:tcBorders>
                  <w:noWrap w:val="0"/>
                  <w:vAlign w:val="center"/>
                </w:tcPr>
                <w:p w14:paraId="603B323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分布在村寨附近及河流两岸，主要种植水稻、玉米、果蔬等作物</w:t>
                  </w:r>
                </w:p>
              </w:tc>
              <w:tc>
                <w:tcPr>
                  <w:tcW w:w="638" w:type="pct"/>
                  <w:tcBorders>
                    <w:tl2br w:val="nil"/>
                    <w:tr2bl w:val="nil"/>
                  </w:tcBorders>
                  <w:noWrap w:val="0"/>
                  <w:vAlign w:val="center"/>
                </w:tcPr>
                <w:p w14:paraId="1721B1E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86.5</w:t>
                  </w:r>
                </w:p>
              </w:tc>
            </w:tr>
            <w:tr w14:paraId="13E3B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64" w:type="pct"/>
                  <w:vMerge w:val="continue"/>
                  <w:tcBorders>
                    <w:tl2br w:val="nil"/>
                    <w:tr2bl w:val="nil"/>
                  </w:tcBorders>
                  <w:noWrap w:val="0"/>
                  <w:vAlign w:val="center"/>
                </w:tcPr>
                <w:p w14:paraId="4270D30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772" w:type="pct"/>
                  <w:tcBorders>
                    <w:tl2br w:val="nil"/>
                    <w:tr2bl w:val="nil"/>
                  </w:tcBorders>
                  <w:noWrap w:val="0"/>
                  <w:vAlign w:val="center"/>
                </w:tcPr>
                <w:p w14:paraId="6C3467E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经济林</w:t>
                  </w:r>
                </w:p>
              </w:tc>
              <w:tc>
                <w:tcPr>
                  <w:tcW w:w="1056" w:type="pct"/>
                  <w:tcBorders>
                    <w:tl2br w:val="nil"/>
                    <w:tr2bl w:val="nil"/>
                  </w:tcBorders>
                  <w:noWrap w:val="0"/>
                  <w:vAlign w:val="center"/>
                </w:tcPr>
                <w:p w14:paraId="666718A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主要包括橡胶林、咖啡</w:t>
                  </w:r>
                </w:p>
              </w:tc>
              <w:tc>
                <w:tcPr>
                  <w:tcW w:w="1868" w:type="pct"/>
                  <w:tcBorders>
                    <w:tl2br w:val="nil"/>
                    <w:tr2bl w:val="nil"/>
                  </w:tcBorders>
                  <w:noWrap w:val="0"/>
                  <w:vAlign w:val="center"/>
                </w:tcPr>
                <w:p w14:paraId="2F3BBF4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附近居民栽培的经济林，主要分布于河两岸山间及耕地周边</w:t>
                  </w:r>
                </w:p>
              </w:tc>
              <w:tc>
                <w:tcPr>
                  <w:tcW w:w="638" w:type="pct"/>
                  <w:tcBorders>
                    <w:tl2br w:val="nil"/>
                    <w:tr2bl w:val="nil"/>
                  </w:tcBorders>
                  <w:noWrap w:val="0"/>
                  <w:vAlign w:val="center"/>
                </w:tcPr>
                <w:p w14:paraId="51CB2BC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48.6</w:t>
                  </w:r>
                </w:p>
              </w:tc>
            </w:tr>
            <w:tr w14:paraId="201B0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37" w:type="pct"/>
                  <w:gridSpan w:val="2"/>
                  <w:vMerge w:val="restart"/>
                  <w:tcBorders>
                    <w:tl2br w:val="nil"/>
                    <w:tr2bl w:val="nil"/>
                  </w:tcBorders>
                  <w:noWrap w:val="0"/>
                  <w:vAlign w:val="center"/>
                </w:tcPr>
                <w:p w14:paraId="49D8A9A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其他</w:t>
                  </w:r>
                </w:p>
              </w:tc>
              <w:tc>
                <w:tcPr>
                  <w:tcW w:w="1056" w:type="pct"/>
                  <w:tcBorders>
                    <w:tl2br w:val="nil"/>
                    <w:tr2bl w:val="nil"/>
                  </w:tcBorders>
                  <w:noWrap w:val="0"/>
                  <w:vAlign w:val="center"/>
                </w:tcPr>
                <w:p w14:paraId="5BBFD04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水域</w:t>
                  </w:r>
                </w:p>
              </w:tc>
              <w:tc>
                <w:tcPr>
                  <w:tcW w:w="1868" w:type="pct"/>
                  <w:tcBorders>
                    <w:tl2br w:val="nil"/>
                    <w:tr2bl w:val="nil"/>
                  </w:tcBorders>
                  <w:noWrap w:val="0"/>
                  <w:vAlign w:val="center"/>
                </w:tcPr>
                <w:p w14:paraId="4BEF153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芒市大河、</w:t>
                  </w:r>
                  <w:r>
                    <w:rPr>
                      <w:rFonts w:hint="eastAsia" w:ascii="Times New Roman" w:hAnsi="Times New Roman" w:eastAsia="宋体" w:cs="Times New Roman"/>
                      <w:spacing w:val="6"/>
                      <w:sz w:val="21"/>
                      <w:szCs w:val="21"/>
                      <w:lang w:val="en-US" w:eastAsia="zh-CN"/>
                    </w:rPr>
                    <w:t>干河</w:t>
                  </w:r>
                  <w:r>
                    <w:rPr>
                      <w:rFonts w:hint="default" w:ascii="Times New Roman" w:hAnsi="Times New Roman" w:eastAsia="宋体" w:cs="Times New Roman"/>
                      <w:spacing w:val="6"/>
                      <w:sz w:val="21"/>
                      <w:szCs w:val="21"/>
                      <w:lang w:val="en-US" w:eastAsia="zh-CN"/>
                    </w:rPr>
                    <w:t>支流等</w:t>
                  </w:r>
                </w:p>
              </w:tc>
              <w:tc>
                <w:tcPr>
                  <w:tcW w:w="638" w:type="pct"/>
                  <w:tcBorders>
                    <w:tl2br w:val="nil"/>
                    <w:tr2bl w:val="nil"/>
                  </w:tcBorders>
                  <w:noWrap w:val="0"/>
                  <w:vAlign w:val="center"/>
                </w:tcPr>
                <w:p w14:paraId="10ECEE0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32</w:t>
                  </w:r>
                </w:p>
              </w:tc>
            </w:tr>
            <w:tr w14:paraId="545CD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7" w:type="pct"/>
                  <w:gridSpan w:val="2"/>
                  <w:vMerge w:val="continue"/>
                  <w:tcBorders>
                    <w:tl2br w:val="nil"/>
                    <w:tr2bl w:val="nil"/>
                  </w:tcBorders>
                  <w:noWrap w:val="0"/>
                  <w:vAlign w:val="center"/>
                </w:tcPr>
                <w:p w14:paraId="2244C0A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1056" w:type="pct"/>
                  <w:tcBorders>
                    <w:tl2br w:val="nil"/>
                    <w:tr2bl w:val="nil"/>
                  </w:tcBorders>
                  <w:noWrap w:val="0"/>
                  <w:vAlign w:val="center"/>
                </w:tcPr>
                <w:p w14:paraId="62C63B3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道路</w:t>
                  </w:r>
                </w:p>
              </w:tc>
              <w:tc>
                <w:tcPr>
                  <w:tcW w:w="1868" w:type="pct"/>
                  <w:tcBorders>
                    <w:tl2br w:val="nil"/>
                    <w:tr2bl w:val="nil"/>
                  </w:tcBorders>
                  <w:noWrap w:val="0"/>
                  <w:vAlign w:val="center"/>
                </w:tcPr>
                <w:p w14:paraId="5C68292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乡间道路等</w:t>
                  </w:r>
                </w:p>
              </w:tc>
              <w:tc>
                <w:tcPr>
                  <w:tcW w:w="638" w:type="pct"/>
                  <w:tcBorders>
                    <w:tl2br w:val="nil"/>
                    <w:tr2bl w:val="nil"/>
                  </w:tcBorders>
                  <w:noWrap w:val="0"/>
                  <w:vAlign w:val="center"/>
                </w:tcPr>
                <w:p w14:paraId="055FC2E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10</w:t>
                  </w:r>
                </w:p>
              </w:tc>
            </w:tr>
            <w:tr w14:paraId="6413A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7" w:type="pct"/>
                  <w:gridSpan w:val="2"/>
                  <w:vMerge w:val="continue"/>
                  <w:tcBorders>
                    <w:tl2br w:val="nil"/>
                    <w:tr2bl w:val="nil"/>
                  </w:tcBorders>
                  <w:noWrap w:val="0"/>
                  <w:vAlign w:val="center"/>
                </w:tcPr>
                <w:p w14:paraId="3D00D64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p>
              </w:tc>
              <w:tc>
                <w:tcPr>
                  <w:tcW w:w="1056" w:type="pct"/>
                  <w:tcBorders>
                    <w:tl2br w:val="nil"/>
                    <w:tr2bl w:val="nil"/>
                  </w:tcBorders>
                  <w:noWrap w:val="0"/>
                  <w:vAlign w:val="center"/>
                </w:tcPr>
                <w:p w14:paraId="35D9513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居民点</w:t>
                  </w:r>
                </w:p>
              </w:tc>
              <w:tc>
                <w:tcPr>
                  <w:tcW w:w="1868" w:type="pct"/>
                  <w:tcBorders>
                    <w:tl2br w:val="nil"/>
                    <w:tr2bl w:val="nil"/>
                  </w:tcBorders>
                  <w:noWrap w:val="0"/>
                  <w:vAlign w:val="center"/>
                </w:tcPr>
                <w:p w14:paraId="1417739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新寨、木康、帕良、洞坎、大湾村</w:t>
                  </w:r>
                </w:p>
              </w:tc>
              <w:tc>
                <w:tcPr>
                  <w:tcW w:w="638" w:type="pct"/>
                  <w:tcBorders>
                    <w:tl2br w:val="nil"/>
                    <w:tr2bl w:val="nil"/>
                  </w:tcBorders>
                  <w:noWrap w:val="0"/>
                  <w:vAlign w:val="center"/>
                </w:tcPr>
                <w:p w14:paraId="7C3121D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1</w:t>
                  </w:r>
                  <w:r>
                    <w:rPr>
                      <w:rFonts w:hint="default" w:ascii="Times New Roman" w:hAnsi="Times New Roman" w:eastAsia="宋体" w:cs="Times New Roman"/>
                      <w:spacing w:val="6"/>
                      <w:sz w:val="21"/>
                      <w:szCs w:val="21"/>
                      <w:lang w:val="en-US" w:eastAsia="zh-CN"/>
                    </w:rPr>
                    <w:t>4.7</w:t>
                  </w:r>
                </w:p>
              </w:tc>
            </w:tr>
            <w:tr w14:paraId="47B36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361" w:type="pct"/>
                  <w:gridSpan w:val="4"/>
                  <w:tcBorders>
                    <w:tl2br w:val="nil"/>
                    <w:tr2bl w:val="nil"/>
                  </w:tcBorders>
                  <w:noWrap w:val="0"/>
                  <w:vAlign w:val="center"/>
                </w:tcPr>
                <w:p w14:paraId="6771B9C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合计</w:t>
                  </w:r>
                </w:p>
              </w:tc>
              <w:tc>
                <w:tcPr>
                  <w:tcW w:w="638" w:type="pct"/>
                  <w:tcBorders>
                    <w:tl2br w:val="nil"/>
                    <w:tr2bl w:val="nil"/>
                  </w:tcBorders>
                  <w:noWrap w:val="0"/>
                  <w:vAlign w:val="center"/>
                </w:tcPr>
                <w:p w14:paraId="3805C4E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229.8</w:t>
                  </w:r>
                </w:p>
              </w:tc>
            </w:tr>
          </w:tbl>
          <w:p w14:paraId="744452A8">
            <w:pPr>
              <w:spacing w:line="360" w:lineRule="auto"/>
              <w:ind w:firstLine="520"/>
              <w:rPr>
                <w:rFonts w:hint="default" w:ascii="Times New Roman" w:hAnsi="Times New Roman" w:eastAsia="宋体" w:cs="Times New Roman"/>
                <w:b/>
                <w:bCs/>
                <w:color w:val="auto"/>
                <w:sz w:val="24"/>
                <w:lang w:val="en-US" w:eastAsia="zh-CN"/>
              </w:rPr>
            </w:pPr>
          </w:p>
          <w:p w14:paraId="3B41C721">
            <w:pPr>
              <w:spacing w:line="360" w:lineRule="auto"/>
              <w:ind w:firstLine="52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（2）区域主要的群落结构及物种组成</w:t>
            </w:r>
          </w:p>
          <w:p w14:paraId="5141ED06">
            <w:pPr>
              <w:bidi w:val="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fldChar w:fldCharType="begin"/>
            </w:r>
            <w:r>
              <w:rPr>
                <w:rFonts w:hint="default" w:ascii="Times New Roman" w:hAnsi="Times New Roman" w:eastAsia="宋体" w:cs="Times New Roman"/>
                <w:b w:val="0"/>
                <w:bCs w:val="0"/>
                <w:color w:val="000000"/>
                <w:kern w:val="2"/>
                <w:sz w:val="24"/>
                <w:szCs w:val="24"/>
                <w:lang w:val="en-US" w:eastAsia="zh-CN" w:bidi="ar-SA"/>
              </w:rPr>
              <w:instrText xml:space="preserve"> = 1 \* GB3 \* MERGEFORMAT </w:instrText>
            </w:r>
            <w:r>
              <w:rPr>
                <w:rFonts w:hint="default" w:ascii="Times New Roman" w:hAnsi="Times New Roman" w:eastAsia="宋体" w:cs="Times New Roman"/>
                <w:b w:val="0"/>
                <w:bCs w:val="0"/>
                <w:color w:val="000000"/>
                <w:kern w:val="2"/>
                <w:sz w:val="24"/>
                <w:szCs w:val="24"/>
                <w:lang w:val="en-US" w:eastAsia="zh-CN" w:bidi="ar-SA"/>
              </w:rPr>
              <w:fldChar w:fldCharType="separate"/>
            </w:r>
            <w:r>
              <w:rPr>
                <w:rFonts w:hint="default" w:ascii="Times New Roman" w:hAnsi="Times New Roman" w:eastAsia="宋体" w:cs="Times New Roman"/>
                <w:b w:val="0"/>
                <w:bCs w:val="0"/>
                <w:color w:val="000000"/>
                <w:kern w:val="2"/>
                <w:sz w:val="24"/>
                <w:szCs w:val="24"/>
                <w:lang w:val="en-US" w:eastAsia="zh-CN" w:bidi="ar-SA"/>
              </w:rPr>
              <w:t>①</w:t>
            </w:r>
            <w:r>
              <w:rPr>
                <w:rFonts w:hint="default" w:ascii="Times New Roman" w:hAnsi="Times New Roman" w:eastAsia="宋体" w:cs="Times New Roman"/>
                <w:b w:val="0"/>
                <w:bCs w:val="0"/>
                <w:color w:val="000000"/>
                <w:kern w:val="2"/>
                <w:sz w:val="24"/>
                <w:szCs w:val="24"/>
                <w:lang w:val="en-US" w:eastAsia="zh-CN" w:bidi="ar-SA"/>
              </w:rPr>
              <w:fldChar w:fldCharType="end"/>
            </w:r>
            <w:r>
              <w:rPr>
                <w:rFonts w:hint="default" w:ascii="Times New Roman" w:hAnsi="Times New Roman" w:eastAsia="宋体" w:cs="Times New Roman"/>
                <w:b w:val="0"/>
                <w:bCs w:val="0"/>
                <w:color w:val="000000"/>
                <w:kern w:val="2"/>
                <w:sz w:val="24"/>
                <w:szCs w:val="24"/>
                <w:lang w:val="en-US" w:eastAsia="zh-CN" w:bidi="ar-SA"/>
              </w:rPr>
              <w:t>季风常绿阔叶林</w:t>
            </w:r>
          </w:p>
          <w:p w14:paraId="6552B47F">
            <w:pPr>
              <w:bidi w:val="0"/>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西南桦、红木荷林</w:t>
            </w:r>
          </w:p>
          <w:p w14:paraId="749DD35E">
            <w:pPr>
              <w:bidi w:val="0"/>
              <w:rPr>
                <w:rFonts w:hint="default" w:ascii="Times New Roman" w:hAnsi="Times New Roman" w:cs="Times New Roman"/>
                <w:color w:val="000000"/>
              </w:rPr>
            </w:pPr>
            <w:r>
              <w:rPr>
                <w:rFonts w:hint="default" w:ascii="Times New Roman" w:hAnsi="Times New Roman" w:eastAsia="宋体" w:cs="Times New Roman"/>
                <w:b w:val="0"/>
                <w:bCs w:val="0"/>
                <w:color w:val="000000"/>
                <w:kern w:val="2"/>
                <w:sz w:val="24"/>
                <w:szCs w:val="24"/>
                <w:lang w:val="en-US" w:eastAsia="zh-CN" w:bidi="ar-SA"/>
              </w:rPr>
              <w:t>群落在评价区内位</w:t>
            </w:r>
            <w:r>
              <w:rPr>
                <w:rFonts w:hint="default" w:ascii="Times New Roman" w:hAnsi="Times New Roman" w:cs="Times New Roman"/>
                <w:color w:val="000000"/>
                <w:lang w:val="en-US" w:eastAsia="zh-CN"/>
              </w:rPr>
              <w:t>于村庄附近，</w:t>
            </w:r>
            <w:r>
              <w:rPr>
                <w:rFonts w:hint="default" w:ascii="Times New Roman" w:hAnsi="Times New Roman" w:cs="Times New Roman"/>
                <w:color w:val="000000"/>
              </w:rPr>
              <w:t>所占面积很小。群落的原生植被应属于季风常绿阔叶林，但是由于人类砍伐侵扰</w:t>
            </w:r>
            <w:r>
              <w:rPr>
                <w:rFonts w:hint="default" w:ascii="Times New Roman" w:hAnsi="Times New Roman" w:cs="Times New Roman"/>
                <w:color w:val="000000"/>
                <w:lang w:eastAsia="zh-CN"/>
              </w:rPr>
              <w:t>，</w:t>
            </w:r>
            <w:r>
              <w:rPr>
                <w:rFonts w:hint="default" w:ascii="Times New Roman" w:hAnsi="Times New Roman" w:cs="Times New Roman"/>
                <w:color w:val="000000"/>
              </w:rPr>
              <w:t>落叶的西南桦逐渐将其取代形成次生林，呈现出灰绿色的外貌。群落结构简单，一般明显地分为乔、灌、草三个层次，乔木层高度约10m</w:t>
            </w:r>
            <w:r>
              <w:rPr>
                <w:rFonts w:hint="default" w:ascii="Times New Roman" w:hAnsi="Times New Roman" w:cs="Times New Roman"/>
                <w:color w:val="000000"/>
                <w:lang w:eastAsia="zh-CN"/>
              </w:rPr>
              <w:t>～</w:t>
            </w:r>
            <w:r>
              <w:rPr>
                <w:rFonts w:hint="default" w:ascii="Times New Roman" w:hAnsi="Times New Roman" w:cs="Times New Roman"/>
                <w:color w:val="000000"/>
              </w:rPr>
              <w:t>12m，覆盖度70%左右，以西南桦、红木荷、合欢（</w:t>
            </w:r>
            <w:r>
              <w:rPr>
                <w:rFonts w:hint="default" w:ascii="Times New Roman" w:hAnsi="Times New Roman" w:cs="Times New Roman"/>
                <w:i/>
                <w:iCs/>
                <w:color w:val="000000"/>
              </w:rPr>
              <w:t>Acacia farnesiana</w:t>
            </w:r>
            <w:r>
              <w:rPr>
                <w:rFonts w:hint="default" w:ascii="Times New Roman" w:hAnsi="Times New Roman" w:cs="Times New Roman"/>
                <w:color w:val="000000"/>
              </w:rPr>
              <w:t>）、重阳木等为主；灌木层高3m</w:t>
            </w:r>
            <w:r>
              <w:rPr>
                <w:rFonts w:hint="default" w:ascii="Times New Roman" w:hAnsi="Times New Roman" w:cs="Times New Roman"/>
                <w:color w:val="000000"/>
                <w:lang w:eastAsia="zh-CN"/>
              </w:rPr>
              <w:t>～</w:t>
            </w:r>
            <w:r>
              <w:rPr>
                <w:rFonts w:hint="default" w:ascii="Times New Roman" w:hAnsi="Times New Roman" w:cs="Times New Roman"/>
                <w:color w:val="000000"/>
              </w:rPr>
              <w:t>4m，层盖度多在10%</w:t>
            </w:r>
            <w:r>
              <w:rPr>
                <w:rFonts w:hint="default" w:ascii="Times New Roman" w:hAnsi="Times New Roman" w:cs="Times New Roman"/>
                <w:color w:val="000000"/>
                <w:lang w:eastAsia="zh-CN"/>
              </w:rPr>
              <w:t>～</w:t>
            </w:r>
            <w:r>
              <w:rPr>
                <w:rFonts w:hint="default" w:ascii="Times New Roman" w:hAnsi="Times New Roman" w:cs="Times New Roman"/>
                <w:color w:val="000000"/>
              </w:rPr>
              <w:t>20%之间，种类混杂，常见单叶泡花树、米饭花、岗柃、银柴（</w:t>
            </w:r>
            <w:r>
              <w:rPr>
                <w:rFonts w:hint="default" w:ascii="Times New Roman" w:hAnsi="Times New Roman" w:cs="Times New Roman"/>
                <w:i/>
                <w:iCs/>
                <w:color w:val="000000"/>
              </w:rPr>
              <w:t>Aporusa dioica</w:t>
            </w:r>
            <w:r>
              <w:rPr>
                <w:rFonts w:hint="default" w:ascii="Times New Roman" w:hAnsi="Times New Roman" w:cs="Times New Roman"/>
                <w:color w:val="000000"/>
              </w:rPr>
              <w:t>）等；草本层高可达1.0m，层盖度10%</w:t>
            </w:r>
            <w:r>
              <w:rPr>
                <w:rFonts w:hint="default" w:ascii="Times New Roman" w:hAnsi="Times New Roman" w:cs="Times New Roman"/>
                <w:color w:val="000000"/>
                <w:lang w:eastAsia="zh-CN"/>
              </w:rPr>
              <w:t>～</w:t>
            </w:r>
            <w:r>
              <w:rPr>
                <w:rFonts w:hint="default" w:ascii="Times New Roman" w:hAnsi="Times New Roman" w:cs="Times New Roman"/>
                <w:color w:val="000000"/>
              </w:rPr>
              <w:t>25%，常见种为竹叶草、崖爬藤、蔓生莠竹、冷水花、楼梯草、狗脊蕨（</w:t>
            </w:r>
            <w:r>
              <w:rPr>
                <w:rFonts w:hint="default" w:ascii="Times New Roman" w:hAnsi="Times New Roman" w:cs="Times New Roman"/>
                <w:i/>
                <w:iCs/>
                <w:color w:val="000000"/>
              </w:rPr>
              <w:t>Woodwardia japonica</w:t>
            </w:r>
            <w:r>
              <w:rPr>
                <w:rFonts w:hint="default" w:ascii="Times New Roman" w:hAnsi="Times New Roman" w:cs="Times New Roman"/>
                <w:color w:val="000000"/>
              </w:rPr>
              <w:t>）等。</w:t>
            </w:r>
          </w:p>
          <w:p w14:paraId="34E794B2">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fldChar w:fldCharType="begin"/>
            </w:r>
            <w:r>
              <w:rPr>
                <w:rFonts w:hint="default" w:ascii="Times New Roman" w:hAnsi="Times New Roman" w:cs="Times New Roman"/>
                <w:color w:val="000000"/>
                <w:lang w:val="en-US" w:eastAsia="zh-CN"/>
              </w:rPr>
              <w:instrText xml:space="preserve"> = 2 \* GB3 \* MERGEFORMAT </w:instrText>
            </w:r>
            <w:r>
              <w:rPr>
                <w:rFonts w:hint="default" w:ascii="Times New Roman" w:hAnsi="Times New Roman" w:cs="Times New Roman"/>
                <w:color w:val="000000"/>
                <w:lang w:val="en-US" w:eastAsia="zh-CN"/>
              </w:rPr>
              <w:fldChar w:fldCharType="separate"/>
            </w:r>
            <w:r>
              <w:rPr>
                <w:rFonts w:hint="default" w:ascii="Times New Roman" w:hAnsi="Times New Roman" w:cs="Times New Roman"/>
                <w:color w:val="000000"/>
              </w:rPr>
              <w:t>②</w:t>
            </w:r>
            <w:r>
              <w:rPr>
                <w:rFonts w:hint="default" w:ascii="Times New Roman" w:hAnsi="Times New Roman" w:cs="Times New Roman"/>
                <w:color w:val="000000"/>
                <w:lang w:val="en-US" w:eastAsia="zh-CN"/>
              </w:rPr>
              <w:fldChar w:fldCharType="end"/>
            </w:r>
            <w:r>
              <w:rPr>
                <w:rFonts w:hint="default" w:ascii="Times New Roman" w:hAnsi="Times New Roman" w:cs="Times New Roman"/>
                <w:color w:val="000000"/>
                <w:lang w:val="en-US" w:eastAsia="zh-CN"/>
              </w:rPr>
              <w:t>稀树灌草丛</w:t>
            </w:r>
          </w:p>
          <w:p w14:paraId="71E2D95C">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含毛麻楝、黄牛木的中草草丛</w:t>
            </w:r>
          </w:p>
          <w:p w14:paraId="2F1AB8AE">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该群落在项目区河道两侧广泛分布，这些地段的原始植被为半常绿季雨林，由于长期人为干扰，加之土壤板结，才形成现在的次生稀树灌木草丛。该群落组成上以草本为优势，但稀疏夹杂有少量木本植物，主要是毛麻楝、黄牛木、粗糠柴、浆果楝等，偶见有歪叶榕、楹树，乔木层高度约6m～8m，盖度约5%～10%；灌木层有少量糙叶水锦树、云南银柴、地桃花等，高度0.2m～1.2m，盖度约5%～15%；草本层植物丰富，以阿拉伯黄背草、大白茅为主，伴生有菅、四脉金茅、粽叶芦、五节芒等，并可见有假杜鹃、火炭母、白花疏绒草、水蓼等。</w:t>
            </w:r>
          </w:p>
          <w:p w14:paraId="4ECC172D">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fldChar w:fldCharType="begin"/>
            </w:r>
            <w:r>
              <w:rPr>
                <w:rFonts w:hint="default" w:ascii="Times New Roman" w:hAnsi="Times New Roman" w:cs="Times New Roman"/>
                <w:color w:val="000000"/>
                <w:lang w:val="en-US" w:eastAsia="zh-CN"/>
              </w:rPr>
              <w:instrText xml:space="preserve"> = 3 \* GB3 \* MERGEFORMAT </w:instrText>
            </w:r>
            <w:r>
              <w:rPr>
                <w:rFonts w:hint="default" w:ascii="Times New Roman" w:hAnsi="Times New Roman" w:cs="Times New Roman"/>
                <w:color w:val="000000"/>
                <w:lang w:val="en-US" w:eastAsia="zh-CN"/>
              </w:rPr>
              <w:fldChar w:fldCharType="separate"/>
            </w:r>
            <w:r>
              <w:rPr>
                <w:rFonts w:hint="default" w:ascii="Times New Roman" w:hAnsi="Times New Roman" w:cs="Times New Roman"/>
                <w:color w:val="000000"/>
              </w:rPr>
              <w:t>③</w:t>
            </w:r>
            <w:r>
              <w:rPr>
                <w:rFonts w:hint="default" w:ascii="Times New Roman" w:hAnsi="Times New Roman" w:cs="Times New Roman"/>
                <w:color w:val="000000"/>
                <w:lang w:val="en-US" w:eastAsia="zh-CN"/>
              </w:rPr>
              <w:fldChar w:fldCharType="end"/>
            </w:r>
            <w:r>
              <w:rPr>
                <w:rFonts w:hint="default" w:ascii="Times New Roman" w:hAnsi="Times New Roman" w:cs="Times New Roman"/>
                <w:color w:val="000000"/>
                <w:lang w:val="en-US" w:eastAsia="zh-CN"/>
              </w:rPr>
              <w:t>竹林</w:t>
            </w:r>
          </w:p>
          <w:p w14:paraId="0D291D8C">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评价区内人类火烧、干扰频繁，原有的灌木层早已被取代，仅记录到和人类生活较为相关的一个灌丛类型－竹林。</w:t>
            </w:r>
          </w:p>
          <w:p w14:paraId="128858D8">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凤尾竹林</w:t>
            </w:r>
          </w:p>
          <w:p w14:paraId="05A7D533">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凤尾竹是云南特有竹类，该灌丛在评价区内呈簇状散生，项目区河岸均有分布，面积较大，群落高度整齐约4.5m，盖度约70%，物种单一，以凤尾竹为单优种，仅在竹林边可见有肿柄菊、紫茎泽兰、藿香蓟等少量菊科植物。</w:t>
            </w:r>
          </w:p>
          <w:p w14:paraId="37E53C93">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fldChar w:fldCharType="begin"/>
            </w:r>
            <w:r>
              <w:rPr>
                <w:rFonts w:hint="default" w:ascii="Times New Roman" w:hAnsi="Times New Roman" w:cs="Times New Roman"/>
                <w:color w:val="000000"/>
                <w:lang w:val="en-US" w:eastAsia="zh-CN"/>
              </w:rPr>
              <w:instrText xml:space="preserve"> = 4 \* GB3 \* MERGEFORMAT </w:instrText>
            </w:r>
            <w:r>
              <w:rPr>
                <w:rFonts w:hint="default" w:ascii="Times New Roman" w:hAnsi="Times New Roman" w:cs="Times New Roman"/>
                <w:color w:val="000000"/>
                <w:lang w:val="en-US" w:eastAsia="zh-CN"/>
              </w:rPr>
              <w:fldChar w:fldCharType="separate"/>
            </w:r>
            <w:r>
              <w:rPr>
                <w:rFonts w:hint="default" w:ascii="Times New Roman" w:hAnsi="Times New Roman" w:cs="Times New Roman"/>
                <w:color w:val="000000"/>
              </w:rPr>
              <w:t>④</w:t>
            </w:r>
            <w:r>
              <w:rPr>
                <w:rFonts w:hint="default" w:ascii="Times New Roman" w:hAnsi="Times New Roman" w:cs="Times New Roman"/>
                <w:color w:val="000000"/>
                <w:lang w:val="en-US" w:eastAsia="zh-CN"/>
              </w:rPr>
              <w:fldChar w:fldCharType="end"/>
            </w:r>
            <w:r>
              <w:rPr>
                <w:rFonts w:hint="default" w:ascii="Times New Roman" w:hAnsi="Times New Roman" w:cs="Times New Roman"/>
                <w:color w:val="000000"/>
                <w:lang w:val="en-US" w:eastAsia="zh-CN"/>
              </w:rPr>
              <w:t>草丛</w:t>
            </w:r>
          </w:p>
          <w:p w14:paraId="3816236D">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a.肿柄菊草丛</w:t>
            </w:r>
          </w:p>
          <w:p w14:paraId="1B865886">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由于河道附近人为痕迹较重，原生植被</w:t>
            </w:r>
            <w:r>
              <w:rPr>
                <w:rFonts w:hint="eastAsia" w:ascii="Times New Roman" w:hAnsi="Times New Roman" w:cs="Times New Roman"/>
                <w:color w:val="000000"/>
                <w:lang w:val="en-US" w:eastAsia="zh-CN"/>
              </w:rPr>
              <w:t>基本</w:t>
            </w:r>
            <w:r>
              <w:rPr>
                <w:rFonts w:hint="default" w:ascii="Times New Roman" w:hAnsi="Times New Roman" w:cs="Times New Roman"/>
                <w:color w:val="000000"/>
                <w:lang w:val="en-US" w:eastAsia="zh-CN"/>
              </w:rPr>
              <w:t>被取代，周围村庄最明显的就是被肿柄菊</w:t>
            </w:r>
            <w:r>
              <w:rPr>
                <w:rFonts w:hint="default" w:ascii="Times New Roman" w:hAnsi="Times New Roman" w:cs="Times New Roman"/>
                <w:i/>
                <w:iCs/>
                <w:color w:val="000000"/>
                <w:lang w:val="en-US" w:eastAsia="zh-CN"/>
              </w:rPr>
              <w:t>Tithonia diversifolia</w:t>
            </w:r>
            <w:r>
              <w:rPr>
                <w:rFonts w:hint="default" w:ascii="Times New Roman" w:hAnsi="Times New Roman" w:cs="Times New Roman"/>
                <w:color w:val="000000"/>
                <w:lang w:val="en-US" w:eastAsia="zh-CN"/>
              </w:rPr>
              <w:t>、藿香蓟</w:t>
            </w:r>
            <w:r>
              <w:rPr>
                <w:rFonts w:hint="default" w:ascii="Times New Roman" w:hAnsi="Times New Roman" w:cs="Times New Roman"/>
                <w:i/>
                <w:iCs/>
                <w:color w:val="000000"/>
                <w:lang w:val="en-US" w:eastAsia="zh-CN"/>
              </w:rPr>
              <w:t>Ageratum conyzoides、</w:t>
            </w:r>
            <w:r>
              <w:rPr>
                <w:rFonts w:hint="default" w:ascii="Times New Roman" w:hAnsi="Times New Roman" w:cs="Times New Roman"/>
                <w:color w:val="000000"/>
                <w:lang w:val="en-US" w:eastAsia="zh-CN"/>
              </w:rPr>
              <w:t>紫茎泽兰</w:t>
            </w:r>
            <w:r>
              <w:rPr>
                <w:rFonts w:hint="default" w:ascii="Times New Roman" w:hAnsi="Times New Roman" w:cs="Times New Roman"/>
                <w:i/>
                <w:iCs/>
                <w:color w:val="000000"/>
                <w:lang w:val="en-US" w:eastAsia="zh-CN"/>
              </w:rPr>
              <w:t>Ageratina adenophora</w:t>
            </w:r>
            <w:r>
              <w:rPr>
                <w:rFonts w:hint="default" w:ascii="Times New Roman" w:hAnsi="Times New Roman" w:cs="Times New Roman"/>
                <w:color w:val="000000"/>
                <w:lang w:val="en-US" w:eastAsia="zh-CN"/>
              </w:rPr>
              <w:t>等所占据，其中肿柄菊占优势，群落高度约0.5m～0.8m，盖度60%以上，混杂有马唐</w:t>
            </w:r>
            <w:r>
              <w:rPr>
                <w:rFonts w:hint="default" w:ascii="Times New Roman" w:hAnsi="Times New Roman" w:cs="Times New Roman"/>
                <w:i/>
                <w:iCs/>
                <w:color w:val="000000"/>
                <w:lang w:val="en-US" w:eastAsia="zh-CN"/>
              </w:rPr>
              <w:t>Digitaria sanguinalis</w:t>
            </w:r>
            <w:r>
              <w:rPr>
                <w:rFonts w:hint="default" w:ascii="Times New Roman" w:hAnsi="Times New Roman" w:cs="Times New Roman"/>
                <w:color w:val="000000"/>
                <w:lang w:val="en-US" w:eastAsia="zh-CN"/>
              </w:rPr>
              <w:t>，狗尾草</w:t>
            </w:r>
            <w:r>
              <w:rPr>
                <w:rFonts w:hint="default" w:ascii="Times New Roman" w:hAnsi="Times New Roman" w:cs="Times New Roman"/>
                <w:i/>
                <w:iCs/>
                <w:color w:val="000000"/>
                <w:lang w:val="en-US" w:eastAsia="zh-CN"/>
              </w:rPr>
              <w:t>Setaria virid</w:t>
            </w:r>
            <w:r>
              <w:rPr>
                <w:rFonts w:hint="default" w:ascii="Times New Roman" w:hAnsi="Times New Roman" w:cs="Times New Roman"/>
                <w:color w:val="000000"/>
                <w:lang w:val="en-US" w:eastAsia="zh-CN"/>
              </w:rPr>
              <w:t>，求米草</w:t>
            </w:r>
            <w:r>
              <w:rPr>
                <w:rFonts w:hint="default" w:ascii="Times New Roman" w:hAnsi="Times New Roman" w:cs="Times New Roman"/>
                <w:i/>
                <w:iCs/>
                <w:color w:val="000000"/>
                <w:lang w:val="en-US" w:eastAsia="zh-CN"/>
              </w:rPr>
              <w:t>Oplismenus undulatifolius，</w:t>
            </w:r>
            <w:r>
              <w:rPr>
                <w:rFonts w:hint="default" w:ascii="Times New Roman" w:hAnsi="Times New Roman" w:cs="Times New Roman"/>
                <w:color w:val="000000"/>
                <w:lang w:val="en-US" w:eastAsia="zh-CN"/>
              </w:rPr>
              <w:t>飞机草</w:t>
            </w:r>
            <w:r>
              <w:rPr>
                <w:rFonts w:hint="default" w:ascii="Times New Roman" w:hAnsi="Times New Roman" w:cs="Times New Roman"/>
                <w:i/>
                <w:iCs/>
                <w:color w:val="000000"/>
                <w:lang w:val="en-US" w:eastAsia="zh-CN"/>
              </w:rPr>
              <w:t>Eupatorium odoratum</w:t>
            </w:r>
            <w:r>
              <w:rPr>
                <w:rFonts w:hint="default" w:ascii="Times New Roman" w:hAnsi="Times New Roman" w:cs="Times New Roman"/>
                <w:color w:val="000000"/>
                <w:lang w:val="en-US" w:eastAsia="zh-CN"/>
              </w:rPr>
              <w:t>等，该草丛分布虽然零散，但是总面积不小。肿柄菊群落在各支流旁均有分布。</w:t>
            </w:r>
          </w:p>
          <w:p w14:paraId="2E7DBEF8">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b.飞机草草丛</w:t>
            </w:r>
          </w:p>
          <w:p w14:paraId="37E241C3">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飞机草草丛有飞机草</w:t>
            </w:r>
            <w:r>
              <w:rPr>
                <w:rFonts w:hint="default" w:ascii="Times New Roman" w:hAnsi="Times New Roman" w:cs="Times New Roman"/>
                <w:i/>
                <w:iCs/>
                <w:color w:val="000000"/>
                <w:u w:val="none"/>
                <w:lang w:val="en-US" w:eastAsia="zh-CN"/>
              </w:rPr>
              <w:t>Eupatorium odoratum、</w:t>
            </w:r>
            <w:r>
              <w:rPr>
                <w:rFonts w:hint="default" w:ascii="Times New Roman" w:hAnsi="Times New Roman" w:cs="Times New Roman"/>
                <w:color w:val="000000"/>
                <w:lang w:val="en-US" w:eastAsia="zh-CN"/>
              </w:rPr>
              <w:t>紫茎泽兰</w:t>
            </w:r>
            <w:r>
              <w:rPr>
                <w:rFonts w:hint="default" w:ascii="Times New Roman" w:hAnsi="Times New Roman" w:cs="Times New Roman"/>
                <w:i/>
                <w:iCs/>
                <w:color w:val="000000"/>
                <w:lang w:val="en-US" w:eastAsia="zh-CN"/>
              </w:rPr>
              <w:t>Ageratina adenophora</w:t>
            </w:r>
            <w:r>
              <w:rPr>
                <w:rFonts w:hint="default" w:ascii="Times New Roman" w:hAnsi="Times New Roman" w:cs="Times New Roman"/>
                <w:color w:val="000000"/>
                <w:lang w:val="en-US" w:eastAsia="zh-CN"/>
              </w:rPr>
              <w:t>为优势，群落高度约0.6m～1.0m，盖度75%以上，夹杂有五色梅</w:t>
            </w:r>
            <w:r>
              <w:rPr>
                <w:rFonts w:hint="default" w:ascii="Times New Roman" w:hAnsi="Times New Roman" w:cs="Times New Roman"/>
                <w:i/>
                <w:iCs/>
                <w:color w:val="000000"/>
                <w:lang w:val="en-US" w:eastAsia="zh-CN"/>
              </w:rPr>
              <w:t>Lantana camara</w:t>
            </w:r>
            <w:r>
              <w:rPr>
                <w:rFonts w:hint="default" w:ascii="Times New Roman" w:hAnsi="Times New Roman" w:cs="Times New Roman"/>
                <w:color w:val="000000"/>
                <w:lang w:val="en-US" w:eastAsia="zh-CN"/>
              </w:rPr>
              <w:t>、藿香蓟</w:t>
            </w:r>
            <w:r>
              <w:rPr>
                <w:rFonts w:hint="default" w:ascii="Times New Roman" w:hAnsi="Times New Roman" w:cs="Times New Roman"/>
                <w:i/>
                <w:iCs/>
                <w:color w:val="000000"/>
                <w:lang w:val="en-US" w:eastAsia="zh-CN"/>
              </w:rPr>
              <w:t>Ageratum conyzoides</w:t>
            </w:r>
            <w:r>
              <w:rPr>
                <w:rFonts w:hint="default" w:ascii="Times New Roman" w:hAnsi="Times New Roman" w:cs="Times New Roman"/>
                <w:color w:val="000000"/>
                <w:lang w:val="en-US" w:eastAsia="zh-CN"/>
              </w:rPr>
              <w:t>、六棱菊</w:t>
            </w:r>
            <w:r>
              <w:rPr>
                <w:rFonts w:hint="default" w:ascii="Times New Roman" w:hAnsi="Times New Roman" w:cs="Times New Roman"/>
                <w:i/>
                <w:iCs/>
                <w:color w:val="000000"/>
                <w:lang w:val="en-US" w:eastAsia="zh-CN"/>
              </w:rPr>
              <w:t>Laggera alata</w:t>
            </w:r>
            <w:r>
              <w:rPr>
                <w:rFonts w:hint="default" w:ascii="Times New Roman" w:hAnsi="Times New Roman" w:cs="Times New Roman"/>
                <w:color w:val="000000"/>
                <w:lang w:val="en-US" w:eastAsia="zh-CN"/>
              </w:rPr>
              <w:t>、鬼针草</w:t>
            </w:r>
            <w:r>
              <w:rPr>
                <w:rFonts w:hint="default" w:ascii="Times New Roman" w:hAnsi="Times New Roman" w:cs="Times New Roman"/>
                <w:i/>
                <w:iCs/>
                <w:color w:val="000000"/>
                <w:lang w:val="en-US" w:eastAsia="zh-CN"/>
              </w:rPr>
              <w:t>Bidens bipinnata</w:t>
            </w:r>
            <w:r>
              <w:rPr>
                <w:rFonts w:hint="default" w:ascii="Times New Roman" w:hAnsi="Times New Roman" w:cs="Times New Roman"/>
                <w:color w:val="000000"/>
                <w:lang w:val="en-US" w:eastAsia="zh-CN"/>
              </w:rPr>
              <w:t>等植物。草丛边缘偶见有牛筋草</w:t>
            </w:r>
            <w:r>
              <w:rPr>
                <w:rFonts w:hint="default" w:ascii="Times New Roman" w:hAnsi="Times New Roman" w:cs="Times New Roman"/>
                <w:i/>
                <w:iCs/>
                <w:color w:val="000000"/>
                <w:lang w:val="en-US" w:eastAsia="zh-CN"/>
              </w:rPr>
              <w:t>Eleusine indica</w:t>
            </w:r>
            <w:r>
              <w:rPr>
                <w:rFonts w:hint="default" w:ascii="Times New Roman" w:hAnsi="Times New Roman" w:cs="Times New Roman"/>
                <w:color w:val="000000"/>
                <w:lang w:val="en-US" w:eastAsia="zh-CN"/>
              </w:rPr>
              <w:t>、狗牙根</w:t>
            </w:r>
            <w:r>
              <w:rPr>
                <w:rFonts w:hint="default" w:ascii="Times New Roman" w:hAnsi="Times New Roman" w:cs="Times New Roman"/>
                <w:i/>
                <w:iCs/>
                <w:color w:val="000000"/>
                <w:lang w:val="en-US" w:eastAsia="zh-CN"/>
              </w:rPr>
              <w:t>Cynodon dactylon</w:t>
            </w:r>
            <w:r>
              <w:rPr>
                <w:rFonts w:hint="default" w:ascii="Times New Roman" w:hAnsi="Times New Roman" w:cs="Times New Roman"/>
                <w:color w:val="000000"/>
                <w:lang w:val="en-US" w:eastAsia="zh-CN"/>
              </w:rPr>
              <w:t>、密序野古草</w:t>
            </w:r>
            <w:r>
              <w:rPr>
                <w:rFonts w:hint="default" w:ascii="Times New Roman" w:hAnsi="Times New Roman" w:cs="Times New Roman"/>
                <w:i/>
                <w:iCs/>
                <w:color w:val="000000"/>
                <w:lang w:val="en-US" w:eastAsia="zh-CN"/>
              </w:rPr>
              <w:t>Arundinella bengalensis</w:t>
            </w:r>
            <w:r>
              <w:rPr>
                <w:rFonts w:hint="default" w:ascii="Times New Roman" w:hAnsi="Times New Roman" w:cs="Times New Roman"/>
                <w:color w:val="000000"/>
                <w:lang w:val="en-US" w:eastAsia="zh-CN"/>
              </w:rPr>
              <w:t>等。藿香蓟、飞机草草丛在</w:t>
            </w:r>
            <w:r>
              <w:rPr>
                <w:rFonts w:hint="eastAsia" w:cs="Times New Roman"/>
                <w:color w:val="000000"/>
                <w:lang w:val="en-US" w:eastAsia="zh-CN"/>
              </w:rPr>
              <w:t>芒市大河</w:t>
            </w:r>
            <w:r>
              <w:rPr>
                <w:rFonts w:hint="default" w:ascii="Times New Roman" w:hAnsi="Times New Roman" w:cs="Times New Roman"/>
                <w:color w:val="000000"/>
                <w:lang w:val="en-US" w:eastAsia="zh-CN"/>
              </w:rPr>
              <w:t>两岸及淹没区均有分布。</w:t>
            </w:r>
          </w:p>
          <w:p w14:paraId="0C7922BF">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c.卡开芦草丛</w:t>
            </w:r>
          </w:p>
          <w:p w14:paraId="18D6759E">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该群落仅存在于芒市河附近，水分充足的地方，群落高度1.0m～2.0m，群落盖度约60%，群落中卡开芦丛生为主，群落边缘有大白茅</w:t>
            </w:r>
            <w:r>
              <w:rPr>
                <w:rFonts w:hint="default" w:ascii="Times New Roman" w:hAnsi="Times New Roman" w:cs="Times New Roman"/>
                <w:i/>
                <w:iCs/>
                <w:color w:val="000000"/>
                <w:lang w:val="en-US" w:eastAsia="zh-CN"/>
              </w:rPr>
              <w:t>Imperata cylindrica var. major、</w:t>
            </w:r>
            <w:r>
              <w:rPr>
                <w:rFonts w:hint="default" w:ascii="Times New Roman" w:hAnsi="Times New Roman" w:cs="Times New Roman"/>
                <w:color w:val="000000"/>
                <w:lang w:val="en-US" w:eastAsia="zh-CN"/>
              </w:rPr>
              <w:t>蒿类、蔗茅、石芒草等，还有少量白酒草</w:t>
            </w:r>
            <w:r>
              <w:rPr>
                <w:rFonts w:hint="default" w:ascii="Times New Roman" w:hAnsi="Times New Roman" w:cs="Times New Roman"/>
                <w:i/>
                <w:iCs/>
                <w:color w:val="000000"/>
                <w:lang w:val="en-US" w:eastAsia="zh-CN"/>
              </w:rPr>
              <w:t xml:space="preserve"> Conyza japonica</w:t>
            </w:r>
            <w:r>
              <w:rPr>
                <w:rFonts w:hint="default" w:ascii="Times New Roman" w:hAnsi="Times New Roman" w:cs="Times New Roman"/>
                <w:color w:val="000000"/>
                <w:lang w:val="en-US" w:eastAsia="zh-CN"/>
              </w:rPr>
              <w:t>、驳骨丹</w:t>
            </w:r>
            <w:r>
              <w:rPr>
                <w:rFonts w:hint="default" w:ascii="Times New Roman" w:hAnsi="Times New Roman" w:cs="Times New Roman"/>
                <w:i/>
                <w:iCs/>
                <w:color w:val="000000"/>
                <w:lang w:val="en-US" w:eastAsia="zh-CN"/>
              </w:rPr>
              <w:t>Buddleja asiatica、</w:t>
            </w:r>
            <w:r>
              <w:rPr>
                <w:rFonts w:hint="default" w:ascii="Times New Roman" w:hAnsi="Times New Roman" w:cs="Times New Roman"/>
                <w:color w:val="000000"/>
                <w:lang w:val="en-US" w:eastAsia="zh-CN"/>
              </w:rPr>
              <w:t>硬杆子草</w:t>
            </w:r>
            <w:r>
              <w:rPr>
                <w:rFonts w:hint="default" w:ascii="Times New Roman" w:hAnsi="Times New Roman" w:cs="Times New Roman"/>
                <w:i/>
                <w:iCs/>
                <w:color w:val="000000"/>
                <w:lang w:val="en-US" w:eastAsia="zh-CN"/>
              </w:rPr>
              <w:t>Capillipedium assimile</w:t>
            </w:r>
            <w:r>
              <w:rPr>
                <w:rFonts w:hint="default" w:ascii="Times New Roman" w:hAnsi="Times New Roman" w:cs="Times New Roman"/>
                <w:color w:val="000000"/>
                <w:lang w:val="en-US" w:eastAsia="zh-CN"/>
              </w:rPr>
              <w:t>等。距离水边一段距离后还可见有毛麻楝幼苗。</w:t>
            </w:r>
          </w:p>
          <w:p w14:paraId="35EDF2E4">
            <w:pPr>
              <w:bidi w:val="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fldChar w:fldCharType="begin"/>
            </w:r>
            <w:r>
              <w:rPr>
                <w:rFonts w:hint="default" w:ascii="Times New Roman" w:hAnsi="Times New Roman" w:cs="Times New Roman"/>
                <w:color w:val="000000"/>
                <w:lang w:val="en-US" w:eastAsia="zh-CN"/>
              </w:rPr>
              <w:instrText xml:space="preserve"> = 5 \* GB3 \* MERGEFORMAT </w:instrText>
            </w:r>
            <w:r>
              <w:rPr>
                <w:rFonts w:hint="default" w:ascii="Times New Roman" w:hAnsi="Times New Roman" w:cs="Times New Roman"/>
                <w:color w:val="000000"/>
                <w:lang w:val="en-US" w:eastAsia="zh-CN"/>
              </w:rPr>
              <w:fldChar w:fldCharType="separate"/>
            </w:r>
            <w:r>
              <w:rPr>
                <w:rFonts w:hint="default" w:ascii="Times New Roman" w:hAnsi="Times New Roman" w:cs="Times New Roman"/>
                <w:color w:val="000000"/>
              </w:rPr>
              <w:t>⑤</w:t>
            </w:r>
            <w:r>
              <w:rPr>
                <w:rFonts w:hint="default" w:ascii="Times New Roman" w:hAnsi="Times New Roman" w:cs="Times New Roman"/>
                <w:color w:val="000000"/>
                <w:lang w:val="en-US" w:eastAsia="zh-CN"/>
              </w:rPr>
              <w:fldChar w:fldCharType="end"/>
            </w:r>
            <w:r>
              <w:rPr>
                <w:rFonts w:hint="default" w:ascii="Times New Roman" w:hAnsi="Times New Roman" w:cs="Times New Roman"/>
                <w:color w:val="000000"/>
                <w:lang w:val="en-US" w:eastAsia="zh-CN"/>
              </w:rPr>
              <w:t>人工植被</w:t>
            </w:r>
          </w:p>
          <w:p w14:paraId="76B1673B">
            <w:pPr>
              <w:bidi w:val="0"/>
              <w:rPr>
                <w:rFonts w:hint="default" w:ascii="Times New Roman" w:hAnsi="Times New Roman" w:cs="Times New Roman"/>
                <w:color w:val="000000"/>
                <w:szCs w:val="24"/>
              </w:rPr>
            </w:pPr>
            <w:r>
              <w:rPr>
                <w:rFonts w:hint="default" w:ascii="Times New Roman" w:hAnsi="Times New Roman" w:cs="Times New Roman"/>
                <w:color w:val="000000"/>
                <w:szCs w:val="24"/>
              </w:rPr>
              <w:t>评价区人工植被主要有经济林（橡胶林、咖啡）和农田植被两类。</w:t>
            </w:r>
          </w:p>
          <w:p w14:paraId="2850FC1E">
            <w:pPr>
              <w:bidi w:val="0"/>
              <w:rPr>
                <w:rFonts w:hint="default" w:ascii="Times New Roman" w:hAnsi="Times New Roman" w:cs="Times New Roman"/>
                <w:b/>
                <w:bCs/>
                <w:color w:val="000000"/>
              </w:rPr>
            </w:pPr>
            <w:r>
              <w:rPr>
                <w:rFonts w:hint="eastAsia" w:cs="Times New Roman"/>
                <w:b/>
                <w:bCs/>
                <w:color w:val="000000"/>
                <w:lang w:val="en-US" w:eastAsia="zh-CN"/>
              </w:rPr>
              <w:t>（3）</w:t>
            </w:r>
            <w:r>
              <w:rPr>
                <w:rFonts w:hint="default" w:ascii="Times New Roman" w:hAnsi="Times New Roman" w:cs="Times New Roman"/>
                <w:b/>
                <w:bCs/>
                <w:color w:val="000000"/>
              </w:rPr>
              <w:t>重点保护野生植物和古树名木</w:t>
            </w:r>
          </w:p>
          <w:p w14:paraId="34CD9D18">
            <w:pPr>
              <w:adjustRightInd w:val="0"/>
              <w:snapToGrid w:val="0"/>
              <w:spacing w:line="360" w:lineRule="auto"/>
              <w:ind w:firstLine="480" w:firstLineChars="200"/>
              <w:rPr>
                <w:rFonts w:hint="default" w:ascii="Times New Roman" w:hAnsi="Times New Roman" w:cs="Times New Roman"/>
                <w:b/>
                <w:color w:val="000000"/>
                <w:kern w:val="0"/>
                <w:sz w:val="24"/>
                <w:lang w:val="en-US" w:eastAsia="zh-CN"/>
              </w:rPr>
            </w:pPr>
            <w:r>
              <w:rPr>
                <w:rFonts w:hint="default" w:ascii="Times New Roman" w:hAnsi="Times New Roman" w:eastAsia="宋体" w:cs="Times New Roman"/>
                <w:color w:val="000000"/>
                <w:sz w:val="24"/>
              </w:rPr>
              <w:t>根据《云南名木古树》（云南省林业厅、云南省林学会编，1995年2月第一版），结合现场调查，本工程河道沿线300m范围内未发现名木古树。根据《国家重点保护野生植物名录》（</w:t>
            </w:r>
            <w:r>
              <w:rPr>
                <w:rFonts w:hint="default" w:ascii="Times New Roman" w:hAnsi="Times New Roman" w:cs="Times New Roman"/>
                <w:color w:val="000000"/>
                <w:kern w:val="0"/>
                <w:sz w:val="24"/>
              </w:rPr>
              <w:t>国家林业和草原局 农业农村部公告2021年第15号</w:t>
            </w:r>
            <w:r>
              <w:rPr>
                <w:rFonts w:hint="default" w:ascii="Times New Roman" w:hAnsi="Times New Roman" w:eastAsia="宋体" w:cs="Times New Roman"/>
                <w:color w:val="000000"/>
                <w:sz w:val="24"/>
              </w:rPr>
              <w:t>）、</w:t>
            </w:r>
            <w:r>
              <w:rPr>
                <w:rFonts w:hint="default" w:ascii="Times New Roman" w:hAnsi="Times New Roman" w:cs="Times New Roman"/>
                <w:color w:val="000000"/>
                <w:kern w:val="0"/>
                <w:sz w:val="24"/>
              </w:rPr>
              <w:t>《云南省极小种群野生植物保护名录（2022年版）</w:t>
            </w:r>
            <w:r>
              <w:rPr>
                <w:rFonts w:hint="eastAsia" w:ascii="Times New Roman" w:hAnsi="Times New Roman" w:cs="Times New Roman"/>
                <w:color w:val="000000"/>
                <w:kern w:val="0"/>
                <w:sz w:val="24"/>
                <w:lang w:eastAsia="zh-CN"/>
              </w:rPr>
              <w:t>》《</w:t>
            </w:r>
            <w:r>
              <w:rPr>
                <w:rFonts w:hint="default" w:ascii="Times New Roman" w:hAnsi="Times New Roman" w:eastAsia="宋体" w:cs="Times New Roman"/>
                <w:color w:val="000000"/>
                <w:sz w:val="24"/>
              </w:rPr>
              <w:t>云南省第一批省级重点保护野生植物名录》（1989年）等资料，本工程河道沿线300m范围内未发现国家及云南省重点保护、珍稀濒危植物。此外，评价区内未发现本地或</w:t>
            </w:r>
            <w:r>
              <w:rPr>
                <w:rFonts w:hint="default" w:ascii="Times New Roman" w:hAnsi="Times New Roman" w:cs="Times New Roman"/>
                <w:color w:val="000000"/>
                <w:sz w:val="24"/>
                <w:lang w:val="en-US" w:eastAsia="zh-CN"/>
              </w:rPr>
              <w:t>芒市</w:t>
            </w:r>
            <w:r>
              <w:rPr>
                <w:rFonts w:hint="default" w:ascii="Times New Roman" w:hAnsi="Times New Roman" w:eastAsia="宋体" w:cs="Times New Roman"/>
                <w:color w:val="000000"/>
                <w:sz w:val="24"/>
              </w:rPr>
              <w:t>特有植物。</w:t>
            </w:r>
          </w:p>
          <w:p w14:paraId="526E4675">
            <w:pPr>
              <w:spacing w:line="360" w:lineRule="auto"/>
              <w:ind w:firstLine="482" w:firstLineChars="200"/>
              <w:jc w:val="left"/>
              <w:outlineLvl w:val="3"/>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在评价区域范围内，未见狭域特有种、地区特有属，也没有中国特有属，</w:t>
            </w:r>
            <w:r>
              <w:rPr>
                <w:rFonts w:hint="eastAsia" w:ascii="Times New Roman" w:hAnsi="Times New Roman" w:cs="Times New Roman"/>
                <w:b/>
                <w:bCs/>
                <w:color w:val="000000"/>
                <w:sz w:val="24"/>
                <w:lang w:eastAsia="zh-CN"/>
              </w:rPr>
              <w:t>这些</w:t>
            </w:r>
            <w:r>
              <w:rPr>
                <w:rFonts w:hint="default" w:ascii="Times New Roman" w:hAnsi="Times New Roman" w:eastAsia="宋体" w:cs="Times New Roman"/>
                <w:b/>
                <w:bCs/>
                <w:color w:val="000000"/>
                <w:sz w:val="24"/>
              </w:rPr>
              <w:t>特征反映了该地区植物区系</w:t>
            </w:r>
            <w:r>
              <w:rPr>
                <w:rFonts w:hint="eastAsia" w:ascii="Times New Roman" w:hAnsi="Times New Roman" w:cs="Times New Roman"/>
                <w:b/>
                <w:bCs/>
                <w:color w:val="000000"/>
                <w:sz w:val="24"/>
                <w:lang w:eastAsia="zh-CN"/>
              </w:rPr>
              <w:t>与其他地区</w:t>
            </w:r>
            <w:r>
              <w:rPr>
                <w:rFonts w:hint="default" w:ascii="Times New Roman" w:hAnsi="Times New Roman" w:eastAsia="宋体" w:cs="Times New Roman"/>
                <w:b/>
                <w:bCs/>
                <w:color w:val="000000"/>
                <w:sz w:val="24"/>
              </w:rPr>
              <w:t>具有广泛的联系。</w:t>
            </w:r>
          </w:p>
          <w:p w14:paraId="1985193A">
            <w:pPr>
              <w:bidi w:val="0"/>
              <w:rPr>
                <w:rFonts w:hint="default" w:ascii="Times New Roman" w:hAnsi="Times New Roman" w:cs="Times New Roman"/>
                <w:b/>
                <w:color w:val="000000"/>
                <w:kern w:val="0"/>
                <w:sz w:val="24"/>
                <w:lang w:val="en-US" w:eastAsia="zh-CN"/>
              </w:rPr>
            </w:pPr>
            <w:r>
              <w:rPr>
                <w:rFonts w:hint="eastAsia" w:cs="Times New Roman"/>
                <w:b/>
                <w:color w:val="000000"/>
                <w:kern w:val="0"/>
                <w:sz w:val="24"/>
                <w:lang w:val="en-US" w:eastAsia="zh-CN"/>
              </w:rPr>
              <w:t>2.4</w:t>
            </w:r>
            <w:r>
              <w:rPr>
                <w:rFonts w:hint="default" w:ascii="Times New Roman" w:hAnsi="Times New Roman" w:cs="Times New Roman"/>
                <w:b/>
                <w:color w:val="000000"/>
                <w:kern w:val="0"/>
                <w:sz w:val="24"/>
                <w:lang w:val="en-US" w:eastAsia="zh-CN"/>
              </w:rPr>
              <w:t>、陆栖脊椎动物</w:t>
            </w:r>
            <w:r>
              <w:rPr>
                <w:rFonts w:hint="default" w:ascii="Times New Roman" w:hAnsi="Times New Roman" w:eastAsia="宋体" w:cs="Times New Roman"/>
                <w:b/>
                <w:bCs/>
                <w:color w:val="000000"/>
                <w:sz w:val="24"/>
              </w:rPr>
              <w:t>现状调查及评价</w:t>
            </w:r>
          </w:p>
          <w:p w14:paraId="30DCAEDC">
            <w:pPr>
              <w:bidi w:val="0"/>
              <w:rPr>
                <w:rFonts w:hint="default" w:ascii="Times New Roman" w:hAnsi="Times New Roman" w:cs="Times New Roman"/>
                <w:b/>
                <w:bCs/>
                <w:color w:val="000000"/>
              </w:rPr>
            </w:pPr>
            <w:r>
              <w:rPr>
                <w:rFonts w:hint="default" w:ascii="Times New Roman" w:hAnsi="Times New Roman" w:cs="Times New Roman"/>
                <w:b/>
                <w:bCs/>
                <w:color w:val="000000"/>
                <w:lang w:eastAsia="zh-CN"/>
              </w:rPr>
              <w:t>（</w:t>
            </w:r>
            <w:r>
              <w:rPr>
                <w:rFonts w:hint="default" w:ascii="Times New Roman" w:hAnsi="Times New Roman" w:cs="Times New Roman"/>
                <w:b/>
                <w:bCs/>
                <w:color w:val="000000"/>
                <w:lang w:val="en-US" w:eastAsia="zh-CN"/>
              </w:rPr>
              <w:t>1</w:t>
            </w:r>
            <w:r>
              <w:rPr>
                <w:rFonts w:hint="default" w:ascii="Times New Roman" w:hAnsi="Times New Roman" w:cs="Times New Roman"/>
                <w:b/>
                <w:bCs/>
                <w:color w:val="000000"/>
                <w:lang w:eastAsia="zh-CN"/>
              </w:rPr>
              <w:t>）</w:t>
            </w:r>
            <w:r>
              <w:rPr>
                <w:rFonts w:hint="default" w:ascii="Times New Roman" w:hAnsi="Times New Roman" w:cs="Times New Roman"/>
                <w:b/>
                <w:bCs/>
                <w:color w:val="000000"/>
              </w:rPr>
              <w:t>陆生动物现状</w:t>
            </w:r>
          </w:p>
          <w:p w14:paraId="5E00C7DD">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1）</w:t>
            </w:r>
            <w:r>
              <w:rPr>
                <w:rFonts w:hint="default" w:ascii="Times New Roman" w:hAnsi="Times New Roman" w:cs="Times New Roman"/>
                <w:color w:val="000000"/>
              </w:rPr>
              <w:t>两栖类</w:t>
            </w:r>
          </w:p>
          <w:p w14:paraId="7FB2F342">
            <w:pPr>
              <w:bidi w:val="0"/>
              <w:rPr>
                <w:rFonts w:hint="eastAsia" w:ascii="Times New Roman" w:hAnsi="Times New Roman" w:eastAsia="宋体" w:cs="Times New Roman"/>
                <w:color w:val="000000"/>
                <w:lang w:eastAsia="zh-CN"/>
              </w:rPr>
            </w:pPr>
            <w:r>
              <w:rPr>
                <w:rFonts w:hint="default" w:ascii="Times New Roman" w:hAnsi="Times New Roman" w:cs="Times New Roman"/>
                <w:color w:val="000000"/>
              </w:rPr>
              <w:t>评价区内分布的两栖类</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蛙科，优势种为泽陆蛙，适应能力强，在评价区内分布较广，多分布于评价区内的稻田、池塘或水域附近。按照区系类型，评价区内分布的两栖类均属于东洋种，无古北种和广布种分布。根据生活习性的不同，评价区的两栖动物可以分为3种生态类型</w:t>
            </w:r>
            <w:r>
              <w:rPr>
                <w:rFonts w:hint="eastAsia" w:ascii="Times New Roman" w:hAnsi="Times New Roman" w:cs="Times New Roman"/>
                <w:color w:val="000000"/>
                <w:lang w:eastAsia="zh-CN"/>
              </w:rPr>
              <w:t>；</w:t>
            </w:r>
          </w:p>
          <w:p w14:paraId="34CECF28">
            <w:pPr>
              <w:bidi w:val="0"/>
              <w:rPr>
                <w:rFonts w:hint="default" w:ascii="Times New Roman" w:hAnsi="Times New Roman" w:cs="Times New Roman"/>
                <w:color w:val="000000"/>
              </w:rPr>
            </w:pPr>
            <w:r>
              <w:rPr>
                <w:rFonts w:hint="default" w:ascii="Times New Roman" w:hAnsi="Times New Roman" w:cs="Times New Roman"/>
                <w:color w:val="000000"/>
              </w:rPr>
              <w:t>静水型：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陇川大头蛙，在评价区内的水塘及稻田等静水水域中分布，与人类活动关系较密切。</w:t>
            </w:r>
          </w:p>
          <w:p w14:paraId="6F16391C">
            <w:pPr>
              <w:bidi w:val="0"/>
              <w:rPr>
                <w:rFonts w:hint="default" w:ascii="Times New Roman" w:hAnsi="Times New Roman" w:cs="Times New Roman"/>
                <w:color w:val="000000"/>
              </w:rPr>
            </w:pPr>
            <w:r>
              <w:rPr>
                <w:rFonts w:hint="default" w:ascii="Times New Roman" w:hAnsi="Times New Roman" w:cs="Times New Roman"/>
                <w:color w:val="000000"/>
              </w:rPr>
              <w:t>陆栖型：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黑眶蟾蜍和泽陆蛙，在评价区内离水源不远的陆地上如草地、石下、田埂间等生境内活动，分布较广泛，与人类活动关系较密切。</w:t>
            </w:r>
          </w:p>
          <w:p w14:paraId="12DED793">
            <w:pPr>
              <w:bidi w:val="0"/>
              <w:rPr>
                <w:rFonts w:hint="default" w:ascii="Times New Roman" w:hAnsi="Times New Roman" w:cs="Times New Roman"/>
                <w:color w:val="000000"/>
              </w:rPr>
            </w:pPr>
            <w:r>
              <w:rPr>
                <w:rFonts w:hint="default" w:ascii="Times New Roman" w:hAnsi="Times New Roman" w:cs="Times New Roman"/>
                <w:color w:val="000000"/>
              </w:rPr>
              <w:t>树栖型：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陇川灌树蛙、华西雨蛙，在评价区内离水源不远的树上生活。</w:t>
            </w:r>
          </w:p>
          <w:p w14:paraId="2E6263EC">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2）</w:t>
            </w:r>
            <w:r>
              <w:rPr>
                <w:rFonts w:hint="default" w:ascii="Times New Roman" w:hAnsi="Times New Roman" w:cs="Times New Roman"/>
                <w:color w:val="000000"/>
              </w:rPr>
              <w:t>爬行类</w:t>
            </w:r>
          </w:p>
          <w:p w14:paraId="2112EDB6">
            <w:pPr>
              <w:bidi w:val="0"/>
              <w:rPr>
                <w:rFonts w:hint="default" w:ascii="Times New Roman" w:hAnsi="Times New Roman" w:cs="Times New Roman"/>
                <w:color w:val="000000"/>
              </w:rPr>
            </w:pPr>
            <w:r>
              <w:rPr>
                <w:rFonts w:hint="default" w:ascii="Times New Roman" w:hAnsi="Times New Roman" w:cs="Times New Roman"/>
                <w:color w:val="000000"/>
              </w:rPr>
              <w:t>评价区内爬行类</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鬣蜥科和石龙子科，按照区系类型，均属于东洋种。根据生活习性的不同，共分为3种生态类型：</w:t>
            </w:r>
          </w:p>
          <w:p w14:paraId="6EEBB4F3">
            <w:pPr>
              <w:bidi w:val="0"/>
              <w:rPr>
                <w:rFonts w:hint="default" w:ascii="Times New Roman" w:hAnsi="Times New Roman" w:cs="Times New Roman"/>
                <w:color w:val="000000"/>
              </w:rPr>
            </w:pPr>
            <w:r>
              <w:rPr>
                <w:rFonts w:hint="default" w:ascii="Times New Roman" w:hAnsi="Times New Roman" w:cs="Times New Roman"/>
                <w:color w:val="000000"/>
              </w:rPr>
              <w:t>住宅型：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多疣壁虎，在居民点附近生活。</w:t>
            </w:r>
          </w:p>
          <w:p w14:paraId="0E6F00C2">
            <w:pPr>
              <w:bidi w:val="0"/>
              <w:rPr>
                <w:rFonts w:hint="default" w:ascii="Times New Roman" w:hAnsi="Times New Roman" w:cs="Times New Roman"/>
                <w:color w:val="000000"/>
              </w:rPr>
            </w:pPr>
            <w:r>
              <w:rPr>
                <w:rFonts w:hint="default" w:ascii="Times New Roman" w:hAnsi="Times New Roman" w:cs="Times New Roman"/>
                <w:color w:val="000000"/>
              </w:rPr>
              <w:t>灌丛石隙型：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中国石龙子、铜蜓蜥、白唇树蜥、棕背树蜥、变色树蜥和印度蜓蜥等，在堤防工程附近的灌草丛、田埂路边活动，与人类活动关系较密切。</w:t>
            </w:r>
          </w:p>
          <w:p w14:paraId="42BBD77F">
            <w:pPr>
              <w:bidi w:val="0"/>
              <w:rPr>
                <w:rFonts w:hint="default" w:ascii="Times New Roman" w:hAnsi="Times New Roman" w:cs="Times New Roman"/>
                <w:color w:val="000000"/>
              </w:rPr>
            </w:pPr>
            <w:r>
              <w:rPr>
                <w:rFonts w:hint="default" w:ascii="Times New Roman" w:hAnsi="Times New Roman" w:cs="Times New Roman"/>
                <w:color w:val="000000"/>
              </w:rPr>
              <w:t>林栖傍水型：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孟加拉眼镜蛇和银环蛇，在评价区内河流、水塘等水域附近潮湿的林地内活动。</w:t>
            </w:r>
          </w:p>
          <w:p w14:paraId="189C6AD2">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3）</w:t>
            </w:r>
            <w:r>
              <w:rPr>
                <w:rFonts w:hint="default" w:ascii="Times New Roman" w:hAnsi="Times New Roman" w:cs="Times New Roman"/>
                <w:color w:val="000000"/>
              </w:rPr>
              <w:t>鸟类</w:t>
            </w:r>
          </w:p>
          <w:p w14:paraId="2E83F4EC">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本次调查期间，本项目</w:t>
            </w:r>
            <w:r>
              <w:rPr>
                <w:rFonts w:hint="default" w:ascii="Times New Roman" w:hAnsi="Times New Roman" w:cs="Times New Roman"/>
                <w:color w:val="000000"/>
              </w:rPr>
              <w:t>评价范围内</w:t>
            </w:r>
            <w:r>
              <w:rPr>
                <w:rFonts w:hint="default" w:ascii="Times New Roman" w:hAnsi="Times New Roman" w:cs="Times New Roman"/>
                <w:color w:val="000000"/>
                <w:lang w:val="en-US" w:eastAsia="zh-CN"/>
              </w:rPr>
              <w:t>未发现</w:t>
            </w:r>
            <w:r>
              <w:rPr>
                <w:rFonts w:hint="default" w:ascii="Times New Roman" w:hAnsi="Times New Roman" w:cs="Times New Roman"/>
                <w:color w:val="000000"/>
              </w:rPr>
              <w:t>国家重点保护鸟类</w:t>
            </w:r>
            <w:r>
              <w:rPr>
                <w:rFonts w:hint="default" w:ascii="Times New Roman" w:hAnsi="Times New Roman" w:cs="Times New Roman"/>
                <w:color w:val="000000"/>
                <w:lang w:eastAsia="zh-CN"/>
              </w:rPr>
              <w:t>。</w:t>
            </w:r>
            <w:r>
              <w:rPr>
                <w:rFonts w:hint="default" w:ascii="Times New Roman" w:hAnsi="Times New Roman" w:cs="Times New Roman"/>
                <w:color w:val="000000"/>
              </w:rPr>
              <w:t>根据生活习性的不同，评价区鸟类生态类型</w:t>
            </w:r>
            <w:r>
              <w:rPr>
                <w:rFonts w:hint="default" w:ascii="Times New Roman" w:hAnsi="Times New Roman" w:cs="Times New Roman"/>
                <w:color w:val="000000"/>
                <w:lang w:val="en-US" w:eastAsia="zh-CN"/>
              </w:rPr>
              <w:t>主要如下：</w:t>
            </w:r>
          </w:p>
          <w:p w14:paraId="0E317FDC">
            <w:pPr>
              <w:bidi w:val="0"/>
              <w:rPr>
                <w:rFonts w:hint="default" w:ascii="Times New Roman" w:hAnsi="Times New Roman" w:cs="Times New Roman"/>
                <w:color w:val="000000"/>
              </w:rPr>
            </w:pPr>
            <w:r>
              <w:rPr>
                <w:rFonts w:hint="default" w:ascii="Times New Roman" w:hAnsi="Times New Roman" w:cs="Times New Roman"/>
                <w:color w:val="000000"/>
              </w:rPr>
              <w:t>涉禽：</w:t>
            </w:r>
            <w:r>
              <w:rPr>
                <w:rFonts w:hint="default" w:ascii="Times New Roman" w:hAnsi="Times New Roman" w:cs="Times New Roman"/>
                <w:color w:val="000000"/>
                <w:lang w:val="en-US" w:eastAsia="zh-CN"/>
              </w:rPr>
              <w:t>主要</w:t>
            </w:r>
            <w:r>
              <w:rPr>
                <w:rFonts w:hint="eastAsia" w:ascii="Times New Roman" w:hAnsi="Times New Roman" w:cs="Times New Roman"/>
                <w:color w:val="000000"/>
                <w:lang w:val="en-US" w:eastAsia="zh-CN"/>
              </w:rPr>
              <w:t>包括</w:t>
            </w:r>
            <w:r>
              <w:rPr>
                <w:rFonts w:hint="default" w:ascii="Times New Roman" w:hAnsi="Times New Roman" w:cs="Times New Roman"/>
                <w:color w:val="000000"/>
              </w:rPr>
              <w:t>鹈形目、鹳形目、鹤形目及鸻形目等</w:t>
            </w:r>
            <w:r>
              <w:rPr>
                <w:rFonts w:hint="default" w:ascii="Times New Roman" w:hAnsi="Times New Roman" w:cs="Times New Roman"/>
                <w:color w:val="000000"/>
                <w:lang w:eastAsia="zh-CN"/>
              </w:rPr>
              <w:t>。</w:t>
            </w:r>
            <w:r>
              <w:rPr>
                <w:rFonts w:hint="default" w:ascii="Times New Roman" w:hAnsi="Times New Roman" w:cs="Times New Roman"/>
                <w:color w:val="000000"/>
              </w:rPr>
              <w:t>在评价区内主要分布于</w:t>
            </w:r>
            <w:r>
              <w:rPr>
                <w:rFonts w:hint="default" w:ascii="Times New Roman" w:hAnsi="Times New Roman" w:cs="Times New Roman"/>
                <w:color w:val="000000"/>
                <w:lang w:val="en-US" w:eastAsia="zh-CN"/>
              </w:rPr>
              <w:t>河道</w:t>
            </w:r>
            <w:r>
              <w:rPr>
                <w:rFonts w:hint="default" w:ascii="Times New Roman" w:hAnsi="Times New Roman" w:cs="Times New Roman"/>
                <w:color w:val="000000"/>
              </w:rPr>
              <w:t>两岸的滩涂以及水田、水塘等处。</w:t>
            </w:r>
          </w:p>
          <w:p w14:paraId="10C06E24">
            <w:pPr>
              <w:bidi w:val="0"/>
              <w:rPr>
                <w:rFonts w:hint="default" w:ascii="Times New Roman" w:hAnsi="Times New Roman" w:cs="Times New Roman"/>
                <w:color w:val="000000"/>
              </w:rPr>
            </w:pPr>
            <w:r>
              <w:rPr>
                <w:rFonts w:hint="default" w:ascii="Times New Roman" w:hAnsi="Times New Roman" w:cs="Times New Roman"/>
                <w:color w:val="000000"/>
              </w:rPr>
              <w:t>陆禽：</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鸡形目、鸽形目等</w:t>
            </w:r>
            <w:r>
              <w:rPr>
                <w:rFonts w:hint="default" w:ascii="Times New Roman" w:hAnsi="Times New Roman" w:cs="Times New Roman"/>
                <w:color w:val="000000"/>
                <w:lang w:eastAsia="zh-CN"/>
              </w:rPr>
              <w:t>。</w:t>
            </w:r>
            <w:r>
              <w:rPr>
                <w:rFonts w:hint="default" w:ascii="Times New Roman" w:hAnsi="Times New Roman" w:cs="Times New Roman"/>
                <w:color w:val="000000"/>
              </w:rPr>
              <w:t>在评价区内主要分布于</w:t>
            </w:r>
            <w:r>
              <w:rPr>
                <w:rFonts w:hint="default" w:ascii="Times New Roman" w:hAnsi="Times New Roman" w:cs="Times New Roman"/>
                <w:color w:val="000000"/>
                <w:lang w:val="en-US" w:eastAsia="zh-CN"/>
              </w:rPr>
              <w:t>芒市大河</w:t>
            </w:r>
            <w:r>
              <w:rPr>
                <w:rFonts w:hint="default" w:ascii="Times New Roman" w:hAnsi="Times New Roman" w:cs="Times New Roman"/>
                <w:color w:val="000000"/>
              </w:rPr>
              <w:t>沿岸的农田区域或村落。</w:t>
            </w:r>
          </w:p>
          <w:p w14:paraId="3486B72D">
            <w:pPr>
              <w:bidi w:val="0"/>
              <w:rPr>
                <w:rFonts w:hint="default" w:ascii="Times New Roman" w:hAnsi="Times New Roman" w:cs="Times New Roman"/>
                <w:color w:val="000000"/>
              </w:rPr>
            </w:pPr>
            <w:r>
              <w:rPr>
                <w:rFonts w:hint="default" w:ascii="Times New Roman" w:hAnsi="Times New Roman" w:cs="Times New Roman"/>
                <w:color w:val="000000"/>
              </w:rPr>
              <w:t>攀禽：</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佛法僧目、鴷形目、鹦形目等</w:t>
            </w:r>
            <w:r>
              <w:rPr>
                <w:rFonts w:hint="default" w:ascii="Times New Roman" w:hAnsi="Times New Roman" w:cs="Times New Roman"/>
                <w:color w:val="000000"/>
                <w:lang w:eastAsia="zh-CN"/>
              </w:rPr>
              <w:t>。</w:t>
            </w:r>
            <w:r>
              <w:rPr>
                <w:rFonts w:hint="default" w:ascii="Times New Roman" w:hAnsi="Times New Roman" w:cs="Times New Roman"/>
                <w:color w:val="000000"/>
              </w:rPr>
              <w:t>其中，普通翠鸟、蓝翡翠、斑鱼狗在评价区内主要分布在</w:t>
            </w:r>
            <w:r>
              <w:rPr>
                <w:rFonts w:hint="eastAsia" w:cs="Times New Roman"/>
                <w:color w:val="000000"/>
                <w:lang w:eastAsia="zh-CN"/>
              </w:rPr>
              <w:t>芒市大河</w:t>
            </w:r>
            <w:r>
              <w:rPr>
                <w:rFonts w:hint="default" w:ascii="Times New Roman" w:hAnsi="Times New Roman" w:cs="Times New Roman"/>
                <w:color w:val="000000"/>
              </w:rPr>
              <w:t>沿岸及评价区内水塘、稻田等水域附近。</w:t>
            </w:r>
          </w:p>
          <w:p w14:paraId="75ADEB58">
            <w:pPr>
              <w:bidi w:val="0"/>
              <w:rPr>
                <w:rFonts w:hint="default" w:ascii="Times New Roman" w:hAnsi="Times New Roman" w:cs="Times New Roman"/>
                <w:color w:val="000000"/>
              </w:rPr>
            </w:pPr>
            <w:r>
              <w:rPr>
                <w:rFonts w:hint="default" w:ascii="Times New Roman" w:hAnsi="Times New Roman" w:cs="Times New Roman"/>
                <w:color w:val="000000"/>
              </w:rPr>
              <w:t>鸣禽：</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雀形目、雨燕目、夜鹰目、鹃形目及鸻形目等。广泛分布于评价区各类生境中，如灌丛、农田、居民点及水域附近等，其中分布于灌丛生境的种类较多。</w:t>
            </w:r>
          </w:p>
          <w:p w14:paraId="161EE3BD">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4）</w:t>
            </w:r>
            <w:r>
              <w:rPr>
                <w:rFonts w:hint="default" w:ascii="Times New Roman" w:hAnsi="Times New Roman" w:cs="Times New Roman"/>
                <w:color w:val="000000"/>
              </w:rPr>
              <w:t>哺乳类</w:t>
            </w:r>
          </w:p>
          <w:p w14:paraId="6B33FFA5">
            <w:pPr>
              <w:bidi w:val="0"/>
              <w:rPr>
                <w:rFonts w:hint="default" w:ascii="Times New Roman" w:hAnsi="Times New Roman" w:cs="Times New Roman"/>
                <w:color w:val="000000"/>
              </w:rPr>
            </w:pPr>
            <w:r>
              <w:rPr>
                <w:rFonts w:hint="default" w:ascii="Times New Roman" w:hAnsi="Times New Roman" w:cs="Times New Roman"/>
                <w:color w:val="000000"/>
              </w:rPr>
              <w:t>评价区分布有哺乳类</w:t>
            </w:r>
            <w:r>
              <w:rPr>
                <w:rFonts w:hint="default" w:ascii="Times New Roman" w:hAnsi="Times New Roman" w:cs="Times New Roman"/>
                <w:color w:val="000000"/>
                <w:lang w:val="en-US" w:eastAsia="zh-CN"/>
              </w:rPr>
              <w:t>以</w:t>
            </w:r>
            <w:r>
              <w:rPr>
                <w:rFonts w:hint="default" w:ascii="Times New Roman" w:hAnsi="Times New Roman" w:cs="Times New Roman"/>
                <w:color w:val="000000"/>
              </w:rPr>
              <w:t>啮齿目物种</w:t>
            </w:r>
            <w:r>
              <w:rPr>
                <w:rFonts w:hint="default" w:ascii="Times New Roman" w:hAnsi="Times New Roman" w:cs="Times New Roman"/>
                <w:color w:val="000000"/>
                <w:lang w:val="en-US" w:eastAsia="zh-CN"/>
              </w:rPr>
              <w:t>为主</w:t>
            </w:r>
            <w:r>
              <w:rPr>
                <w:rFonts w:hint="default" w:ascii="Times New Roman" w:hAnsi="Times New Roman" w:cs="Times New Roman"/>
                <w:color w:val="000000"/>
              </w:rPr>
              <w:t>，按照区系类型划分，评价区内的哺乳类</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东洋种</w:t>
            </w:r>
            <w:r>
              <w:rPr>
                <w:rFonts w:hint="default" w:ascii="Times New Roman" w:hAnsi="Times New Roman" w:cs="Times New Roman"/>
                <w:color w:val="000000"/>
                <w:lang w:val="en-US" w:eastAsia="zh-CN"/>
              </w:rPr>
              <w:t>及</w:t>
            </w:r>
            <w:r>
              <w:rPr>
                <w:rFonts w:hint="default" w:ascii="Times New Roman" w:hAnsi="Times New Roman" w:cs="Times New Roman"/>
                <w:color w:val="000000"/>
              </w:rPr>
              <w:t>广布种。根据生活习性的不同，评价范围内哺乳类动物可以分为以下2种生活型：</w:t>
            </w:r>
          </w:p>
          <w:p w14:paraId="5B4366F9">
            <w:pPr>
              <w:bidi w:val="0"/>
              <w:rPr>
                <w:rFonts w:hint="default" w:ascii="Times New Roman" w:hAnsi="Times New Roman" w:cs="Times New Roman"/>
                <w:color w:val="000000"/>
              </w:rPr>
            </w:pPr>
            <w:r>
              <w:rPr>
                <w:rFonts w:hint="default" w:ascii="Times New Roman" w:hAnsi="Times New Roman" w:cs="Times New Roman"/>
                <w:color w:val="000000"/>
              </w:rPr>
              <w:t>半地下生活型：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黄胸鼠、褐家鼠、小家鼠、黄鼬等</w:t>
            </w:r>
            <w:r>
              <w:rPr>
                <w:rFonts w:hint="default" w:ascii="Times New Roman" w:hAnsi="Times New Roman" w:cs="Times New Roman"/>
                <w:color w:val="000000"/>
                <w:lang w:eastAsia="zh-CN"/>
              </w:rPr>
              <w:t>。</w:t>
            </w:r>
            <w:r>
              <w:rPr>
                <w:rFonts w:hint="default" w:ascii="Times New Roman" w:hAnsi="Times New Roman" w:cs="Times New Roman"/>
                <w:color w:val="000000"/>
              </w:rPr>
              <w:t>分布在树林和农田中，其中小家鼠、褐家鼠等鼠类分布较为广泛，与人类关系密切。</w:t>
            </w:r>
          </w:p>
          <w:p w14:paraId="762B7548">
            <w:pPr>
              <w:bidi w:val="0"/>
              <w:rPr>
                <w:rFonts w:hint="default" w:ascii="Times New Roman" w:hAnsi="Times New Roman" w:cs="Times New Roman"/>
                <w:color w:val="000000"/>
              </w:rPr>
            </w:pPr>
            <w:r>
              <w:rPr>
                <w:rFonts w:hint="default" w:ascii="Times New Roman" w:hAnsi="Times New Roman" w:cs="Times New Roman"/>
                <w:color w:val="000000"/>
              </w:rPr>
              <w:t>树栖型：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赤腹松鼠和五纹松鼠。栖息活动于评价区内的树上。</w:t>
            </w:r>
          </w:p>
          <w:p w14:paraId="125234EF">
            <w:pPr>
              <w:adjustRightInd w:val="0"/>
              <w:snapToGrid w:val="0"/>
              <w:spacing w:line="360" w:lineRule="auto"/>
              <w:ind w:firstLine="482" w:firstLineChars="200"/>
              <w:rPr>
                <w:rFonts w:hint="default" w:ascii="Times New Roman" w:hAnsi="Times New Roman" w:eastAsia="宋体" w:cs="Times New Roman"/>
                <w:b/>
                <w:color w:val="000000"/>
                <w:kern w:val="0"/>
                <w:sz w:val="24"/>
                <w:lang w:val="en-US" w:eastAsia="zh-CN"/>
              </w:rPr>
            </w:pPr>
            <w:r>
              <w:rPr>
                <w:rFonts w:hint="eastAsia" w:ascii="Times New Roman" w:hAnsi="Times New Roman" w:eastAsia="宋体" w:cs="Times New Roman"/>
                <w:b/>
                <w:color w:val="000000"/>
                <w:kern w:val="0"/>
                <w:sz w:val="24"/>
                <w:lang w:val="en-US" w:eastAsia="zh-CN"/>
              </w:rPr>
              <w:t>3</w:t>
            </w:r>
            <w:r>
              <w:rPr>
                <w:rFonts w:hint="default" w:ascii="Times New Roman" w:hAnsi="Times New Roman" w:eastAsia="宋体" w:cs="Times New Roman"/>
                <w:b/>
                <w:color w:val="000000"/>
                <w:kern w:val="0"/>
                <w:sz w:val="24"/>
                <w:lang w:val="en-US" w:eastAsia="zh-CN"/>
              </w:rPr>
              <w:t>、水生生态</w:t>
            </w:r>
          </w:p>
          <w:p w14:paraId="23324692">
            <w:pPr>
              <w:bidi w:val="0"/>
              <w:rPr>
                <w:rFonts w:hint="default" w:ascii="Times New Roman" w:hAnsi="Times New Roman" w:cs="Times New Roman"/>
                <w:color w:val="000000"/>
              </w:rPr>
            </w:pPr>
            <w:r>
              <w:rPr>
                <w:rFonts w:hint="default" w:ascii="Times New Roman" w:hAnsi="Times New Roman" w:eastAsia="宋体" w:cs="Times New Roman"/>
                <w:b/>
                <w:color w:val="000000"/>
                <w:kern w:val="0"/>
                <w:sz w:val="24"/>
                <w:lang w:val="en-US" w:eastAsia="zh-CN"/>
              </w:rPr>
              <w:t>（1）水生生境</w:t>
            </w:r>
            <w:r>
              <w:rPr>
                <w:rFonts w:hint="default" w:ascii="Times New Roman" w:hAnsi="Times New Roman" w:cs="Times New Roman"/>
                <w:color w:val="000000"/>
              </w:rPr>
              <w:t>半地下生活型：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黄胸鼠、褐家鼠、小家鼠、黄鼬等</w:t>
            </w:r>
            <w:r>
              <w:rPr>
                <w:rFonts w:hint="default" w:ascii="Times New Roman" w:hAnsi="Times New Roman" w:cs="Times New Roman"/>
                <w:color w:val="000000"/>
                <w:lang w:eastAsia="zh-CN"/>
              </w:rPr>
              <w:t>。</w:t>
            </w:r>
            <w:r>
              <w:rPr>
                <w:rFonts w:hint="default" w:ascii="Times New Roman" w:hAnsi="Times New Roman" w:cs="Times New Roman"/>
                <w:color w:val="000000"/>
              </w:rPr>
              <w:t>分布在树林和农田中，其中小家鼠、褐家鼠等鼠类分布较为广泛，与人类关系密切。</w:t>
            </w:r>
          </w:p>
          <w:p w14:paraId="4DD7C0DC">
            <w:pPr>
              <w:adjustRightInd w:val="0"/>
              <w:snapToGrid w:val="0"/>
              <w:spacing w:line="360" w:lineRule="auto"/>
              <w:ind w:firstLine="480" w:firstLineChars="200"/>
              <w:rPr>
                <w:rFonts w:hint="default" w:ascii="Times New Roman" w:hAnsi="Times New Roman" w:eastAsia="宋体" w:cs="Times New Roman"/>
                <w:b/>
                <w:color w:val="000000"/>
                <w:kern w:val="0"/>
                <w:sz w:val="24"/>
                <w:lang w:val="en-US" w:eastAsia="zh-CN"/>
              </w:rPr>
            </w:pPr>
            <w:r>
              <w:rPr>
                <w:rFonts w:hint="default" w:ascii="Times New Roman" w:hAnsi="Times New Roman" w:cs="Times New Roman"/>
                <w:color w:val="000000"/>
              </w:rPr>
              <w:t>树栖型：</w:t>
            </w:r>
            <w:r>
              <w:rPr>
                <w:rFonts w:hint="default" w:ascii="Times New Roman" w:hAnsi="Times New Roman" w:cs="Times New Roman"/>
                <w:color w:val="000000"/>
                <w:lang w:val="en-US" w:eastAsia="zh-CN"/>
              </w:rPr>
              <w:t>主要为</w:t>
            </w:r>
            <w:r>
              <w:rPr>
                <w:rFonts w:hint="default" w:ascii="Times New Roman" w:hAnsi="Times New Roman" w:cs="Times New Roman"/>
                <w:color w:val="000000"/>
              </w:rPr>
              <w:t>赤腹松鼠和五纹松鼠。栖息活动于评价区内的树上</w:t>
            </w:r>
          </w:p>
          <w:p w14:paraId="5441AFAA">
            <w:pPr>
              <w:bidi w:val="0"/>
              <w:rPr>
                <w:rFonts w:hint="default" w:ascii="Times New Roman" w:hAnsi="Times New Roman" w:cs="Times New Roman"/>
                <w:color w:val="000000"/>
              </w:rPr>
            </w:pPr>
            <w:r>
              <w:rPr>
                <w:rFonts w:hint="default" w:ascii="Times New Roman" w:hAnsi="Times New Roman" w:cs="Times New Roman"/>
                <w:color w:val="000000"/>
                <w:lang w:val="en-US" w:eastAsia="zh-CN"/>
              </w:rPr>
              <w:t>治理段芒市大河</w:t>
            </w:r>
            <w:r>
              <w:rPr>
                <w:rFonts w:hint="default" w:ascii="Times New Roman" w:hAnsi="Times New Roman" w:cs="Times New Roman"/>
                <w:color w:val="000000"/>
              </w:rPr>
              <w:t>两岸地势平坦</w:t>
            </w:r>
            <w:r>
              <w:rPr>
                <w:rFonts w:hint="default" w:ascii="Times New Roman" w:hAnsi="Times New Roman" w:cs="Times New Roman"/>
                <w:color w:val="000000"/>
                <w:lang w:eastAsia="zh-CN"/>
              </w:rPr>
              <w:t>，</w:t>
            </w:r>
            <w:r>
              <w:rPr>
                <w:rFonts w:hint="default" w:ascii="Times New Roman" w:hAnsi="Times New Roman" w:cs="Times New Roman"/>
                <w:color w:val="000000"/>
              </w:rPr>
              <w:t>河床较平缓，落差约</w:t>
            </w:r>
            <w:r>
              <w:rPr>
                <w:rFonts w:hint="default" w:ascii="Times New Roman" w:hAnsi="Times New Roman" w:cs="Times New Roman"/>
                <w:color w:val="000000"/>
                <w:lang w:val="en-US" w:eastAsia="zh-CN"/>
              </w:rPr>
              <w:t>8</w:t>
            </w:r>
            <w:r>
              <w:rPr>
                <w:rFonts w:hint="default" w:ascii="Times New Roman" w:hAnsi="Times New Roman" w:cs="Times New Roman"/>
                <w:color w:val="000000"/>
              </w:rPr>
              <w:t>m，两岸岸坡高度一般2～</w:t>
            </w:r>
            <w:r>
              <w:rPr>
                <w:rFonts w:hint="default" w:ascii="Times New Roman" w:hAnsi="Times New Roman" w:cs="Times New Roman"/>
                <w:color w:val="000000"/>
                <w:lang w:val="en-US" w:eastAsia="zh-CN"/>
              </w:rPr>
              <w:t>4</w:t>
            </w:r>
            <w:r>
              <w:rPr>
                <w:rFonts w:hint="default" w:ascii="Times New Roman" w:hAnsi="Times New Roman" w:cs="Times New Roman"/>
                <w:color w:val="000000"/>
              </w:rPr>
              <w:t>m；土层结构以含砾中粗砂为主，河漫滩与河床覆盖层以含砾中粗砂、砂砾石夹卵石为主；河道分布有</w:t>
            </w:r>
            <w:r>
              <w:rPr>
                <w:rFonts w:hint="default" w:ascii="Times New Roman" w:hAnsi="Times New Roman" w:cs="Times New Roman"/>
                <w:color w:val="000000"/>
                <w:lang w:val="en-US" w:eastAsia="zh-CN"/>
              </w:rPr>
              <w:t>少</w:t>
            </w:r>
            <w:r>
              <w:rPr>
                <w:rFonts w:hint="default" w:ascii="Times New Roman" w:hAnsi="Times New Roman" w:cs="Times New Roman"/>
                <w:color w:val="000000"/>
              </w:rPr>
              <w:t>量的河漫滩，断面多为复式断面；两岸主要分布农田及</w:t>
            </w:r>
            <w:r>
              <w:rPr>
                <w:rFonts w:hint="default" w:ascii="Times New Roman" w:hAnsi="Times New Roman" w:cs="Times New Roman"/>
                <w:color w:val="000000"/>
                <w:lang w:val="en-US" w:eastAsia="zh-CN"/>
              </w:rPr>
              <w:t>村庄</w:t>
            </w:r>
            <w:r>
              <w:rPr>
                <w:rFonts w:hint="default" w:ascii="Times New Roman" w:hAnsi="Times New Roman" w:cs="Times New Roman"/>
                <w:color w:val="000000"/>
              </w:rPr>
              <w:t>，呈丘陵地貌。区域水土流失严重，河道萎缩，生境受损，对河道中的水生生物，尤其是鱼类产生影响。</w:t>
            </w:r>
          </w:p>
          <w:p w14:paraId="427C993D">
            <w:pPr>
              <w:bidi w:val="0"/>
              <w:rPr>
                <w:rFonts w:hint="default"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lang w:eastAsia="zh-CN"/>
              </w:rPr>
              <w:t>（</w:t>
            </w:r>
            <w:r>
              <w:rPr>
                <w:rFonts w:hint="default" w:ascii="Times New Roman" w:hAnsi="Times New Roman" w:eastAsia="宋体" w:cs="Times New Roman"/>
                <w:b/>
                <w:bCs/>
                <w:color w:val="000000"/>
                <w:lang w:val="en-US" w:eastAsia="zh-CN"/>
              </w:rPr>
              <w:t>2</w:t>
            </w:r>
            <w:r>
              <w:rPr>
                <w:rFonts w:hint="default" w:ascii="Times New Roman" w:hAnsi="Times New Roman" w:eastAsia="宋体" w:cs="Times New Roman"/>
                <w:b/>
                <w:bCs/>
                <w:color w:val="000000"/>
                <w:lang w:eastAsia="zh-CN"/>
              </w:rPr>
              <w:t>）浮游</w:t>
            </w:r>
            <w:r>
              <w:rPr>
                <w:rFonts w:hint="default" w:ascii="Times New Roman" w:hAnsi="Times New Roman" w:eastAsia="宋体" w:cs="Times New Roman"/>
                <w:b/>
                <w:bCs/>
                <w:color w:val="000000"/>
                <w:lang w:val="en-US" w:eastAsia="zh-CN"/>
              </w:rPr>
              <w:t>生物</w:t>
            </w:r>
          </w:p>
          <w:p w14:paraId="12774DE0">
            <w:pPr>
              <w:bidi w:val="0"/>
              <w:rPr>
                <w:rFonts w:hint="default" w:ascii="Times New Roman" w:hAnsi="Times New Roman" w:eastAsia="宋体" w:cs="Times New Roman"/>
                <w:b/>
                <w:bCs/>
                <w:color w:val="000000"/>
                <w:lang w:eastAsia="zh-CN"/>
              </w:rPr>
            </w:pPr>
            <w:r>
              <w:rPr>
                <w:rFonts w:hint="default" w:ascii="Times New Roman" w:hAnsi="Times New Roman" w:cs="Times New Roman"/>
                <w:color w:val="000000"/>
                <w:kern w:val="0"/>
                <w:sz w:val="24"/>
              </w:rPr>
              <w:t>评价</w:t>
            </w:r>
            <w:r>
              <w:rPr>
                <w:rFonts w:hint="default" w:ascii="Times New Roman" w:hAnsi="Times New Roman" w:cs="Times New Roman"/>
                <w:color w:val="000000"/>
                <w:kern w:val="0"/>
                <w:sz w:val="24"/>
                <w:lang w:val="en-US" w:eastAsia="zh-CN"/>
              </w:rPr>
              <w:t>河</w:t>
            </w:r>
            <w:r>
              <w:rPr>
                <w:rFonts w:hint="default" w:ascii="Times New Roman" w:hAnsi="Times New Roman" w:cs="Times New Roman"/>
                <w:color w:val="000000"/>
                <w:kern w:val="0"/>
                <w:sz w:val="24"/>
              </w:rPr>
              <w:t>段浮游</w:t>
            </w:r>
            <w:r>
              <w:rPr>
                <w:rFonts w:hint="default" w:ascii="Times New Roman" w:hAnsi="Times New Roman" w:cs="Times New Roman"/>
                <w:color w:val="000000"/>
                <w:kern w:val="0"/>
                <w:sz w:val="24"/>
                <w:lang w:val="en-US" w:eastAsia="zh-CN"/>
              </w:rPr>
              <w:t>生</w:t>
            </w:r>
            <w:r>
              <w:rPr>
                <w:rFonts w:hint="default" w:ascii="Times New Roman" w:hAnsi="Times New Roman" w:cs="Times New Roman"/>
                <w:color w:val="000000"/>
                <w:kern w:val="0"/>
                <w:sz w:val="24"/>
              </w:rPr>
              <w:t>物种类及数量较少，</w:t>
            </w:r>
            <w:r>
              <w:rPr>
                <w:rFonts w:hint="default" w:ascii="Times New Roman" w:hAnsi="Times New Roman" w:cs="Times New Roman"/>
                <w:color w:val="000000"/>
                <w:kern w:val="0"/>
                <w:sz w:val="24"/>
                <w:lang w:val="en-US" w:eastAsia="zh-CN"/>
              </w:rPr>
              <w:t>浮游植物主要种类为</w:t>
            </w:r>
            <w:r>
              <w:rPr>
                <w:rFonts w:hint="default" w:ascii="Times New Roman" w:hAnsi="Times New Roman" w:cs="Times New Roman"/>
                <w:color w:val="000000"/>
                <w:kern w:val="0"/>
                <w:sz w:val="24"/>
              </w:rPr>
              <w:t>硅藻门</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绿藻门</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蓝藻门</w:t>
            </w:r>
            <w:r>
              <w:rPr>
                <w:rFonts w:hint="default" w:ascii="Times New Roman" w:hAnsi="Times New Roman" w:cs="Times New Roman"/>
                <w:color w:val="000000"/>
                <w:kern w:val="0"/>
                <w:sz w:val="24"/>
                <w:lang w:eastAsia="zh-CN"/>
              </w:rPr>
              <w:t>、</w:t>
            </w:r>
            <w:r>
              <w:rPr>
                <w:rFonts w:hint="default" w:ascii="Times New Roman" w:hAnsi="Times New Roman" w:cs="Times New Roman"/>
                <w:color w:val="000000"/>
                <w:kern w:val="0"/>
                <w:sz w:val="24"/>
              </w:rPr>
              <w:t>裸藻门</w:t>
            </w:r>
            <w:r>
              <w:rPr>
                <w:rFonts w:hint="default" w:ascii="Times New Roman" w:hAnsi="Times New Roman" w:cs="Times New Roman"/>
                <w:color w:val="000000"/>
                <w:kern w:val="0"/>
                <w:sz w:val="24"/>
                <w:lang w:val="en-US" w:eastAsia="zh-CN"/>
              </w:rPr>
              <w:t>等</w:t>
            </w:r>
            <w:r>
              <w:rPr>
                <w:rFonts w:hint="default" w:ascii="Times New Roman" w:hAnsi="Times New Roman" w:cs="Times New Roman"/>
                <w:color w:val="000000"/>
                <w:kern w:val="0"/>
                <w:sz w:val="24"/>
              </w:rPr>
              <w:t>。</w:t>
            </w:r>
            <w:r>
              <w:rPr>
                <w:rFonts w:hint="default" w:ascii="Times New Roman" w:hAnsi="Times New Roman" w:cs="Times New Roman"/>
                <w:color w:val="000000"/>
                <w:kern w:val="0"/>
                <w:sz w:val="24"/>
                <w:lang w:val="en-US" w:eastAsia="zh-CN"/>
              </w:rPr>
              <w:t>浮游动物主要为</w:t>
            </w:r>
            <w:r>
              <w:rPr>
                <w:rFonts w:hint="default" w:ascii="Times New Roman" w:hAnsi="Times New Roman" w:cs="Times New Roman"/>
                <w:color w:val="000000"/>
                <w:kern w:val="0"/>
                <w:sz w:val="24"/>
              </w:rPr>
              <w:t>原生动物、轮虫、枝角类、桡</w:t>
            </w:r>
            <w:r>
              <w:rPr>
                <w:rFonts w:hint="default" w:ascii="Times New Roman" w:hAnsi="Times New Roman" w:eastAsia="宋体" w:cs="Times New Roman"/>
                <w:b w:val="0"/>
                <w:bCs w:val="0"/>
                <w:color w:val="000000"/>
                <w:lang w:eastAsia="zh-CN"/>
              </w:rPr>
              <w:t>足类</w:t>
            </w:r>
            <w:r>
              <w:rPr>
                <w:rFonts w:hint="eastAsia" w:ascii="Times New Roman" w:hAnsi="Times New Roman" w:eastAsia="宋体" w:cs="Times New Roman"/>
                <w:b w:val="0"/>
                <w:bCs w:val="0"/>
                <w:color w:val="000000"/>
                <w:lang w:eastAsia="zh-CN"/>
              </w:rPr>
              <w:t>。</w:t>
            </w:r>
          </w:p>
          <w:p w14:paraId="5387A2F7">
            <w:pPr>
              <w:bidi w:val="0"/>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lang w:eastAsia="zh-CN"/>
              </w:rPr>
              <w:t>（</w:t>
            </w:r>
            <w:r>
              <w:rPr>
                <w:rFonts w:hint="default" w:ascii="Times New Roman" w:hAnsi="Times New Roman" w:eastAsia="宋体" w:cs="Times New Roman"/>
                <w:b/>
                <w:bCs/>
                <w:color w:val="000000"/>
                <w:lang w:val="en-US" w:eastAsia="zh-CN"/>
              </w:rPr>
              <w:t>3</w:t>
            </w:r>
            <w:r>
              <w:rPr>
                <w:rFonts w:hint="default" w:ascii="Times New Roman" w:hAnsi="Times New Roman" w:eastAsia="宋体" w:cs="Times New Roman"/>
                <w:b/>
                <w:bCs/>
                <w:color w:val="000000"/>
                <w:lang w:eastAsia="zh-CN"/>
              </w:rPr>
              <w:t>）底栖动物</w:t>
            </w:r>
          </w:p>
          <w:p w14:paraId="72A680D0">
            <w:pPr>
              <w:adjustRightInd w:val="0"/>
              <w:snapToGrid w:val="0"/>
              <w:spacing w:line="360" w:lineRule="auto"/>
              <w:ind w:firstLine="480" w:firstLineChars="20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评价</w:t>
            </w:r>
            <w:r>
              <w:rPr>
                <w:rFonts w:hint="default" w:ascii="Times New Roman" w:hAnsi="Times New Roman" w:cs="Times New Roman"/>
                <w:color w:val="000000"/>
                <w:kern w:val="0"/>
                <w:sz w:val="24"/>
                <w:lang w:val="en-US" w:eastAsia="zh-CN"/>
              </w:rPr>
              <w:t>河</w:t>
            </w:r>
            <w:r>
              <w:rPr>
                <w:rFonts w:hint="default" w:ascii="Times New Roman" w:hAnsi="Times New Roman" w:cs="Times New Roman"/>
                <w:color w:val="000000"/>
                <w:kern w:val="0"/>
                <w:sz w:val="24"/>
              </w:rPr>
              <w:t>段有底栖动物</w:t>
            </w:r>
            <w:r>
              <w:rPr>
                <w:rFonts w:hint="default" w:ascii="Times New Roman" w:hAnsi="Times New Roman" w:cs="Times New Roman"/>
                <w:color w:val="000000"/>
                <w:kern w:val="0"/>
                <w:sz w:val="24"/>
                <w:lang w:val="en-US" w:eastAsia="zh-CN"/>
              </w:rPr>
              <w:t>主要为</w:t>
            </w:r>
            <w:r>
              <w:rPr>
                <w:rFonts w:hint="default" w:ascii="Times New Roman" w:hAnsi="Times New Roman" w:cs="Times New Roman"/>
                <w:color w:val="000000"/>
                <w:kern w:val="0"/>
                <w:sz w:val="24"/>
              </w:rPr>
              <w:t>软体动物</w:t>
            </w:r>
            <w:r>
              <w:rPr>
                <w:rFonts w:hint="default" w:ascii="Times New Roman" w:hAnsi="Times New Roman" w:cs="Times New Roman"/>
                <w:color w:val="000000"/>
                <w:kern w:val="0"/>
                <w:sz w:val="24"/>
                <w:lang w:val="en-US" w:eastAsia="zh-CN"/>
              </w:rPr>
              <w:t>及</w:t>
            </w:r>
            <w:r>
              <w:rPr>
                <w:rFonts w:hint="default" w:ascii="Times New Roman" w:hAnsi="Times New Roman" w:cs="Times New Roman"/>
                <w:color w:val="000000"/>
                <w:kern w:val="0"/>
                <w:sz w:val="24"/>
              </w:rPr>
              <w:t>水生昆虫。虾类、扁蝽较多，其余均较少。</w:t>
            </w:r>
          </w:p>
          <w:p w14:paraId="772C095F">
            <w:pPr>
              <w:bidi w:val="0"/>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lang w:eastAsia="zh-CN"/>
              </w:rPr>
              <w:t>（</w:t>
            </w:r>
            <w:r>
              <w:rPr>
                <w:rFonts w:hint="default" w:ascii="Times New Roman" w:hAnsi="Times New Roman" w:eastAsia="宋体" w:cs="Times New Roman"/>
                <w:b/>
                <w:bCs/>
                <w:color w:val="000000"/>
                <w:lang w:val="en-US" w:eastAsia="zh-CN"/>
              </w:rPr>
              <w:t>4</w:t>
            </w:r>
            <w:r>
              <w:rPr>
                <w:rFonts w:hint="default" w:ascii="Times New Roman" w:hAnsi="Times New Roman" w:eastAsia="宋体" w:cs="Times New Roman"/>
                <w:b/>
                <w:bCs/>
                <w:color w:val="000000"/>
                <w:lang w:eastAsia="zh-CN"/>
              </w:rPr>
              <w:t>）鱼类</w:t>
            </w:r>
          </w:p>
          <w:p w14:paraId="7FFD86A1">
            <w:pPr>
              <w:bidi w:val="0"/>
              <w:rPr>
                <w:rFonts w:hint="default" w:ascii="Times New Roman" w:hAnsi="Times New Roman" w:cs="Times New Roman"/>
                <w:color w:val="000000"/>
              </w:rPr>
            </w:pPr>
            <w:r>
              <w:rPr>
                <w:rFonts w:hint="default" w:ascii="Times New Roman" w:hAnsi="Times New Roman" w:cs="Times New Roman"/>
                <w:color w:val="000000"/>
              </w:rPr>
              <w:t>根据</w:t>
            </w:r>
            <w:r>
              <w:rPr>
                <w:rFonts w:hint="default" w:ascii="Times New Roman" w:hAnsi="Times New Roman" w:cs="Times New Roman"/>
                <w:color w:val="000000"/>
                <w:lang w:val="en-US" w:eastAsia="zh-CN"/>
              </w:rPr>
              <w:t>现场</w:t>
            </w:r>
            <w:r>
              <w:rPr>
                <w:rFonts w:hint="default" w:ascii="Times New Roman" w:hAnsi="Times New Roman" w:cs="Times New Roman"/>
                <w:color w:val="000000"/>
              </w:rPr>
              <w:t>调查及走访，参考《中国动物志》《云南鱼类志》及相关文献和历史资料，并结合相关单位近年调查成果，评价</w:t>
            </w:r>
            <w:r>
              <w:rPr>
                <w:rFonts w:hint="default" w:ascii="Times New Roman" w:hAnsi="Times New Roman" w:cs="Times New Roman"/>
                <w:color w:val="000000"/>
                <w:lang w:val="en-US" w:eastAsia="zh-CN"/>
              </w:rPr>
              <w:t>河</w:t>
            </w:r>
            <w:r>
              <w:rPr>
                <w:rFonts w:hint="default" w:ascii="Times New Roman" w:hAnsi="Times New Roman" w:cs="Times New Roman"/>
                <w:color w:val="000000"/>
              </w:rPr>
              <w:t>段鱼类</w:t>
            </w:r>
            <w:r>
              <w:rPr>
                <w:rFonts w:hint="default" w:ascii="Times New Roman" w:hAnsi="Times New Roman" w:cs="Times New Roman"/>
                <w:color w:val="000000"/>
                <w:lang w:val="en-US" w:eastAsia="zh-CN"/>
              </w:rPr>
              <w:t>种类主要为</w:t>
            </w:r>
            <w:r>
              <w:rPr>
                <w:rFonts w:hint="default" w:ascii="Times New Roman" w:hAnsi="Times New Roman" w:cs="Times New Roman"/>
                <w:color w:val="000000"/>
              </w:rPr>
              <w:t>魟形目</w:t>
            </w:r>
            <w:r>
              <w:rPr>
                <w:rFonts w:hint="default" w:ascii="Times New Roman" w:hAnsi="Times New Roman" w:cs="Times New Roman"/>
                <w:color w:val="000000"/>
                <w:lang w:eastAsia="zh-CN"/>
              </w:rPr>
              <w:t>、</w:t>
            </w:r>
            <w:r>
              <w:rPr>
                <w:rFonts w:hint="default" w:ascii="Times New Roman" w:hAnsi="Times New Roman" w:cs="Times New Roman"/>
                <w:color w:val="000000"/>
              </w:rPr>
              <w:t>鲤形目</w:t>
            </w:r>
            <w:r>
              <w:rPr>
                <w:rFonts w:hint="default" w:ascii="Times New Roman" w:hAnsi="Times New Roman" w:cs="Times New Roman"/>
                <w:color w:val="000000"/>
                <w:lang w:val="en-US" w:eastAsia="zh-CN"/>
              </w:rPr>
              <w:t>、</w:t>
            </w:r>
            <w:r>
              <w:rPr>
                <w:rFonts w:hint="default" w:ascii="Times New Roman" w:hAnsi="Times New Roman" w:cs="Times New Roman"/>
                <w:color w:val="000000"/>
              </w:rPr>
              <w:t>鲇形目</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合</w:t>
            </w:r>
            <w:r>
              <w:rPr>
                <w:rFonts w:hint="default" w:ascii="Times New Roman" w:hAnsi="Times New Roman" w:cs="Times New Roman"/>
                <w:color w:val="000000"/>
              </w:rPr>
              <w:t>鳃鱼目</w:t>
            </w:r>
            <w:r>
              <w:rPr>
                <w:rFonts w:hint="default" w:ascii="Times New Roman" w:hAnsi="Times New Roman" w:cs="Times New Roman"/>
                <w:color w:val="000000"/>
                <w:lang w:val="en-US" w:eastAsia="zh-CN"/>
              </w:rPr>
              <w:t>及</w:t>
            </w:r>
            <w:r>
              <w:rPr>
                <w:rFonts w:hint="default" w:ascii="Times New Roman" w:hAnsi="Times New Roman" w:cs="Times New Roman"/>
                <w:color w:val="000000"/>
              </w:rPr>
              <w:t>鲈形目5种。评价江段</w:t>
            </w:r>
            <w:r>
              <w:rPr>
                <w:rFonts w:hint="default" w:ascii="Times New Roman" w:hAnsi="Times New Roman" w:cs="Times New Roman"/>
                <w:color w:val="000000"/>
                <w:lang w:val="en-US" w:eastAsia="zh-CN"/>
              </w:rPr>
              <w:t>主要</w:t>
            </w:r>
            <w:r>
              <w:rPr>
                <w:rFonts w:hint="default" w:ascii="Times New Roman" w:hAnsi="Times New Roman" w:cs="Times New Roman"/>
                <w:color w:val="000000"/>
              </w:rPr>
              <w:t>鱼类名录见</w:t>
            </w:r>
            <w:r>
              <w:rPr>
                <w:rFonts w:hint="default" w:ascii="Times New Roman" w:hAnsi="Times New Roman" w:cs="Times New Roman"/>
                <w:color w:val="000000"/>
                <w:lang w:val="en-US" w:eastAsia="zh-CN"/>
              </w:rPr>
              <w:t>下</w:t>
            </w:r>
            <w:r>
              <w:rPr>
                <w:rFonts w:hint="default" w:ascii="Times New Roman" w:hAnsi="Times New Roman" w:cs="Times New Roman"/>
                <w:color w:val="000000"/>
              </w:rPr>
              <w:t>表。</w:t>
            </w:r>
          </w:p>
          <w:p w14:paraId="7663BA0F">
            <w:pPr>
              <w:bidi w:val="0"/>
              <w:spacing w:line="240" w:lineRule="auto"/>
              <w:ind w:left="0" w:leftChars="0" w:firstLine="0"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表3</w:t>
            </w:r>
            <w:r>
              <w:rPr>
                <w:rFonts w:hint="eastAsia" w:cs="Times New Roman"/>
                <w:b/>
                <w:bCs/>
                <w:color w:val="000000"/>
                <w:sz w:val="21"/>
                <w:szCs w:val="21"/>
                <w:lang w:val="en-US" w:eastAsia="zh-CN"/>
              </w:rPr>
              <w:t>-5</w:t>
            </w: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val="en-US" w:eastAsia="zh-CN"/>
              </w:rPr>
              <w:t>本项目治理</w:t>
            </w:r>
            <w:r>
              <w:rPr>
                <w:rFonts w:hint="default" w:ascii="Times New Roman" w:hAnsi="Times New Roman" w:cs="Times New Roman"/>
                <w:b/>
                <w:bCs/>
                <w:color w:val="000000"/>
                <w:sz w:val="21"/>
                <w:szCs w:val="21"/>
              </w:rPr>
              <w:t>段鱼类分布</w:t>
            </w:r>
          </w:p>
          <w:tbl>
            <w:tblPr>
              <w:tblStyle w:val="2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2122"/>
              <w:gridCol w:w="4348"/>
            </w:tblGrid>
            <w:tr w14:paraId="4C5A1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837" w:type="pct"/>
                  <w:tcBorders>
                    <w:tl2br w:val="nil"/>
                    <w:tr2bl w:val="nil"/>
                  </w:tcBorders>
                  <w:noWrap/>
                  <w:vAlign w:val="center"/>
                </w:tcPr>
                <w:p w14:paraId="29313D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序号</w:t>
                  </w:r>
                </w:p>
              </w:tc>
              <w:tc>
                <w:tcPr>
                  <w:tcW w:w="1365" w:type="pct"/>
                  <w:tcBorders>
                    <w:tl2br w:val="nil"/>
                    <w:tr2bl w:val="nil"/>
                  </w:tcBorders>
                  <w:noWrap/>
                  <w:vAlign w:val="center"/>
                </w:tcPr>
                <w:p w14:paraId="4B2996A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种名</w:t>
                  </w:r>
                </w:p>
              </w:tc>
              <w:tc>
                <w:tcPr>
                  <w:tcW w:w="2796" w:type="pct"/>
                  <w:tcBorders>
                    <w:tl2br w:val="nil"/>
                    <w:tr2bl w:val="nil"/>
                  </w:tcBorders>
                  <w:noWrap/>
                  <w:vAlign w:val="center"/>
                </w:tcPr>
                <w:p w14:paraId="7A3E28D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拉丁名</w:t>
                  </w:r>
                </w:p>
              </w:tc>
            </w:tr>
            <w:tr w14:paraId="65282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7" w:type="pct"/>
                  <w:tcBorders>
                    <w:tl2br w:val="nil"/>
                    <w:tr2bl w:val="nil"/>
                  </w:tcBorders>
                  <w:noWrap/>
                  <w:vAlign w:val="center"/>
                </w:tcPr>
                <w:p w14:paraId="5F00F7E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fldChar w:fldCharType="begin"/>
                  </w:r>
                  <w:r>
                    <w:rPr>
                      <w:rFonts w:hint="default" w:ascii="Times New Roman" w:hAnsi="Times New Roman" w:eastAsia="宋体" w:cs="Times New Roman"/>
                      <w:spacing w:val="6"/>
                      <w:sz w:val="21"/>
                      <w:szCs w:val="21"/>
                      <w:lang w:val="en-US" w:eastAsia="zh-CN"/>
                    </w:rPr>
                    <w:instrText xml:space="preserve"> = 1 \* ROMAN \* MERGEFORMAT </w:instrText>
                  </w:r>
                  <w:r>
                    <w:rPr>
                      <w:rFonts w:hint="default" w:ascii="Times New Roman" w:hAnsi="Times New Roman" w:eastAsia="宋体" w:cs="Times New Roman"/>
                      <w:spacing w:val="6"/>
                      <w:sz w:val="21"/>
                      <w:szCs w:val="21"/>
                      <w:lang w:val="en-US" w:eastAsia="zh-CN"/>
                    </w:rPr>
                    <w:fldChar w:fldCharType="separate"/>
                  </w:r>
                  <w:r>
                    <w:rPr>
                      <w:rFonts w:hint="default" w:ascii="Times New Roman" w:hAnsi="Times New Roman" w:eastAsia="宋体" w:cs="Times New Roman"/>
                      <w:spacing w:val="6"/>
                      <w:sz w:val="21"/>
                      <w:szCs w:val="21"/>
                      <w:lang w:val="en-US" w:eastAsia="zh-CN"/>
                    </w:rPr>
                    <w:t>I</w:t>
                  </w:r>
                  <w:r>
                    <w:rPr>
                      <w:rFonts w:hint="default" w:ascii="Times New Roman" w:hAnsi="Times New Roman" w:eastAsia="宋体" w:cs="Times New Roman"/>
                      <w:spacing w:val="6"/>
                      <w:sz w:val="21"/>
                      <w:szCs w:val="21"/>
                      <w:lang w:val="en-US" w:eastAsia="zh-CN"/>
                    </w:rPr>
                    <w:fldChar w:fldCharType="end"/>
                  </w:r>
                </w:p>
              </w:tc>
              <w:tc>
                <w:tcPr>
                  <w:tcW w:w="1365" w:type="pct"/>
                  <w:tcBorders>
                    <w:tl2br w:val="nil"/>
                    <w:tr2bl w:val="nil"/>
                  </w:tcBorders>
                  <w:noWrap/>
                  <w:vAlign w:val="center"/>
                </w:tcPr>
                <w:p w14:paraId="06547B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魟形目</w:t>
                  </w:r>
                </w:p>
              </w:tc>
              <w:tc>
                <w:tcPr>
                  <w:tcW w:w="2796" w:type="pct"/>
                  <w:tcBorders>
                    <w:tl2br w:val="nil"/>
                    <w:tr2bl w:val="nil"/>
                  </w:tcBorders>
                  <w:noWrap/>
                  <w:vAlign w:val="center"/>
                </w:tcPr>
                <w:p w14:paraId="70F9DE9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MYLIOBATIFORMES</w:t>
                  </w:r>
                </w:p>
              </w:tc>
            </w:tr>
            <w:tr w14:paraId="521C9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578D150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一</w:t>
                  </w:r>
                </w:p>
              </w:tc>
              <w:tc>
                <w:tcPr>
                  <w:tcW w:w="1365" w:type="pct"/>
                  <w:tcBorders>
                    <w:tl2br w:val="nil"/>
                    <w:tr2bl w:val="nil"/>
                  </w:tcBorders>
                  <w:noWrap/>
                  <w:vAlign w:val="center"/>
                </w:tcPr>
                <w:p w14:paraId="72321D9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魟科</w:t>
                  </w:r>
                </w:p>
              </w:tc>
              <w:tc>
                <w:tcPr>
                  <w:tcW w:w="2796" w:type="pct"/>
                  <w:tcBorders>
                    <w:tl2br w:val="nil"/>
                    <w:tr2bl w:val="nil"/>
                  </w:tcBorders>
                  <w:noWrap/>
                  <w:vAlign w:val="center"/>
                </w:tcPr>
                <w:p w14:paraId="2A70672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Dasyatidae</w:t>
                  </w:r>
                </w:p>
              </w:tc>
            </w:tr>
            <w:tr w14:paraId="5A344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513511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w:t>
                  </w:r>
                </w:p>
              </w:tc>
              <w:tc>
                <w:tcPr>
                  <w:tcW w:w="1365" w:type="pct"/>
                  <w:tcBorders>
                    <w:tl2br w:val="nil"/>
                    <w:tr2bl w:val="nil"/>
                  </w:tcBorders>
                  <w:noWrap/>
                  <w:vAlign w:val="center"/>
                </w:tcPr>
                <w:p w14:paraId="30F5282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魟待定种</w:t>
                  </w:r>
                </w:p>
              </w:tc>
              <w:tc>
                <w:tcPr>
                  <w:tcW w:w="2796" w:type="pct"/>
                  <w:tcBorders>
                    <w:tl2br w:val="nil"/>
                    <w:tr2bl w:val="nil"/>
                  </w:tcBorders>
                  <w:noWrap/>
                  <w:vAlign w:val="center"/>
                </w:tcPr>
                <w:p w14:paraId="3A1FFBC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Dasyatis sp.</w:t>
                  </w:r>
                </w:p>
              </w:tc>
            </w:tr>
            <w:tr w14:paraId="122A77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7" w:type="pct"/>
                  <w:tcBorders>
                    <w:tl2br w:val="nil"/>
                    <w:tr2bl w:val="nil"/>
                  </w:tcBorders>
                  <w:noWrap/>
                  <w:vAlign w:val="center"/>
                </w:tcPr>
                <w:p w14:paraId="0725679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fldChar w:fldCharType="begin"/>
                  </w:r>
                  <w:r>
                    <w:rPr>
                      <w:rFonts w:hint="default" w:ascii="Times New Roman" w:hAnsi="Times New Roman" w:eastAsia="宋体" w:cs="Times New Roman"/>
                      <w:spacing w:val="6"/>
                      <w:sz w:val="21"/>
                      <w:szCs w:val="21"/>
                      <w:lang w:val="en-US" w:eastAsia="zh-CN"/>
                    </w:rPr>
                    <w:instrText xml:space="preserve"> = 2 \* ROMAN \* MERGEFORMAT </w:instrText>
                  </w:r>
                  <w:r>
                    <w:rPr>
                      <w:rFonts w:hint="default" w:ascii="Times New Roman" w:hAnsi="Times New Roman" w:eastAsia="宋体" w:cs="Times New Roman"/>
                      <w:spacing w:val="6"/>
                      <w:sz w:val="21"/>
                      <w:szCs w:val="21"/>
                      <w:lang w:val="en-US" w:eastAsia="zh-CN"/>
                    </w:rPr>
                    <w:fldChar w:fldCharType="separate"/>
                  </w:r>
                  <w:r>
                    <w:rPr>
                      <w:rFonts w:hint="default" w:ascii="Times New Roman" w:hAnsi="Times New Roman" w:eastAsia="宋体" w:cs="Times New Roman"/>
                      <w:spacing w:val="6"/>
                      <w:sz w:val="21"/>
                      <w:szCs w:val="21"/>
                      <w:lang w:val="en-US" w:eastAsia="zh-CN"/>
                    </w:rPr>
                    <w:t>II</w:t>
                  </w:r>
                  <w:r>
                    <w:rPr>
                      <w:rFonts w:hint="default" w:ascii="Times New Roman" w:hAnsi="Times New Roman" w:eastAsia="宋体" w:cs="Times New Roman"/>
                      <w:spacing w:val="6"/>
                      <w:sz w:val="21"/>
                      <w:szCs w:val="21"/>
                      <w:lang w:val="en-US" w:eastAsia="zh-CN"/>
                    </w:rPr>
                    <w:fldChar w:fldCharType="end"/>
                  </w:r>
                </w:p>
              </w:tc>
              <w:tc>
                <w:tcPr>
                  <w:tcW w:w="1365" w:type="pct"/>
                  <w:tcBorders>
                    <w:tl2br w:val="nil"/>
                    <w:tr2bl w:val="nil"/>
                  </w:tcBorders>
                  <w:noWrap/>
                  <w:vAlign w:val="center"/>
                </w:tcPr>
                <w:p w14:paraId="19E64DB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鲤形目</w:t>
                  </w:r>
                </w:p>
              </w:tc>
              <w:tc>
                <w:tcPr>
                  <w:tcW w:w="2796" w:type="pct"/>
                  <w:tcBorders>
                    <w:tl2br w:val="nil"/>
                    <w:tr2bl w:val="nil"/>
                  </w:tcBorders>
                  <w:noWrap/>
                  <w:vAlign w:val="center"/>
                </w:tcPr>
                <w:p w14:paraId="6347D1A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CYPRINIFORMES</w:t>
                  </w:r>
                </w:p>
              </w:tc>
            </w:tr>
            <w:tr w14:paraId="24CA0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332F0A5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二</w:t>
                  </w:r>
                </w:p>
              </w:tc>
              <w:tc>
                <w:tcPr>
                  <w:tcW w:w="1365" w:type="pct"/>
                  <w:tcBorders>
                    <w:tl2br w:val="nil"/>
                    <w:tr2bl w:val="nil"/>
                  </w:tcBorders>
                  <w:noWrap/>
                  <w:vAlign w:val="center"/>
                </w:tcPr>
                <w:p w14:paraId="06F7173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鲤科</w:t>
                  </w:r>
                </w:p>
              </w:tc>
              <w:tc>
                <w:tcPr>
                  <w:tcW w:w="2796" w:type="pct"/>
                  <w:tcBorders>
                    <w:tl2br w:val="nil"/>
                    <w:tr2bl w:val="nil"/>
                  </w:tcBorders>
                  <w:noWrap/>
                  <w:vAlign w:val="center"/>
                </w:tcPr>
                <w:p w14:paraId="436638C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Cyprinidae</w:t>
                  </w:r>
                </w:p>
              </w:tc>
            </w:tr>
            <w:tr w14:paraId="14576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9E8C3E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（一）</w:t>
                  </w:r>
                </w:p>
              </w:tc>
              <w:tc>
                <w:tcPr>
                  <w:tcW w:w="1365" w:type="pct"/>
                  <w:tcBorders>
                    <w:tl2br w:val="nil"/>
                    <w:tr2bl w:val="nil"/>
                  </w:tcBorders>
                  <w:noWrap/>
                  <w:vAlign w:val="center"/>
                </w:tcPr>
                <w:p w14:paraId="7E5F79B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鱼丹亚科</w:t>
                  </w:r>
                </w:p>
              </w:tc>
              <w:tc>
                <w:tcPr>
                  <w:tcW w:w="2796" w:type="pct"/>
                  <w:tcBorders>
                    <w:tl2br w:val="nil"/>
                    <w:tr2bl w:val="nil"/>
                  </w:tcBorders>
                  <w:noWrap/>
                  <w:vAlign w:val="center"/>
                </w:tcPr>
                <w:p w14:paraId="711E9BB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Danioninae</w:t>
                  </w:r>
                </w:p>
              </w:tc>
            </w:tr>
            <w:tr w14:paraId="4FB0D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6BDD40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w:t>
                  </w:r>
                </w:p>
              </w:tc>
              <w:tc>
                <w:tcPr>
                  <w:tcW w:w="1365" w:type="pct"/>
                  <w:tcBorders>
                    <w:tl2br w:val="nil"/>
                    <w:tr2bl w:val="nil"/>
                  </w:tcBorders>
                  <w:noWrap/>
                  <w:vAlign w:val="center"/>
                </w:tcPr>
                <w:p w14:paraId="674204C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滇西低线鱲</w:t>
                  </w:r>
                </w:p>
              </w:tc>
              <w:tc>
                <w:tcPr>
                  <w:tcW w:w="2796" w:type="pct"/>
                  <w:tcBorders>
                    <w:tl2br w:val="nil"/>
                    <w:tr2bl w:val="nil"/>
                  </w:tcBorders>
                  <w:noWrap/>
                  <w:vAlign w:val="center"/>
                </w:tcPr>
                <w:p w14:paraId="2CDD4B4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Barilius barila</w:t>
                  </w:r>
                </w:p>
              </w:tc>
            </w:tr>
            <w:tr w14:paraId="1F000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2243049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w:t>
                  </w:r>
                </w:p>
              </w:tc>
              <w:tc>
                <w:tcPr>
                  <w:tcW w:w="1365" w:type="pct"/>
                  <w:tcBorders>
                    <w:tl2br w:val="nil"/>
                    <w:tr2bl w:val="nil"/>
                  </w:tcBorders>
                  <w:noWrap/>
                  <w:vAlign w:val="center"/>
                </w:tcPr>
                <w:p w14:paraId="7BAEC43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半线鱼丹</w:t>
                  </w:r>
                </w:p>
              </w:tc>
              <w:tc>
                <w:tcPr>
                  <w:tcW w:w="2796" w:type="pct"/>
                  <w:tcBorders>
                    <w:tl2br w:val="nil"/>
                    <w:tr2bl w:val="nil"/>
                  </w:tcBorders>
                  <w:noWrap/>
                  <w:vAlign w:val="center"/>
                </w:tcPr>
                <w:p w14:paraId="68467FC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Danio interrupta</w:t>
                  </w:r>
                </w:p>
              </w:tc>
            </w:tr>
            <w:tr w14:paraId="1478C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87C332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w:t>
                  </w:r>
                </w:p>
              </w:tc>
              <w:tc>
                <w:tcPr>
                  <w:tcW w:w="1365" w:type="pct"/>
                  <w:tcBorders>
                    <w:tl2br w:val="nil"/>
                    <w:tr2bl w:val="nil"/>
                  </w:tcBorders>
                  <w:noWrap/>
                  <w:vAlign w:val="center"/>
                </w:tcPr>
                <w:p w14:paraId="2BC8D02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掸邦鱼丹</w:t>
                  </w:r>
                </w:p>
              </w:tc>
              <w:tc>
                <w:tcPr>
                  <w:tcW w:w="2796" w:type="pct"/>
                  <w:tcBorders>
                    <w:tl2br w:val="nil"/>
                    <w:tr2bl w:val="nil"/>
                  </w:tcBorders>
                  <w:noWrap/>
                  <w:vAlign w:val="center"/>
                </w:tcPr>
                <w:p w14:paraId="44B6B39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Danio shanensis</w:t>
                  </w:r>
                </w:p>
              </w:tc>
            </w:tr>
            <w:tr w14:paraId="69AEB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B64AD9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w:t>
                  </w:r>
                </w:p>
              </w:tc>
              <w:tc>
                <w:tcPr>
                  <w:tcW w:w="1365" w:type="pct"/>
                  <w:tcBorders>
                    <w:tl2br w:val="nil"/>
                    <w:tr2bl w:val="nil"/>
                  </w:tcBorders>
                  <w:noWrap/>
                  <w:vAlign w:val="center"/>
                </w:tcPr>
                <w:p w14:paraId="0D89C6F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珍珠鱼丹</w:t>
                  </w:r>
                </w:p>
              </w:tc>
              <w:tc>
                <w:tcPr>
                  <w:tcW w:w="2796" w:type="pct"/>
                  <w:tcBorders>
                    <w:tl2br w:val="nil"/>
                    <w:tr2bl w:val="nil"/>
                  </w:tcBorders>
                  <w:noWrap/>
                  <w:vAlign w:val="center"/>
                </w:tcPr>
                <w:p w14:paraId="11E8D6E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Danio albolineata</w:t>
                  </w:r>
                </w:p>
              </w:tc>
            </w:tr>
            <w:tr w14:paraId="76081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6BC7F7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6</w:t>
                  </w:r>
                </w:p>
              </w:tc>
              <w:tc>
                <w:tcPr>
                  <w:tcW w:w="1365" w:type="pct"/>
                  <w:tcBorders>
                    <w:tl2br w:val="nil"/>
                    <w:tr2bl w:val="nil"/>
                  </w:tcBorders>
                  <w:noWrap/>
                  <w:vAlign w:val="center"/>
                </w:tcPr>
                <w:p w14:paraId="379600B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小眼小波鱼</w:t>
                  </w:r>
                </w:p>
              </w:tc>
              <w:tc>
                <w:tcPr>
                  <w:tcW w:w="2796" w:type="pct"/>
                  <w:tcBorders>
                    <w:tl2br w:val="nil"/>
                    <w:tr2bl w:val="nil"/>
                  </w:tcBorders>
                  <w:noWrap/>
                  <w:vAlign w:val="center"/>
                </w:tcPr>
                <w:p w14:paraId="672A690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Microrasbora microphthalma</w:t>
                  </w:r>
                </w:p>
              </w:tc>
            </w:tr>
            <w:tr w14:paraId="3A45B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5AE51D8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（二）</w:t>
                  </w:r>
                </w:p>
              </w:tc>
              <w:tc>
                <w:tcPr>
                  <w:tcW w:w="1365" w:type="pct"/>
                  <w:tcBorders>
                    <w:tl2br w:val="nil"/>
                    <w:tr2bl w:val="nil"/>
                  </w:tcBorders>
                  <w:noWrap/>
                  <w:vAlign w:val="center"/>
                </w:tcPr>
                <w:p w14:paraId="747252D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鱊亚科</w:t>
                  </w:r>
                </w:p>
              </w:tc>
              <w:tc>
                <w:tcPr>
                  <w:tcW w:w="2796" w:type="pct"/>
                  <w:tcBorders>
                    <w:tl2br w:val="nil"/>
                    <w:tr2bl w:val="nil"/>
                  </w:tcBorders>
                  <w:noWrap/>
                  <w:vAlign w:val="center"/>
                </w:tcPr>
                <w:p w14:paraId="714EF6C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Acheilognathinae</w:t>
                  </w:r>
                </w:p>
              </w:tc>
            </w:tr>
            <w:tr w14:paraId="4CDCC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D8DBFC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7</w:t>
                  </w:r>
                </w:p>
              </w:tc>
              <w:tc>
                <w:tcPr>
                  <w:tcW w:w="1365" w:type="pct"/>
                  <w:tcBorders>
                    <w:tl2br w:val="nil"/>
                    <w:tr2bl w:val="nil"/>
                  </w:tcBorders>
                  <w:noWrap/>
                  <w:vAlign w:val="center"/>
                </w:tcPr>
                <w:p w14:paraId="4410582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高体鳑鲏</w:t>
                  </w:r>
                </w:p>
              </w:tc>
              <w:tc>
                <w:tcPr>
                  <w:tcW w:w="2796" w:type="pct"/>
                  <w:tcBorders>
                    <w:tl2br w:val="nil"/>
                    <w:tr2bl w:val="nil"/>
                  </w:tcBorders>
                  <w:noWrap/>
                  <w:vAlign w:val="center"/>
                </w:tcPr>
                <w:p w14:paraId="2BFE9C3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Rhodeus ocellatus</w:t>
                  </w:r>
                </w:p>
              </w:tc>
            </w:tr>
            <w:tr w14:paraId="417D7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3B6770C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（三）</w:t>
                  </w:r>
                </w:p>
              </w:tc>
              <w:tc>
                <w:tcPr>
                  <w:tcW w:w="1365" w:type="pct"/>
                  <w:tcBorders>
                    <w:tl2br w:val="nil"/>
                    <w:tr2bl w:val="nil"/>
                  </w:tcBorders>
                  <w:noWrap/>
                  <w:vAlign w:val="center"/>
                </w:tcPr>
                <w:p w14:paraId="62C6AF1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鲌亚科</w:t>
                  </w:r>
                </w:p>
              </w:tc>
              <w:tc>
                <w:tcPr>
                  <w:tcW w:w="2796" w:type="pct"/>
                  <w:tcBorders>
                    <w:tl2br w:val="nil"/>
                    <w:tr2bl w:val="nil"/>
                  </w:tcBorders>
                  <w:noWrap/>
                  <w:vAlign w:val="center"/>
                </w:tcPr>
                <w:p w14:paraId="040E96C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Cultrinae</w:t>
                  </w:r>
                </w:p>
              </w:tc>
            </w:tr>
            <w:tr w14:paraId="63852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60CAFE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8</w:t>
                  </w:r>
                </w:p>
              </w:tc>
              <w:tc>
                <w:tcPr>
                  <w:tcW w:w="1365" w:type="pct"/>
                  <w:tcBorders>
                    <w:tl2br w:val="nil"/>
                    <w:tr2bl w:val="nil"/>
                  </w:tcBorders>
                  <w:noWrap/>
                  <w:vAlign w:val="center"/>
                </w:tcPr>
                <w:p w14:paraId="6BA81C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䱗</w:t>
                  </w:r>
                </w:p>
              </w:tc>
              <w:tc>
                <w:tcPr>
                  <w:tcW w:w="2796" w:type="pct"/>
                  <w:tcBorders>
                    <w:tl2br w:val="nil"/>
                    <w:tr2bl w:val="nil"/>
                  </w:tcBorders>
                  <w:noWrap/>
                  <w:vAlign w:val="center"/>
                </w:tcPr>
                <w:p w14:paraId="0ED4BFD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Hemiculter leucisculus</w:t>
                  </w:r>
                </w:p>
              </w:tc>
            </w:tr>
            <w:tr w14:paraId="0D31C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1A84339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（四）</w:t>
                  </w:r>
                </w:p>
              </w:tc>
              <w:tc>
                <w:tcPr>
                  <w:tcW w:w="1365" w:type="pct"/>
                  <w:tcBorders>
                    <w:tl2br w:val="nil"/>
                    <w:tr2bl w:val="nil"/>
                  </w:tcBorders>
                  <w:noWrap/>
                  <w:vAlign w:val="center"/>
                </w:tcPr>
                <w:p w14:paraId="66A5D4C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鮈亚科</w:t>
                  </w:r>
                </w:p>
              </w:tc>
              <w:tc>
                <w:tcPr>
                  <w:tcW w:w="2796" w:type="pct"/>
                  <w:tcBorders>
                    <w:tl2br w:val="nil"/>
                    <w:tr2bl w:val="nil"/>
                  </w:tcBorders>
                  <w:noWrap/>
                  <w:vAlign w:val="center"/>
                </w:tcPr>
                <w:p w14:paraId="731C3C3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Gobioninae</w:t>
                  </w:r>
                </w:p>
              </w:tc>
            </w:tr>
            <w:tr w14:paraId="4F6BD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50A412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9</w:t>
                  </w:r>
                </w:p>
              </w:tc>
              <w:tc>
                <w:tcPr>
                  <w:tcW w:w="1365" w:type="pct"/>
                  <w:tcBorders>
                    <w:tl2br w:val="nil"/>
                    <w:tr2bl w:val="nil"/>
                  </w:tcBorders>
                  <w:noWrap/>
                  <w:vAlign w:val="center"/>
                </w:tcPr>
                <w:p w14:paraId="7F53F5D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麦穗鱼</w:t>
                  </w:r>
                </w:p>
              </w:tc>
              <w:tc>
                <w:tcPr>
                  <w:tcW w:w="2796" w:type="pct"/>
                  <w:tcBorders>
                    <w:tl2br w:val="nil"/>
                    <w:tr2bl w:val="nil"/>
                  </w:tcBorders>
                  <w:noWrap/>
                  <w:vAlign w:val="center"/>
                </w:tcPr>
                <w:p w14:paraId="574FC99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 xml:space="preserve">Pseudorasbora parva </w:t>
                  </w:r>
                </w:p>
              </w:tc>
            </w:tr>
            <w:tr w14:paraId="29C5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230F84F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10</w:t>
                  </w:r>
                </w:p>
              </w:tc>
              <w:tc>
                <w:tcPr>
                  <w:tcW w:w="1365" w:type="pct"/>
                  <w:tcBorders>
                    <w:tl2br w:val="nil"/>
                    <w:tr2bl w:val="nil"/>
                  </w:tcBorders>
                  <w:noWrap/>
                  <w:vAlign w:val="center"/>
                </w:tcPr>
                <w:p w14:paraId="0C13A20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棒花鱼</w:t>
                  </w:r>
                </w:p>
              </w:tc>
              <w:tc>
                <w:tcPr>
                  <w:tcW w:w="2796" w:type="pct"/>
                  <w:tcBorders>
                    <w:tl2br w:val="nil"/>
                    <w:tr2bl w:val="nil"/>
                  </w:tcBorders>
                  <w:noWrap/>
                  <w:vAlign w:val="center"/>
                </w:tcPr>
                <w:p w14:paraId="603B82A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Abbottina rivularis</w:t>
                  </w:r>
                </w:p>
              </w:tc>
            </w:tr>
            <w:tr w14:paraId="6623C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F0BBE3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11</w:t>
                  </w:r>
                </w:p>
              </w:tc>
              <w:tc>
                <w:tcPr>
                  <w:tcW w:w="1365" w:type="pct"/>
                  <w:tcBorders>
                    <w:tl2br w:val="nil"/>
                    <w:tr2bl w:val="nil"/>
                  </w:tcBorders>
                  <w:noWrap/>
                  <w:vAlign w:val="center"/>
                </w:tcPr>
                <w:p w14:paraId="0EF772B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黑鳍鳈</w:t>
                  </w:r>
                </w:p>
              </w:tc>
              <w:tc>
                <w:tcPr>
                  <w:tcW w:w="2796" w:type="pct"/>
                  <w:tcBorders>
                    <w:tl2br w:val="nil"/>
                    <w:tr2bl w:val="nil"/>
                  </w:tcBorders>
                  <w:noWrap/>
                  <w:vAlign w:val="center"/>
                </w:tcPr>
                <w:p w14:paraId="6AA72C2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Sarcocheilichthys nigripinnis</w:t>
                  </w:r>
                </w:p>
              </w:tc>
            </w:tr>
            <w:tr w14:paraId="79612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58517AB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（五）</w:t>
                  </w:r>
                </w:p>
              </w:tc>
              <w:tc>
                <w:tcPr>
                  <w:tcW w:w="1365" w:type="pct"/>
                  <w:tcBorders>
                    <w:tl2br w:val="nil"/>
                    <w:tr2bl w:val="nil"/>
                  </w:tcBorders>
                  <w:noWrap/>
                  <w:vAlign w:val="center"/>
                </w:tcPr>
                <w:p w14:paraId="4C11D94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雅罗鱼亚科</w:t>
                  </w:r>
                </w:p>
              </w:tc>
              <w:tc>
                <w:tcPr>
                  <w:tcW w:w="2796" w:type="pct"/>
                  <w:tcBorders>
                    <w:tl2br w:val="nil"/>
                    <w:tr2bl w:val="nil"/>
                  </w:tcBorders>
                  <w:noWrap/>
                  <w:vAlign w:val="center"/>
                </w:tcPr>
                <w:p w14:paraId="01A11E4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Leuciscinae</w:t>
                  </w:r>
                </w:p>
              </w:tc>
            </w:tr>
            <w:tr w14:paraId="280D7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860978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12</w:t>
                  </w:r>
                </w:p>
              </w:tc>
              <w:tc>
                <w:tcPr>
                  <w:tcW w:w="1365" w:type="pct"/>
                  <w:tcBorders>
                    <w:tl2br w:val="nil"/>
                    <w:tr2bl w:val="nil"/>
                  </w:tcBorders>
                  <w:noWrap/>
                  <w:vAlign w:val="center"/>
                </w:tcPr>
                <w:p w14:paraId="6533E61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草鱼</w:t>
                  </w:r>
                </w:p>
              </w:tc>
              <w:tc>
                <w:tcPr>
                  <w:tcW w:w="2796" w:type="pct"/>
                  <w:tcBorders>
                    <w:tl2br w:val="nil"/>
                    <w:tr2bl w:val="nil"/>
                  </w:tcBorders>
                  <w:noWrap/>
                  <w:vAlign w:val="center"/>
                </w:tcPr>
                <w:p w14:paraId="536303A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Ctanop hargngodon</w:t>
                  </w:r>
                </w:p>
              </w:tc>
            </w:tr>
            <w:tr w14:paraId="6F9A3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5A57C5E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（六）</w:t>
                  </w:r>
                </w:p>
              </w:tc>
              <w:tc>
                <w:tcPr>
                  <w:tcW w:w="1365" w:type="pct"/>
                  <w:tcBorders>
                    <w:tl2br w:val="nil"/>
                    <w:tr2bl w:val="nil"/>
                  </w:tcBorders>
                  <w:noWrap/>
                  <w:vAlign w:val="center"/>
                </w:tcPr>
                <w:p w14:paraId="46FDE62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鲢亚科</w:t>
                  </w:r>
                </w:p>
              </w:tc>
              <w:tc>
                <w:tcPr>
                  <w:tcW w:w="2796" w:type="pct"/>
                  <w:tcBorders>
                    <w:tl2br w:val="nil"/>
                    <w:tr2bl w:val="nil"/>
                  </w:tcBorders>
                  <w:noWrap/>
                  <w:vAlign w:val="center"/>
                </w:tcPr>
                <w:p w14:paraId="604F61F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Hypophthalmichthyinae</w:t>
                  </w:r>
                </w:p>
              </w:tc>
            </w:tr>
            <w:tr w14:paraId="15A25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110F3E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13</w:t>
                  </w:r>
                </w:p>
              </w:tc>
              <w:tc>
                <w:tcPr>
                  <w:tcW w:w="1365" w:type="pct"/>
                  <w:tcBorders>
                    <w:tl2br w:val="nil"/>
                    <w:tr2bl w:val="nil"/>
                  </w:tcBorders>
                  <w:noWrap/>
                  <w:vAlign w:val="center"/>
                </w:tcPr>
                <w:p w14:paraId="5F64527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鲢</w:t>
                  </w:r>
                </w:p>
              </w:tc>
              <w:tc>
                <w:tcPr>
                  <w:tcW w:w="2796" w:type="pct"/>
                  <w:tcBorders>
                    <w:tl2br w:val="nil"/>
                    <w:tr2bl w:val="nil"/>
                  </w:tcBorders>
                  <w:noWrap/>
                  <w:vAlign w:val="center"/>
                </w:tcPr>
                <w:p w14:paraId="3074866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Hypophthalmichthys molitrix</w:t>
                  </w:r>
                </w:p>
              </w:tc>
            </w:tr>
            <w:tr w14:paraId="28817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1603C03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（七）</w:t>
                  </w:r>
                </w:p>
              </w:tc>
              <w:tc>
                <w:tcPr>
                  <w:tcW w:w="1365" w:type="pct"/>
                  <w:tcBorders>
                    <w:tl2br w:val="nil"/>
                    <w:tr2bl w:val="nil"/>
                  </w:tcBorders>
                  <w:noWrap/>
                  <w:vAlign w:val="center"/>
                </w:tcPr>
                <w:p w14:paraId="7C0E618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鲃亚科</w:t>
                  </w:r>
                </w:p>
              </w:tc>
              <w:tc>
                <w:tcPr>
                  <w:tcW w:w="2796" w:type="pct"/>
                  <w:tcBorders>
                    <w:tl2br w:val="nil"/>
                    <w:tr2bl w:val="nil"/>
                  </w:tcBorders>
                  <w:noWrap/>
                  <w:vAlign w:val="center"/>
                </w:tcPr>
                <w:p w14:paraId="000CABA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Barbinae</w:t>
                  </w:r>
                </w:p>
              </w:tc>
            </w:tr>
            <w:tr w14:paraId="64331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58D8C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14</w:t>
                  </w:r>
                </w:p>
              </w:tc>
              <w:tc>
                <w:tcPr>
                  <w:tcW w:w="1365" w:type="pct"/>
                  <w:tcBorders>
                    <w:tl2br w:val="nil"/>
                    <w:tr2bl w:val="nil"/>
                  </w:tcBorders>
                  <w:noWrap/>
                  <w:vAlign w:val="center"/>
                </w:tcPr>
                <w:p w14:paraId="4C89042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异口新光唇鱼</w:t>
                  </w:r>
                </w:p>
              </w:tc>
              <w:tc>
                <w:tcPr>
                  <w:tcW w:w="2796" w:type="pct"/>
                  <w:tcBorders>
                    <w:tl2br w:val="nil"/>
                    <w:tr2bl w:val="nil"/>
                  </w:tcBorders>
                  <w:noWrap/>
                  <w:vAlign w:val="center"/>
                </w:tcPr>
                <w:p w14:paraId="6CA2F88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Neolissochilus heterostomus</w:t>
                  </w:r>
                </w:p>
              </w:tc>
            </w:tr>
            <w:tr w14:paraId="66DEF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981248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15</w:t>
                  </w:r>
                </w:p>
              </w:tc>
              <w:tc>
                <w:tcPr>
                  <w:tcW w:w="1365" w:type="pct"/>
                  <w:tcBorders>
                    <w:tl2br w:val="nil"/>
                    <w:tr2bl w:val="nil"/>
                  </w:tcBorders>
                  <w:noWrap/>
                  <w:vAlign w:val="center"/>
                </w:tcPr>
                <w:p w14:paraId="1424730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太平吻孔鲃</w:t>
                  </w:r>
                </w:p>
              </w:tc>
              <w:tc>
                <w:tcPr>
                  <w:tcW w:w="2796" w:type="pct"/>
                  <w:tcBorders>
                    <w:tl2br w:val="nil"/>
                    <w:tr2bl w:val="nil"/>
                  </w:tcBorders>
                  <w:noWrap/>
                  <w:vAlign w:val="center"/>
                </w:tcPr>
                <w:p w14:paraId="5DE79ED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Poropuntius margarianus</w:t>
                  </w:r>
                </w:p>
              </w:tc>
            </w:tr>
            <w:tr w14:paraId="5E8AA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6BFA6B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16</w:t>
                  </w:r>
                </w:p>
              </w:tc>
              <w:tc>
                <w:tcPr>
                  <w:tcW w:w="1365" w:type="pct"/>
                  <w:tcBorders>
                    <w:tl2br w:val="nil"/>
                    <w:tr2bl w:val="nil"/>
                  </w:tcBorders>
                  <w:noWrap/>
                  <w:vAlign w:val="center"/>
                </w:tcPr>
                <w:p w14:paraId="04CB3EE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斑尾小鲃</w:t>
                  </w:r>
                </w:p>
              </w:tc>
              <w:tc>
                <w:tcPr>
                  <w:tcW w:w="2796" w:type="pct"/>
                  <w:tcBorders>
                    <w:tl2br w:val="nil"/>
                    <w:tr2bl w:val="nil"/>
                  </w:tcBorders>
                  <w:noWrap/>
                  <w:vAlign w:val="center"/>
                </w:tcPr>
                <w:p w14:paraId="5B38D48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Puntius sophore</w:t>
                  </w:r>
                </w:p>
              </w:tc>
            </w:tr>
            <w:tr w14:paraId="59018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FF01B0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17</w:t>
                  </w:r>
                </w:p>
              </w:tc>
              <w:tc>
                <w:tcPr>
                  <w:tcW w:w="1365" w:type="pct"/>
                  <w:tcBorders>
                    <w:tl2br w:val="nil"/>
                    <w:tr2bl w:val="nil"/>
                  </w:tcBorders>
                  <w:noWrap/>
                  <w:vAlign w:val="center"/>
                </w:tcPr>
                <w:p w14:paraId="1B92E1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异斑小鲃</w:t>
                  </w:r>
                </w:p>
              </w:tc>
              <w:tc>
                <w:tcPr>
                  <w:tcW w:w="2796" w:type="pct"/>
                  <w:tcBorders>
                    <w:tl2br w:val="nil"/>
                    <w:tr2bl w:val="nil"/>
                  </w:tcBorders>
                  <w:noWrap/>
                  <w:vAlign w:val="center"/>
                </w:tcPr>
                <w:p w14:paraId="61F8632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Puntius ticto</w:t>
                  </w:r>
                </w:p>
              </w:tc>
            </w:tr>
            <w:tr w14:paraId="6A259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DCC8DB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18</w:t>
                  </w:r>
                </w:p>
              </w:tc>
              <w:tc>
                <w:tcPr>
                  <w:tcW w:w="1365" w:type="pct"/>
                  <w:tcBorders>
                    <w:tl2br w:val="nil"/>
                    <w:tr2bl w:val="nil"/>
                  </w:tcBorders>
                  <w:noWrap/>
                  <w:vAlign w:val="center"/>
                </w:tcPr>
                <w:p w14:paraId="4D99D97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桥街结鱼</w:t>
                  </w:r>
                </w:p>
              </w:tc>
              <w:tc>
                <w:tcPr>
                  <w:tcW w:w="2796" w:type="pct"/>
                  <w:tcBorders>
                    <w:tl2br w:val="nil"/>
                    <w:tr2bl w:val="nil"/>
                  </w:tcBorders>
                  <w:noWrap/>
                  <w:vAlign w:val="center"/>
                </w:tcPr>
                <w:p w14:paraId="74AFEF7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Tor(Tor) qiaojiensis</w:t>
                  </w:r>
                </w:p>
              </w:tc>
            </w:tr>
            <w:tr w14:paraId="655B2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26A4061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19</w:t>
                  </w:r>
                </w:p>
              </w:tc>
              <w:tc>
                <w:tcPr>
                  <w:tcW w:w="1365" w:type="pct"/>
                  <w:tcBorders>
                    <w:tl2br w:val="nil"/>
                    <w:tr2bl w:val="nil"/>
                  </w:tcBorders>
                  <w:noWrap/>
                  <w:vAlign w:val="center"/>
                </w:tcPr>
                <w:p w14:paraId="26C34E9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盈江结鱼</w:t>
                  </w:r>
                </w:p>
              </w:tc>
              <w:tc>
                <w:tcPr>
                  <w:tcW w:w="2796" w:type="pct"/>
                  <w:tcBorders>
                    <w:tl2br w:val="nil"/>
                    <w:tr2bl w:val="nil"/>
                  </w:tcBorders>
                  <w:noWrap/>
                  <w:vAlign w:val="center"/>
                </w:tcPr>
                <w:p w14:paraId="674C79B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Tor yingjiangensis</w:t>
                  </w:r>
                </w:p>
              </w:tc>
            </w:tr>
            <w:tr w14:paraId="6EEF4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D14EA0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（八）</w:t>
                  </w:r>
                </w:p>
              </w:tc>
              <w:tc>
                <w:tcPr>
                  <w:tcW w:w="1365" w:type="pct"/>
                  <w:tcBorders>
                    <w:tl2br w:val="nil"/>
                    <w:tr2bl w:val="nil"/>
                  </w:tcBorders>
                  <w:noWrap/>
                  <w:vAlign w:val="center"/>
                </w:tcPr>
                <w:p w14:paraId="0DC9BE5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野鲮亚科</w:t>
                  </w:r>
                </w:p>
              </w:tc>
              <w:tc>
                <w:tcPr>
                  <w:tcW w:w="2796" w:type="pct"/>
                  <w:tcBorders>
                    <w:tl2br w:val="nil"/>
                    <w:tr2bl w:val="nil"/>
                  </w:tcBorders>
                  <w:noWrap/>
                  <w:vAlign w:val="center"/>
                </w:tcPr>
                <w:p w14:paraId="7F43A90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Labeoninae</w:t>
                  </w:r>
                </w:p>
              </w:tc>
            </w:tr>
            <w:tr w14:paraId="15F9F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CC4C7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20</w:t>
                  </w:r>
                </w:p>
              </w:tc>
              <w:tc>
                <w:tcPr>
                  <w:tcW w:w="1365" w:type="pct"/>
                  <w:tcBorders>
                    <w:tl2br w:val="nil"/>
                    <w:tr2bl w:val="nil"/>
                  </w:tcBorders>
                  <w:noWrap/>
                  <w:vAlign w:val="center"/>
                </w:tcPr>
                <w:p w14:paraId="4A1B0F8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戴氏孟加拉鲮</w:t>
                  </w:r>
                </w:p>
              </w:tc>
              <w:tc>
                <w:tcPr>
                  <w:tcW w:w="2796" w:type="pct"/>
                  <w:tcBorders>
                    <w:tl2br w:val="nil"/>
                    <w:tr2bl w:val="nil"/>
                  </w:tcBorders>
                  <w:noWrap/>
                  <w:vAlign w:val="center"/>
                </w:tcPr>
                <w:p w14:paraId="5F71B0A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Bangana devdevi</w:t>
                  </w:r>
                </w:p>
              </w:tc>
            </w:tr>
            <w:tr w14:paraId="15102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3F042F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21</w:t>
                  </w:r>
                </w:p>
              </w:tc>
              <w:tc>
                <w:tcPr>
                  <w:tcW w:w="1365" w:type="pct"/>
                  <w:tcBorders>
                    <w:tl2br w:val="nil"/>
                    <w:tr2bl w:val="nil"/>
                  </w:tcBorders>
                  <w:noWrap/>
                  <w:vAlign w:val="center"/>
                </w:tcPr>
                <w:p w14:paraId="7027DE0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皮氏野鲮</w:t>
                  </w:r>
                </w:p>
              </w:tc>
              <w:tc>
                <w:tcPr>
                  <w:tcW w:w="2796" w:type="pct"/>
                  <w:tcBorders>
                    <w:tl2br w:val="nil"/>
                    <w:tr2bl w:val="nil"/>
                  </w:tcBorders>
                  <w:noWrap/>
                  <w:vAlign w:val="center"/>
                </w:tcPr>
                <w:p w14:paraId="32AC78B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Labeo pierrei</w:t>
                  </w:r>
                </w:p>
              </w:tc>
            </w:tr>
            <w:tr w14:paraId="396826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B4646E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22</w:t>
                  </w:r>
                </w:p>
              </w:tc>
              <w:tc>
                <w:tcPr>
                  <w:tcW w:w="1365" w:type="pct"/>
                  <w:tcBorders>
                    <w:tl2br w:val="nil"/>
                    <w:tr2bl w:val="nil"/>
                  </w:tcBorders>
                  <w:noWrap/>
                  <w:vAlign w:val="center"/>
                </w:tcPr>
                <w:p w14:paraId="184B76B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缅甸穗唇鲃</w:t>
                  </w:r>
                </w:p>
              </w:tc>
              <w:tc>
                <w:tcPr>
                  <w:tcW w:w="2796" w:type="pct"/>
                  <w:tcBorders>
                    <w:tl2br w:val="nil"/>
                    <w:tr2bl w:val="nil"/>
                  </w:tcBorders>
                  <w:noWrap/>
                  <w:vAlign w:val="center"/>
                </w:tcPr>
                <w:p w14:paraId="0A6DB20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Crossocheilus burmanicus</w:t>
                  </w:r>
                </w:p>
              </w:tc>
            </w:tr>
            <w:tr w14:paraId="2BA89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258463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23</w:t>
                  </w:r>
                </w:p>
              </w:tc>
              <w:tc>
                <w:tcPr>
                  <w:tcW w:w="1365" w:type="pct"/>
                  <w:tcBorders>
                    <w:tl2br w:val="nil"/>
                    <w:tr2bl w:val="nil"/>
                  </w:tcBorders>
                  <w:noWrap/>
                  <w:vAlign w:val="center"/>
                </w:tcPr>
                <w:p w14:paraId="4A5B2A8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双角墨头鱼</w:t>
                  </w:r>
                </w:p>
              </w:tc>
              <w:tc>
                <w:tcPr>
                  <w:tcW w:w="2796" w:type="pct"/>
                  <w:tcBorders>
                    <w:tl2br w:val="nil"/>
                    <w:tr2bl w:val="nil"/>
                  </w:tcBorders>
                  <w:noWrap/>
                  <w:vAlign w:val="center"/>
                </w:tcPr>
                <w:p w14:paraId="5F85389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Garra bispinosa</w:t>
                  </w:r>
                </w:p>
              </w:tc>
            </w:tr>
            <w:tr w14:paraId="5A406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A9B6CB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24</w:t>
                  </w:r>
                </w:p>
              </w:tc>
              <w:tc>
                <w:tcPr>
                  <w:tcW w:w="1365" w:type="pct"/>
                  <w:tcBorders>
                    <w:tl2br w:val="nil"/>
                    <w:tr2bl w:val="nil"/>
                  </w:tcBorders>
                  <w:noWrap/>
                  <w:vAlign w:val="center"/>
                </w:tcPr>
                <w:p w14:paraId="116E313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桥街墨头鱼</w:t>
                  </w:r>
                </w:p>
              </w:tc>
              <w:tc>
                <w:tcPr>
                  <w:tcW w:w="2796" w:type="pct"/>
                  <w:tcBorders>
                    <w:tl2br w:val="nil"/>
                    <w:tr2bl w:val="nil"/>
                  </w:tcBorders>
                  <w:noWrap/>
                  <w:vAlign w:val="center"/>
                </w:tcPr>
                <w:p w14:paraId="1C13B4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Garra qiaojiensis</w:t>
                  </w:r>
                </w:p>
              </w:tc>
            </w:tr>
            <w:tr w14:paraId="399C3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ADCBB5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25</w:t>
                  </w:r>
                </w:p>
              </w:tc>
              <w:tc>
                <w:tcPr>
                  <w:tcW w:w="1365" w:type="pct"/>
                  <w:tcBorders>
                    <w:tl2br w:val="nil"/>
                    <w:tr2bl w:val="nil"/>
                  </w:tcBorders>
                  <w:noWrap/>
                  <w:vAlign w:val="center"/>
                </w:tcPr>
                <w:p w14:paraId="1452242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萨尔温墨头鱼</w:t>
                  </w:r>
                </w:p>
              </w:tc>
              <w:tc>
                <w:tcPr>
                  <w:tcW w:w="2796" w:type="pct"/>
                  <w:tcBorders>
                    <w:tl2br w:val="nil"/>
                    <w:tr2bl w:val="nil"/>
                  </w:tcBorders>
                  <w:noWrap/>
                  <w:vAlign w:val="center"/>
                </w:tcPr>
                <w:p w14:paraId="6FFF66C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Garra salweenica</w:t>
                  </w:r>
                </w:p>
              </w:tc>
            </w:tr>
            <w:tr w14:paraId="76435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242DE81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26</w:t>
                  </w:r>
                </w:p>
              </w:tc>
              <w:tc>
                <w:tcPr>
                  <w:tcW w:w="1365" w:type="pct"/>
                  <w:tcBorders>
                    <w:tl2br w:val="nil"/>
                    <w:tr2bl w:val="nil"/>
                  </w:tcBorders>
                  <w:noWrap/>
                  <w:vAlign w:val="center"/>
                </w:tcPr>
                <w:p w14:paraId="605696A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腾冲墨头鱼</w:t>
                  </w:r>
                </w:p>
              </w:tc>
              <w:tc>
                <w:tcPr>
                  <w:tcW w:w="2796" w:type="pct"/>
                  <w:tcBorders>
                    <w:tl2br w:val="nil"/>
                    <w:tr2bl w:val="nil"/>
                  </w:tcBorders>
                  <w:noWrap/>
                  <w:vAlign w:val="center"/>
                </w:tcPr>
                <w:p w14:paraId="5DA5214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Garra tengchongensis</w:t>
                  </w:r>
                </w:p>
              </w:tc>
            </w:tr>
            <w:tr w14:paraId="353D8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64CFA91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（九）</w:t>
                  </w:r>
                </w:p>
              </w:tc>
              <w:tc>
                <w:tcPr>
                  <w:tcW w:w="1365" w:type="pct"/>
                  <w:tcBorders>
                    <w:tl2br w:val="nil"/>
                    <w:tr2bl w:val="nil"/>
                  </w:tcBorders>
                  <w:noWrap/>
                  <w:vAlign w:val="center"/>
                </w:tcPr>
                <w:p w14:paraId="073514A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裂腹鱼亚科</w:t>
                  </w:r>
                </w:p>
              </w:tc>
              <w:tc>
                <w:tcPr>
                  <w:tcW w:w="2796" w:type="pct"/>
                  <w:tcBorders>
                    <w:tl2br w:val="nil"/>
                    <w:tr2bl w:val="nil"/>
                  </w:tcBorders>
                  <w:noWrap/>
                  <w:vAlign w:val="center"/>
                </w:tcPr>
                <w:p w14:paraId="18A8ACF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Schizothoracinae</w:t>
                  </w:r>
                </w:p>
              </w:tc>
            </w:tr>
            <w:tr w14:paraId="336AF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7013EE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27</w:t>
                  </w:r>
                </w:p>
              </w:tc>
              <w:tc>
                <w:tcPr>
                  <w:tcW w:w="1365" w:type="pct"/>
                  <w:tcBorders>
                    <w:tl2br w:val="nil"/>
                    <w:tr2bl w:val="nil"/>
                  </w:tcBorders>
                  <w:noWrap/>
                  <w:vAlign w:val="center"/>
                </w:tcPr>
                <w:p w14:paraId="66E066F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南方裂腹鱼</w:t>
                  </w:r>
                </w:p>
              </w:tc>
              <w:tc>
                <w:tcPr>
                  <w:tcW w:w="2796" w:type="pct"/>
                  <w:tcBorders>
                    <w:tl2br w:val="nil"/>
                    <w:tr2bl w:val="nil"/>
                  </w:tcBorders>
                  <w:noWrap/>
                  <w:vAlign w:val="center"/>
                </w:tcPr>
                <w:p w14:paraId="663C757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Schizothorax meridionalis</w:t>
                  </w:r>
                </w:p>
              </w:tc>
            </w:tr>
            <w:tr w14:paraId="74BD5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7" w:type="pct"/>
                  <w:tcBorders>
                    <w:tl2br w:val="nil"/>
                    <w:tr2bl w:val="nil"/>
                  </w:tcBorders>
                  <w:noWrap/>
                  <w:vAlign w:val="center"/>
                </w:tcPr>
                <w:p w14:paraId="1034993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w:t>
                  </w:r>
                </w:p>
              </w:tc>
              <w:tc>
                <w:tcPr>
                  <w:tcW w:w="1365" w:type="pct"/>
                  <w:tcBorders>
                    <w:tl2br w:val="nil"/>
                    <w:tr2bl w:val="nil"/>
                  </w:tcBorders>
                  <w:noWrap/>
                  <w:vAlign w:val="center"/>
                </w:tcPr>
                <w:p w14:paraId="24D2A38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鲤亚科</w:t>
                  </w:r>
                </w:p>
              </w:tc>
              <w:tc>
                <w:tcPr>
                  <w:tcW w:w="2796" w:type="pct"/>
                  <w:tcBorders>
                    <w:tl2br w:val="nil"/>
                    <w:tr2bl w:val="nil"/>
                  </w:tcBorders>
                  <w:noWrap/>
                  <w:vAlign w:val="center"/>
                </w:tcPr>
                <w:p w14:paraId="65484B8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Cyprininae</w:t>
                  </w:r>
                </w:p>
              </w:tc>
            </w:tr>
            <w:tr w14:paraId="5017A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F47835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28</w:t>
                  </w:r>
                </w:p>
              </w:tc>
              <w:tc>
                <w:tcPr>
                  <w:tcW w:w="1365" w:type="pct"/>
                  <w:tcBorders>
                    <w:tl2br w:val="nil"/>
                    <w:tr2bl w:val="nil"/>
                  </w:tcBorders>
                  <w:noWrap/>
                  <w:vAlign w:val="center"/>
                </w:tcPr>
                <w:p w14:paraId="018276E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鲫</w:t>
                  </w:r>
                </w:p>
              </w:tc>
              <w:tc>
                <w:tcPr>
                  <w:tcW w:w="2796" w:type="pct"/>
                  <w:tcBorders>
                    <w:tl2br w:val="nil"/>
                    <w:tr2bl w:val="nil"/>
                  </w:tcBorders>
                  <w:noWrap/>
                  <w:vAlign w:val="center"/>
                </w:tcPr>
                <w:p w14:paraId="396DF1D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 xml:space="preserve">Carassius auratus </w:t>
                  </w:r>
                </w:p>
              </w:tc>
            </w:tr>
            <w:tr w14:paraId="07F30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FFF248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29</w:t>
                  </w:r>
                </w:p>
              </w:tc>
              <w:tc>
                <w:tcPr>
                  <w:tcW w:w="1365" w:type="pct"/>
                  <w:tcBorders>
                    <w:tl2br w:val="nil"/>
                    <w:tr2bl w:val="nil"/>
                  </w:tcBorders>
                  <w:noWrap/>
                  <w:vAlign w:val="center"/>
                </w:tcPr>
                <w:p w14:paraId="09CC95F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鲤</w:t>
                  </w:r>
                </w:p>
              </w:tc>
              <w:tc>
                <w:tcPr>
                  <w:tcW w:w="2796" w:type="pct"/>
                  <w:tcBorders>
                    <w:tl2br w:val="nil"/>
                    <w:tr2bl w:val="nil"/>
                  </w:tcBorders>
                  <w:noWrap/>
                  <w:vAlign w:val="center"/>
                </w:tcPr>
                <w:p w14:paraId="6944BC4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Cyprinus carpio</w:t>
                  </w:r>
                </w:p>
              </w:tc>
            </w:tr>
            <w:tr w14:paraId="48B66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6C34877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三</w:t>
                  </w:r>
                </w:p>
              </w:tc>
              <w:tc>
                <w:tcPr>
                  <w:tcW w:w="1365" w:type="pct"/>
                  <w:tcBorders>
                    <w:tl2br w:val="nil"/>
                    <w:tr2bl w:val="nil"/>
                  </w:tcBorders>
                  <w:noWrap/>
                  <w:vAlign w:val="center"/>
                </w:tcPr>
                <w:p w14:paraId="76A6C28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鳅科</w:t>
                  </w:r>
                </w:p>
              </w:tc>
              <w:tc>
                <w:tcPr>
                  <w:tcW w:w="2796" w:type="pct"/>
                  <w:tcBorders>
                    <w:tl2br w:val="nil"/>
                    <w:tr2bl w:val="nil"/>
                  </w:tcBorders>
                  <w:noWrap/>
                  <w:vAlign w:val="center"/>
                </w:tcPr>
                <w:p w14:paraId="46920F1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Cobitidae</w:t>
                  </w:r>
                </w:p>
              </w:tc>
            </w:tr>
            <w:tr w14:paraId="1F751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AC729B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30</w:t>
                  </w:r>
                </w:p>
              </w:tc>
              <w:tc>
                <w:tcPr>
                  <w:tcW w:w="1365" w:type="pct"/>
                  <w:tcBorders>
                    <w:tl2br w:val="nil"/>
                    <w:tr2bl w:val="nil"/>
                  </w:tcBorders>
                  <w:noWrap/>
                  <w:vAlign w:val="center"/>
                </w:tcPr>
                <w:p w14:paraId="72227AB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伯氏似鳞头鳅</w:t>
                  </w:r>
                </w:p>
              </w:tc>
              <w:tc>
                <w:tcPr>
                  <w:tcW w:w="2796" w:type="pct"/>
                  <w:tcBorders>
                    <w:tl2br w:val="nil"/>
                    <w:tr2bl w:val="nil"/>
                  </w:tcBorders>
                  <w:noWrap/>
                  <w:vAlign w:val="center"/>
                </w:tcPr>
                <w:p w14:paraId="3818128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Lepidocephalichthys berdmorei</w:t>
                  </w:r>
                </w:p>
              </w:tc>
            </w:tr>
            <w:tr w14:paraId="62E60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739A23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31</w:t>
                  </w:r>
                </w:p>
              </w:tc>
              <w:tc>
                <w:tcPr>
                  <w:tcW w:w="1365" w:type="pct"/>
                  <w:tcBorders>
                    <w:tl2br w:val="nil"/>
                    <w:tr2bl w:val="nil"/>
                  </w:tcBorders>
                  <w:noWrap/>
                  <w:vAlign w:val="center"/>
                </w:tcPr>
                <w:p w14:paraId="6611DA2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赫氏似鳞头鳅</w:t>
                  </w:r>
                </w:p>
              </w:tc>
              <w:tc>
                <w:tcPr>
                  <w:tcW w:w="2796" w:type="pct"/>
                  <w:tcBorders>
                    <w:tl2br w:val="nil"/>
                    <w:tr2bl w:val="nil"/>
                  </w:tcBorders>
                  <w:noWrap/>
                  <w:vAlign w:val="center"/>
                </w:tcPr>
                <w:p w14:paraId="296268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Lepidocephalichthys hasselti</w:t>
                  </w:r>
                </w:p>
              </w:tc>
            </w:tr>
            <w:tr w14:paraId="25C6C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C38CE7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32</w:t>
                  </w:r>
                </w:p>
              </w:tc>
              <w:tc>
                <w:tcPr>
                  <w:tcW w:w="1365" w:type="pct"/>
                  <w:tcBorders>
                    <w:tl2br w:val="nil"/>
                    <w:tr2bl w:val="nil"/>
                  </w:tcBorders>
                  <w:noWrap/>
                  <w:vAlign w:val="center"/>
                </w:tcPr>
                <w:p w14:paraId="288540F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缅甸鳞头鳅</w:t>
                  </w:r>
                </w:p>
              </w:tc>
              <w:tc>
                <w:tcPr>
                  <w:tcW w:w="2796" w:type="pct"/>
                  <w:tcBorders>
                    <w:tl2br w:val="nil"/>
                    <w:tr2bl w:val="nil"/>
                  </w:tcBorders>
                  <w:noWrap/>
                  <w:vAlign w:val="center"/>
                </w:tcPr>
                <w:p w14:paraId="1C1B0AD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Lepidocephalus birmanicus</w:t>
                  </w:r>
                </w:p>
              </w:tc>
            </w:tr>
            <w:tr w14:paraId="1CD96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8106D2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33</w:t>
                  </w:r>
                </w:p>
              </w:tc>
              <w:tc>
                <w:tcPr>
                  <w:tcW w:w="1365" w:type="pct"/>
                  <w:tcBorders>
                    <w:tl2br w:val="nil"/>
                    <w:tr2bl w:val="nil"/>
                  </w:tcBorders>
                  <w:noWrap/>
                  <w:vAlign w:val="center"/>
                </w:tcPr>
                <w:p w14:paraId="2C7062D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泥鳅</w:t>
                  </w:r>
                </w:p>
              </w:tc>
              <w:tc>
                <w:tcPr>
                  <w:tcW w:w="2796" w:type="pct"/>
                  <w:tcBorders>
                    <w:tl2br w:val="nil"/>
                    <w:tr2bl w:val="nil"/>
                  </w:tcBorders>
                  <w:noWrap/>
                  <w:vAlign w:val="center"/>
                </w:tcPr>
                <w:p w14:paraId="07353FF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Misgurnus anguillicaudatus</w:t>
                  </w:r>
                </w:p>
              </w:tc>
            </w:tr>
            <w:tr w14:paraId="0C30A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7" w:type="pct"/>
                  <w:tcBorders>
                    <w:tl2br w:val="nil"/>
                    <w:tr2bl w:val="nil"/>
                  </w:tcBorders>
                  <w:noWrap/>
                  <w:vAlign w:val="center"/>
                </w:tcPr>
                <w:p w14:paraId="5BB2A79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fldChar w:fldCharType="begin"/>
                  </w:r>
                  <w:r>
                    <w:rPr>
                      <w:rFonts w:hint="default" w:ascii="Times New Roman" w:hAnsi="Times New Roman" w:eastAsia="宋体" w:cs="Times New Roman"/>
                      <w:spacing w:val="6"/>
                      <w:sz w:val="21"/>
                      <w:szCs w:val="21"/>
                      <w:lang w:val="en-US" w:eastAsia="zh-CN"/>
                    </w:rPr>
                    <w:instrText xml:space="preserve"> = 3 \* ROMAN \* MERGEFORMAT </w:instrText>
                  </w:r>
                  <w:r>
                    <w:rPr>
                      <w:rFonts w:hint="default" w:ascii="Times New Roman" w:hAnsi="Times New Roman" w:eastAsia="宋体" w:cs="Times New Roman"/>
                      <w:spacing w:val="6"/>
                      <w:sz w:val="21"/>
                      <w:szCs w:val="21"/>
                      <w:lang w:val="en-US" w:eastAsia="zh-CN"/>
                    </w:rPr>
                    <w:fldChar w:fldCharType="separate"/>
                  </w:r>
                  <w:r>
                    <w:rPr>
                      <w:rFonts w:hint="default" w:ascii="Times New Roman" w:hAnsi="Times New Roman" w:eastAsia="宋体" w:cs="Times New Roman"/>
                      <w:spacing w:val="6"/>
                      <w:sz w:val="21"/>
                      <w:szCs w:val="21"/>
                      <w:lang w:val="en-US" w:eastAsia="zh-CN"/>
                    </w:rPr>
                    <w:t>III</w:t>
                  </w:r>
                  <w:r>
                    <w:rPr>
                      <w:rFonts w:hint="default" w:ascii="Times New Roman" w:hAnsi="Times New Roman" w:eastAsia="宋体" w:cs="Times New Roman"/>
                      <w:spacing w:val="6"/>
                      <w:sz w:val="21"/>
                      <w:szCs w:val="21"/>
                      <w:lang w:val="en-US" w:eastAsia="zh-CN"/>
                    </w:rPr>
                    <w:fldChar w:fldCharType="end"/>
                  </w:r>
                </w:p>
              </w:tc>
              <w:tc>
                <w:tcPr>
                  <w:tcW w:w="1365" w:type="pct"/>
                  <w:tcBorders>
                    <w:tl2br w:val="nil"/>
                    <w:tr2bl w:val="nil"/>
                  </w:tcBorders>
                  <w:noWrap/>
                  <w:vAlign w:val="center"/>
                </w:tcPr>
                <w:p w14:paraId="2704617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鲇形目</w:t>
                  </w:r>
                </w:p>
              </w:tc>
              <w:tc>
                <w:tcPr>
                  <w:tcW w:w="2796" w:type="pct"/>
                  <w:tcBorders>
                    <w:tl2br w:val="nil"/>
                    <w:tr2bl w:val="nil"/>
                  </w:tcBorders>
                  <w:noWrap/>
                  <w:vAlign w:val="center"/>
                </w:tcPr>
                <w:p w14:paraId="31C4505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SILURIFORMES</w:t>
                  </w:r>
                </w:p>
              </w:tc>
            </w:tr>
            <w:tr w14:paraId="6ED36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634597E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四</w:t>
                  </w:r>
                </w:p>
              </w:tc>
              <w:tc>
                <w:tcPr>
                  <w:tcW w:w="1365" w:type="pct"/>
                  <w:tcBorders>
                    <w:tl2br w:val="nil"/>
                    <w:tr2bl w:val="nil"/>
                  </w:tcBorders>
                  <w:noWrap/>
                  <w:vAlign w:val="center"/>
                </w:tcPr>
                <w:p w14:paraId="591E040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胡子鲇科</w:t>
                  </w:r>
                </w:p>
              </w:tc>
              <w:tc>
                <w:tcPr>
                  <w:tcW w:w="2796" w:type="pct"/>
                  <w:tcBorders>
                    <w:tl2br w:val="nil"/>
                    <w:tr2bl w:val="nil"/>
                  </w:tcBorders>
                  <w:noWrap/>
                  <w:vAlign w:val="center"/>
                </w:tcPr>
                <w:p w14:paraId="41D6EF6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Clariidae</w:t>
                  </w:r>
                </w:p>
              </w:tc>
            </w:tr>
            <w:tr w14:paraId="65ABE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F94165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34</w:t>
                  </w:r>
                </w:p>
              </w:tc>
              <w:tc>
                <w:tcPr>
                  <w:tcW w:w="1365" w:type="pct"/>
                  <w:tcBorders>
                    <w:tl2br w:val="nil"/>
                    <w:tr2bl w:val="nil"/>
                  </w:tcBorders>
                  <w:noWrap/>
                  <w:vAlign w:val="center"/>
                </w:tcPr>
                <w:p w14:paraId="4DF4E86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胡子鲇</w:t>
                  </w:r>
                </w:p>
              </w:tc>
              <w:tc>
                <w:tcPr>
                  <w:tcW w:w="2796" w:type="pct"/>
                  <w:tcBorders>
                    <w:tl2br w:val="nil"/>
                    <w:tr2bl w:val="nil"/>
                  </w:tcBorders>
                  <w:noWrap/>
                  <w:vAlign w:val="center"/>
                </w:tcPr>
                <w:p w14:paraId="2EDEC5D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Clarias fuscus</w:t>
                  </w:r>
                </w:p>
              </w:tc>
            </w:tr>
            <w:tr w14:paraId="54D70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23277BB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五</w:t>
                  </w:r>
                </w:p>
              </w:tc>
              <w:tc>
                <w:tcPr>
                  <w:tcW w:w="1365" w:type="pct"/>
                  <w:tcBorders>
                    <w:tl2br w:val="nil"/>
                    <w:tr2bl w:val="nil"/>
                  </w:tcBorders>
                  <w:noWrap/>
                  <w:vAlign w:val="center"/>
                </w:tcPr>
                <w:p w14:paraId="115E0A1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鲿科</w:t>
                  </w:r>
                </w:p>
              </w:tc>
              <w:tc>
                <w:tcPr>
                  <w:tcW w:w="2796" w:type="pct"/>
                  <w:tcBorders>
                    <w:tl2br w:val="nil"/>
                    <w:tr2bl w:val="nil"/>
                  </w:tcBorders>
                  <w:noWrap/>
                  <w:vAlign w:val="center"/>
                </w:tcPr>
                <w:p w14:paraId="427C24E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Bagridae</w:t>
                  </w:r>
                </w:p>
              </w:tc>
            </w:tr>
            <w:tr w14:paraId="46474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BC29B8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35</w:t>
                  </w:r>
                </w:p>
              </w:tc>
              <w:tc>
                <w:tcPr>
                  <w:tcW w:w="1365" w:type="pct"/>
                  <w:tcBorders>
                    <w:tl2br w:val="nil"/>
                    <w:tr2bl w:val="nil"/>
                  </w:tcBorders>
                  <w:noWrap w:val="0"/>
                  <w:vAlign w:val="center"/>
                </w:tcPr>
                <w:p w14:paraId="73EFF02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黄颡鱼</w:t>
                  </w:r>
                </w:p>
              </w:tc>
              <w:tc>
                <w:tcPr>
                  <w:tcW w:w="2796" w:type="pct"/>
                  <w:tcBorders>
                    <w:tl2br w:val="nil"/>
                    <w:tr2bl w:val="nil"/>
                  </w:tcBorders>
                  <w:noWrap/>
                  <w:vAlign w:val="center"/>
                </w:tcPr>
                <w:p w14:paraId="23FDD2E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Pelteobagrus fulvidraco</w:t>
                  </w:r>
                </w:p>
              </w:tc>
            </w:tr>
            <w:tr w14:paraId="5AEE0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2B8210F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六</w:t>
                  </w:r>
                </w:p>
              </w:tc>
              <w:tc>
                <w:tcPr>
                  <w:tcW w:w="1365" w:type="pct"/>
                  <w:tcBorders>
                    <w:tl2br w:val="nil"/>
                    <w:tr2bl w:val="nil"/>
                  </w:tcBorders>
                  <w:noWrap/>
                  <w:vAlign w:val="center"/>
                </w:tcPr>
                <w:p w14:paraId="3DCA7C8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鲇科</w:t>
                  </w:r>
                </w:p>
              </w:tc>
              <w:tc>
                <w:tcPr>
                  <w:tcW w:w="2796" w:type="pct"/>
                  <w:tcBorders>
                    <w:tl2br w:val="nil"/>
                    <w:tr2bl w:val="nil"/>
                  </w:tcBorders>
                  <w:noWrap/>
                  <w:vAlign w:val="center"/>
                </w:tcPr>
                <w:p w14:paraId="6DC4206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Siluridae</w:t>
                  </w:r>
                </w:p>
              </w:tc>
            </w:tr>
            <w:tr w14:paraId="6161B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B3E7FA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36</w:t>
                  </w:r>
                </w:p>
              </w:tc>
              <w:tc>
                <w:tcPr>
                  <w:tcW w:w="1365" w:type="pct"/>
                  <w:tcBorders>
                    <w:tl2br w:val="nil"/>
                    <w:tr2bl w:val="nil"/>
                  </w:tcBorders>
                  <w:noWrap/>
                  <w:vAlign w:val="center"/>
                </w:tcPr>
                <w:p w14:paraId="326160E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越南隐鳍鲇</w:t>
                  </w:r>
                </w:p>
              </w:tc>
              <w:tc>
                <w:tcPr>
                  <w:tcW w:w="2796" w:type="pct"/>
                  <w:tcBorders>
                    <w:tl2br w:val="nil"/>
                    <w:tr2bl w:val="nil"/>
                  </w:tcBorders>
                  <w:noWrap/>
                  <w:vAlign w:val="center"/>
                </w:tcPr>
                <w:p w14:paraId="3A9FE60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Pterocryptis cochinchinensis</w:t>
                  </w:r>
                </w:p>
              </w:tc>
            </w:tr>
            <w:tr w14:paraId="4C39C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3F3D92C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七</w:t>
                  </w:r>
                </w:p>
              </w:tc>
              <w:tc>
                <w:tcPr>
                  <w:tcW w:w="1365" w:type="pct"/>
                  <w:tcBorders>
                    <w:tl2br w:val="nil"/>
                    <w:tr2bl w:val="nil"/>
                  </w:tcBorders>
                  <w:noWrap/>
                  <w:vAlign w:val="center"/>
                </w:tcPr>
                <w:p w14:paraId="0757911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鮡科</w:t>
                  </w:r>
                </w:p>
              </w:tc>
              <w:tc>
                <w:tcPr>
                  <w:tcW w:w="2796" w:type="pct"/>
                  <w:tcBorders>
                    <w:tl2br w:val="nil"/>
                    <w:tr2bl w:val="nil"/>
                  </w:tcBorders>
                  <w:noWrap/>
                  <w:vAlign w:val="center"/>
                </w:tcPr>
                <w:p w14:paraId="46D54E0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Sisoridae</w:t>
                  </w:r>
                </w:p>
              </w:tc>
            </w:tr>
            <w:tr w14:paraId="3DC8A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9231DF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18</w:t>
                  </w:r>
                </w:p>
              </w:tc>
              <w:tc>
                <w:tcPr>
                  <w:tcW w:w="1365" w:type="pct"/>
                  <w:tcBorders>
                    <w:tl2br w:val="nil"/>
                    <w:tr2bl w:val="nil"/>
                  </w:tcBorders>
                  <w:noWrap/>
                  <w:vAlign w:val="center"/>
                </w:tcPr>
                <w:p w14:paraId="1BC46A8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缅甸纹胸鮡</w:t>
                  </w:r>
                </w:p>
              </w:tc>
              <w:tc>
                <w:tcPr>
                  <w:tcW w:w="2796" w:type="pct"/>
                  <w:tcBorders>
                    <w:tl2br w:val="nil"/>
                    <w:tr2bl w:val="nil"/>
                  </w:tcBorders>
                  <w:noWrap/>
                  <w:vAlign w:val="center"/>
                </w:tcPr>
                <w:p w14:paraId="6F68FFA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Glyptothorax burmanicus</w:t>
                  </w:r>
                </w:p>
              </w:tc>
            </w:tr>
            <w:tr w14:paraId="1338F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D8E4BF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38</w:t>
                  </w:r>
                </w:p>
              </w:tc>
              <w:tc>
                <w:tcPr>
                  <w:tcW w:w="1365" w:type="pct"/>
                  <w:tcBorders>
                    <w:tl2br w:val="nil"/>
                    <w:tr2bl w:val="nil"/>
                  </w:tcBorders>
                  <w:noWrap/>
                  <w:vAlign w:val="center"/>
                </w:tcPr>
                <w:p w14:paraId="4D6EB09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龙江纹胸鮡</w:t>
                  </w:r>
                </w:p>
              </w:tc>
              <w:tc>
                <w:tcPr>
                  <w:tcW w:w="2796" w:type="pct"/>
                  <w:tcBorders>
                    <w:tl2br w:val="nil"/>
                    <w:tr2bl w:val="nil"/>
                  </w:tcBorders>
                  <w:noWrap/>
                  <w:vAlign w:val="center"/>
                </w:tcPr>
                <w:p w14:paraId="6D3E945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Glyptothorax longjiangensis</w:t>
                  </w:r>
                </w:p>
              </w:tc>
            </w:tr>
            <w:tr w14:paraId="13733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2F4518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39</w:t>
                  </w:r>
                </w:p>
              </w:tc>
              <w:tc>
                <w:tcPr>
                  <w:tcW w:w="1365" w:type="pct"/>
                  <w:tcBorders>
                    <w:tl2br w:val="nil"/>
                    <w:tr2bl w:val="nil"/>
                  </w:tcBorders>
                  <w:noWrap/>
                  <w:vAlign w:val="center"/>
                </w:tcPr>
                <w:p w14:paraId="297F7F2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细斑纹胸鮡</w:t>
                  </w:r>
                </w:p>
              </w:tc>
              <w:tc>
                <w:tcPr>
                  <w:tcW w:w="2796" w:type="pct"/>
                  <w:tcBorders>
                    <w:tl2br w:val="nil"/>
                    <w:tr2bl w:val="nil"/>
                  </w:tcBorders>
                  <w:noWrap/>
                  <w:vAlign w:val="center"/>
                </w:tcPr>
                <w:p w14:paraId="0449A27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Glyptothorax minimaculatus</w:t>
                  </w:r>
                </w:p>
              </w:tc>
            </w:tr>
            <w:tr w14:paraId="5278DB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A71438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40</w:t>
                  </w:r>
                </w:p>
              </w:tc>
              <w:tc>
                <w:tcPr>
                  <w:tcW w:w="1365" w:type="pct"/>
                  <w:tcBorders>
                    <w:tl2br w:val="nil"/>
                    <w:tr2bl w:val="nil"/>
                  </w:tcBorders>
                  <w:noWrap/>
                  <w:vAlign w:val="center"/>
                </w:tcPr>
                <w:p w14:paraId="695103A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三线纹胸鮡</w:t>
                  </w:r>
                </w:p>
              </w:tc>
              <w:tc>
                <w:tcPr>
                  <w:tcW w:w="2796" w:type="pct"/>
                  <w:tcBorders>
                    <w:tl2br w:val="nil"/>
                    <w:tr2bl w:val="nil"/>
                  </w:tcBorders>
                  <w:noWrap/>
                  <w:vAlign w:val="center"/>
                </w:tcPr>
                <w:p w14:paraId="24247D6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Glyptothorax trilineatus</w:t>
                  </w:r>
                </w:p>
              </w:tc>
            </w:tr>
            <w:tr w14:paraId="767C0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0D5BE80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41</w:t>
                  </w:r>
                </w:p>
              </w:tc>
              <w:tc>
                <w:tcPr>
                  <w:tcW w:w="1365" w:type="pct"/>
                  <w:tcBorders>
                    <w:tl2br w:val="nil"/>
                    <w:tr2bl w:val="nil"/>
                  </w:tcBorders>
                  <w:noWrap/>
                  <w:vAlign w:val="center"/>
                </w:tcPr>
                <w:p w14:paraId="664B37C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细尾褶鮡</w:t>
                  </w:r>
                </w:p>
              </w:tc>
              <w:tc>
                <w:tcPr>
                  <w:tcW w:w="2796" w:type="pct"/>
                  <w:tcBorders>
                    <w:tl2br w:val="nil"/>
                    <w:tr2bl w:val="nil"/>
                  </w:tcBorders>
                  <w:noWrap/>
                  <w:vAlign w:val="center"/>
                </w:tcPr>
                <w:p w14:paraId="685CBFC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Pseudecheneis stenura</w:t>
                  </w:r>
                </w:p>
              </w:tc>
            </w:tr>
            <w:tr w14:paraId="1A81B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FD9FE8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42</w:t>
                  </w:r>
                </w:p>
              </w:tc>
              <w:tc>
                <w:tcPr>
                  <w:tcW w:w="1365" w:type="pct"/>
                  <w:tcBorders>
                    <w:tl2br w:val="nil"/>
                    <w:tr2bl w:val="nil"/>
                  </w:tcBorders>
                  <w:noWrap/>
                  <w:vAlign w:val="center"/>
                </w:tcPr>
                <w:p w14:paraId="2259F4C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粗尾褶鮡</w:t>
                  </w:r>
                </w:p>
              </w:tc>
              <w:tc>
                <w:tcPr>
                  <w:tcW w:w="2796" w:type="pct"/>
                  <w:tcBorders>
                    <w:tl2br w:val="nil"/>
                    <w:tr2bl w:val="nil"/>
                  </w:tcBorders>
                  <w:noWrap/>
                  <w:vAlign w:val="center"/>
                </w:tcPr>
                <w:p w14:paraId="60076AD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Pseudecheneis brachyurus</w:t>
                  </w:r>
                </w:p>
              </w:tc>
            </w:tr>
            <w:tr w14:paraId="7A9BA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BC4E74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43</w:t>
                  </w:r>
                </w:p>
              </w:tc>
              <w:tc>
                <w:tcPr>
                  <w:tcW w:w="1365" w:type="pct"/>
                  <w:tcBorders>
                    <w:tl2br w:val="nil"/>
                    <w:tr2bl w:val="nil"/>
                  </w:tcBorders>
                  <w:noWrap/>
                  <w:vAlign w:val="center"/>
                </w:tcPr>
                <w:p w14:paraId="06045BE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短鳍异鮡</w:t>
                  </w:r>
                </w:p>
              </w:tc>
              <w:tc>
                <w:tcPr>
                  <w:tcW w:w="2796" w:type="pct"/>
                  <w:tcBorders>
                    <w:tl2br w:val="nil"/>
                    <w:tr2bl w:val="nil"/>
                  </w:tcBorders>
                  <w:noWrap/>
                  <w:vAlign w:val="center"/>
                </w:tcPr>
                <w:p w14:paraId="5290232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Creteuchiloglanis brachypterus</w:t>
                  </w:r>
                </w:p>
              </w:tc>
            </w:tr>
            <w:tr w14:paraId="1F8C0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499D28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44</w:t>
                  </w:r>
                </w:p>
              </w:tc>
              <w:tc>
                <w:tcPr>
                  <w:tcW w:w="1365" w:type="pct"/>
                  <w:tcBorders>
                    <w:tl2br w:val="nil"/>
                    <w:tr2bl w:val="nil"/>
                  </w:tcBorders>
                  <w:noWrap/>
                  <w:vAlign w:val="center"/>
                </w:tcPr>
                <w:p w14:paraId="7036C0A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凿齿鮡</w:t>
                  </w:r>
                </w:p>
              </w:tc>
              <w:tc>
                <w:tcPr>
                  <w:tcW w:w="2796" w:type="pct"/>
                  <w:tcBorders>
                    <w:tl2br w:val="nil"/>
                    <w:tr2bl w:val="nil"/>
                  </w:tcBorders>
                  <w:noWrap/>
                  <w:vAlign w:val="center"/>
                </w:tcPr>
                <w:p w14:paraId="660D0EE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Glaridoglanis andersonii</w:t>
                  </w:r>
                </w:p>
              </w:tc>
            </w:tr>
            <w:tr w14:paraId="32A1D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13FD8A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45</w:t>
                  </w:r>
                </w:p>
              </w:tc>
              <w:tc>
                <w:tcPr>
                  <w:tcW w:w="1365" w:type="pct"/>
                  <w:tcBorders>
                    <w:tl2br w:val="nil"/>
                    <w:tr2bl w:val="nil"/>
                  </w:tcBorders>
                  <w:noWrap/>
                  <w:vAlign w:val="center"/>
                </w:tcPr>
                <w:p w14:paraId="7DBA357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藏鰋</w:t>
                  </w:r>
                </w:p>
              </w:tc>
              <w:tc>
                <w:tcPr>
                  <w:tcW w:w="2796" w:type="pct"/>
                  <w:tcBorders>
                    <w:tl2br w:val="nil"/>
                    <w:tr2bl w:val="nil"/>
                  </w:tcBorders>
                  <w:noWrap/>
                  <w:vAlign w:val="center"/>
                </w:tcPr>
                <w:p w14:paraId="29EB087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Exostoma labiatum</w:t>
                  </w:r>
                </w:p>
              </w:tc>
            </w:tr>
            <w:tr w14:paraId="31BB0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7" w:type="pct"/>
                  <w:tcBorders>
                    <w:tl2br w:val="nil"/>
                    <w:tr2bl w:val="nil"/>
                  </w:tcBorders>
                  <w:noWrap/>
                  <w:vAlign w:val="center"/>
                </w:tcPr>
                <w:p w14:paraId="407D25A2">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fldChar w:fldCharType="begin"/>
                  </w:r>
                  <w:r>
                    <w:rPr>
                      <w:rFonts w:hint="default" w:ascii="Times New Roman" w:hAnsi="Times New Roman" w:eastAsia="宋体" w:cs="Times New Roman"/>
                      <w:spacing w:val="6"/>
                      <w:sz w:val="21"/>
                      <w:szCs w:val="21"/>
                      <w:lang w:val="en-US" w:eastAsia="zh-CN"/>
                    </w:rPr>
                    <w:instrText xml:space="preserve"> = 4 \* ROMAN \* MERGEFORMAT </w:instrText>
                  </w:r>
                  <w:r>
                    <w:rPr>
                      <w:rFonts w:hint="default" w:ascii="Times New Roman" w:hAnsi="Times New Roman" w:eastAsia="宋体" w:cs="Times New Roman"/>
                      <w:spacing w:val="6"/>
                      <w:sz w:val="21"/>
                      <w:szCs w:val="21"/>
                      <w:lang w:val="en-US" w:eastAsia="zh-CN"/>
                    </w:rPr>
                    <w:fldChar w:fldCharType="separate"/>
                  </w:r>
                  <w:r>
                    <w:rPr>
                      <w:rFonts w:hint="default" w:ascii="Times New Roman" w:hAnsi="Times New Roman" w:eastAsia="宋体" w:cs="Times New Roman"/>
                      <w:spacing w:val="6"/>
                      <w:sz w:val="21"/>
                      <w:szCs w:val="21"/>
                      <w:lang w:val="en-US" w:eastAsia="zh-CN"/>
                    </w:rPr>
                    <w:t>IV</w:t>
                  </w:r>
                  <w:r>
                    <w:rPr>
                      <w:rFonts w:hint="default" w:ascii="Times New Roman" w:hAnsi="Times New Roman" w:eastAsia="宋体" w:cs="Times New Roman"/>
                      <w:spacing w:val="6"/>
                      <w:sz w:val="21"/>
                      <w:szCs w:val="21"/>
                      <w:lang w:val="en-US" w:eastAsia="zh-CN"/>
                    </w:rPr>
                    <w:fldChar w:fldCharType="end"/>
                  </w:r>
                </w:p>
              </w:tc>
              <w:tc>
                <w:tcPr>
                  <w:tcW w:w="1365" w:type="pct"/>
                  <w:tcBorders>
                    <w:tl2br w:val="nil"/>
                    <w:tr2bl w:val="nil"/>
                  </w:tcBorders>
                  <w:noWrap/>
                  <w:vAlign w:val="center"/>
                </w:tcPr>
                <w:p w14:paraId="32A8808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合鳃鱼目</w:t>
                  </w:r>
                </w:p>
              </w:tc>
              <w:tc>
                <w:tcPr>
                  <w:tcW w:w="2796" w:type="pct"/>
                  <w:tcBorders>
                    <w:tl2br w:val="nil"/>
                    <w:tr2bl w:val="nil"/>
                  </w:tcBorders>
                  <w:noWrap/>
                  <w:vAlign w:val="center"/>
                </w:tcPr>
                <w:p w14:paraId="129B614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SYNBRANCHIFORMES</w:t>
                  </w:r>
                </w:p>
              </w:tc>
            </w:tr>
            <w:tr w14:paraId="28551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61667DC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八</w:t>
                  </w:r>
                </w:p>
              </w:tc>
              <w:tc>
                <w:tcPr>
                  <w:tcW w:w="1365" w:type="pct"/>
                  <w:tcBorders>
                    <w:tl2br w:val="nil"/>
                    <w:tr2bl w:val="nil"/>
                  </w:tcBorders>
                  <w:noWrap/>
                  <w:vAlign w:val="center"/>
                </w:tcPr>
                <w:p w14:paraId="10DCDB4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合鳃鱼科</w:t>
                  </w:r>
                </w:p>
              </w:tc>
              <w:tc>
                <w:tcPr>
                  <w:tcW w:w="2796" w:type="pct"/>
                  <w:tcBorders>
                    <w:tl2br w:val="nil"/>
                    <w:tr2bl w:val="nil"/>
                  </w:tcBorders>
                  <w:noWrap/>
                  <w:vAlign w:val="center"/>
                </w:tcPr>
                <w:p w14:paraId="1BDEA75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Synbranchidae</w:t>
                  </w:r>
                </w:p>
              </w:tc>
            </w:tr>
            <w:tr w14:paraId="4ADC2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6AF506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46</w:t>
                  </w:r>
                </w:p>
              </w:tc>
              <w:tc>
                <w:tcPr>
                  <w:tcW w:w="1365" w:type="pct"/>
                  <w:tcBorders>
                    <w:tl2br w:val="nil"/>
                    <w:tr2bl w:val="nil"/>
                  </w:tcBorders>
                  <w:noWrap/>
                  <w:vAlign w:val="center"/>
                </w:tcPr>
                <w:p w14:paraId="29F7314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黄鳝</w:t>
                  </w:r>
                </w:p>
              </w:tc>
              <w:tc>
                <w:tcPr>
                  <w:tcW w:w="2796" w:type="pct"/>
                  <w:tcBorders>
                    <w:tl2br w:val="nil"/>
                    <w:tr2bl w:val="nil"/>
                  </w:tcBorders>
                  <w:noWrap/>
                  <w:vAlign w:val="center"/>
                </w:tcPr>
                <w:p w14:paraId="4C5C1E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Monopterus albus</w:t>
                  </w:r>
                </w:p>
              </w:tc>
            </w:tr>
            <w:tr w14:paraId="24EFE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1F49C8B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九</w:t>
                  </w:r>
                </w:p>
              </w:tc>
              <w:tc>
                <w:tcPr>
                  <w:tcW w:w="1365" w:type="pct"/>
                  <w:tcBorders>
                    <w:tl2br w:val="nil"/>
                    <w:tr2bl w:val="nil"/>
                  </w:tcBorders>
                  <w:noWrap/>
                  <w:vAlign w:val="center"/>
                </w:tcPr>
                <w:p w14:paraId="45E35A0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刺鳅科</w:t>
                  </w:r>
                </w:p>
              </w:tc>
              <w:tc>
                <w:tcPr>
                  <w:tcW w:w="2796" w:type="pct"/>
                  <w:tcBorders>
                    <w:tl2br w:val="nil"/>
                    <w:tr2bl w:val="nil"/>
                  </w:tcBorders>
                  <w:noWrap/>
                  <w:vAlign w:val="center"/>
                </w:tcPr>
                <w:p w14:paraId="5F66A22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Mastacembelidae</w:t>
                  </w:r>
                </w:p>
              </w:tc>
            </w:tr>
            <w:tr w14:paraId="5D79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3C48F16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47</w:t>
                  </w:r>
                </w:p>
              </w:tc>
              <w:tc>
                <w:tcPr>
                  <w:tcW w:w="1365" w:type="pct"/>
                  <w:tcBorders>
                    <w:tl2br w:val="nil"/>
                    <w:tr2bl w:val="nil"/>
                  </w:tcBorders>
                  <w:noWrap/>
                  <w:vAlign w:val="center"/>
                </w:tcPr>
                <w:p w14:paraId="1A20DD5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云斑刺鳅</w:t>
                  </w:r>
                </w:p>
              </w:tc>
              <w:tc>
                <w:tcPr>
                  <w:tcW w:w="2796" w:type="pct"/>
                  <w:tcBorders>
                    <w:tl2br w:val="nil"/>
                    <w:tr2bl w:val="nil"/>
                  </w:tcBorders>
                  <w:noWrap/>
                  <w:vAlign w:val="center"/>
                </w:tcPr>
                <w:p w14:paraId="22DCC25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Mastacembelus oatesii</w:t>
                  </w:r>
                </w:p>
              </w:tc>
            </w:tr>
            <w:tr w14:paraId="43163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4CA0DE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48</w:t>
                  </w:r>
                </w:p>
              </w:tc>
              <w:tc>
                <w:tcPr>
                  <w:tcW w:w="1365" w:type="pct"/>
                  <w:tcBorders>
                    <w:tl2br w:val="nil"/>
                    <w:tr2bl w:val="nil"/>
                  </w:tcBorders>
                  <w:noWrap/>
                  <w:vAlign w:val="center"/>
                </w:tcPr>
                <w:p w14:paraId="55B0404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大刺鳅</w:t>
                  </w:r>
                </w:p>
              </w:tc>
              <w:tc>
                <w:tcPr>
                  <w:tcW w:w="2796" w:type="pct"/>
                  <w:tcBorders>
                    <w:tl2br w:val="nil"/>
                    <w:tr2bl w:val="nil"/>
                  </w:tcBorders>
                  <w:noWrap/>
                  <w:vAlign w:val="center"/>
                </w:tcPr>
                <w:p w14:paraId="13D022E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Mastacembelus armatus</w:t>
                  </w:r>
                </w:p>
              </w:tc>
            </w:tr>
            <w:tr w14:paraId="01A8C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7" w:type="pct"/>
                  <w:tcBorders>
                    <w:tl2br w:val="nil"/>
                    <w:tr2bl w:val="nil"/>
                  </w:tcBorders>
                  <w:noWrap/>
                  <w:vAlign w:val="center"/>
                </w:tcPr>
                <w:p w14:paraId="1A2FDFB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fldChar w:fldCharType="begin"/>
                  </w:r>
                  <w:r>
                    <w:rPr>
                      <w:rFonts w:hint="default" w:ascii="Times New Roman" w:hAnsi="Times New Roman" w:eastAsia="宋体" w:cs="Times New Roman"/>
                      <w:spacing w:val="6"/>
                      <w:sz w:val="21"/>
                      <w:szCs w:val="21"/>
                      <w:lang w:val="en-US" w:eastAsia="zh-CN"/>
                    </w:rPr>
                    <w:instrText xml:space="preserve"> = 5 \* ROMAN \* MERGEFORMAT </w:instrText>
                  </w:r>
                  <w:r>
                    <w:rPr>
                      <w:rFonts w:hint="default" w:ascii="Times New Roman" w:hAnsi="Times New Roman" w:eastAsia="宋体" w:cs="Times New Roman"/>
                      <w:spacing w:val="6"/>
                      <w:sz w:val="21"/>
                      <w:szCs w:val="21"/>
                      <w:lang w:val="en-US" w:eastAsia="zh-CN"/>
                    </w:rPr>
                    <w:fldChar w:fldCharType="separate"/>
                  </w:r>
                  <w:r>
                    <w:rPr>
                      <w:rFonts w:hint="default" w:ascii="Times New Roman" w:hAnsi="Times New Roman" w:eastAsia="宋体" w:cs="Times New Roman"/>
                      <w:spacing w:val="6"/>
                      <w:sz w:val="21"/>
                      <w:szCs w:val="21"/>
                      <w:lang w:val="en-US" w:eastAsia="zh-CN"/>
                    </w:rPr>
                    <w:t>V</w:t>
                  </w:r>
                  <w:r>
                    <w:rPr>
                      <w:rFonts w:hint="default" w:ascii="Times New Roman" w:hAnsi="Times New Roman" w:eastAsia="宋体" w:cs="Times New Roman"/>
                      <w:spacing w:val="6"/>
                      <w:sz w:val="21"/>
                      <w:szCs w:val="21"/>
                      <w:lang w:val="en-US" w:eastAsia="zh-CN"/>
                    </w:rPr>
                    <w:fldChar w:fldCharType="end"/>
                  </w:r>
                </w:p>
              </w:tc>
              <w:tc>
                <w:tcPr>
                  <w:tcW w:w="1365" w:type="pct"/>
                  <w:tcBorders>
                    <w:tl2br w:val="nil"/>
                    <w:tr2bl w:val="nil"/>
                  </w:tcBorders>
                  <w:noWrap/>
                  <w:vAlign w:val="center"/>
                </w:tcPr>
                <w:p w14:paraId="0EE37D0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鲈形目</w:t>
                  </w:r>
                </w:p>
              </w:tc>
              <w:tc>
                <w:tcPr>
                  <w:tcW w:w="2796" w:type="pct"/>
                  <w:tcBorders>
                    <w:tl2br w:val="nil"/>
                    <w:tr2bl w:val="nil"/>
                  </w:tcBorders>
                  <w:noWrap/>
                  <w:vAlign w:val="center"/>
                </w:tcPr>
                <w:p w14:paraId="0992194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PERCIFORMES</w:t>
                  </w:r>
                </w:p>
              </w:tc>
            </w:tr>
            <w:tr w14:paraId="134A2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64F8CEE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w:t>
                  </w:r>
                </w:p>
              </w:tc>
              <w:tc>
                <w:tcPr>
                  <w:tcW w:w="1365" w:type="pct"/>
                  <w:tcBorders>
                    <w:tl2br w:val="nil"/>
                    <w:tr2bl w:val="nil"/>
                  </w:tcBorders>
                  <w:noWrap/>
                  <w:vAlign w:val="center"/>
                </w:tcPr>
                <w:p w14:paraId="283613C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变色鲈科</w:t>
                  </w:r>
                </w:p>
              </w:tc>
              <w:tc>
                <w:tcPr>
                  <w:tcW w:w="2796" w:type="pct"/>
                  <w:tcBorders>
                    <w:tl2br w:val="nil"/>
                    <w:tr2bl w:val="nil"/>
                  </w:tcBorders>
                  <w:noWrap/>
                  <w:vAlign w:val="center"/>
                </w:tcPr>
                <w:p w14:paraId="564A6AE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 xml:space="preserve">Badidae </w:t>
                  </w:r>
                </w:p>
              </w:tc>
            </w:tr>
            <w:tr w14:paraId="47CB2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18A47CD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49</w:t>
                  </w:r>
                </w:p>
              </w:tc>
              <w:tc>
                <w:tcPr>
                  <w:tcW w:w="1365" w:type="pct"/>
                  <w:tcBorders>
                    <w:tl2br w:val="nil"/>
                    <w:tr2bl w:val="nil"/>
                  </w:tcBorders>
                  <w:noWrap/>
                  <w:vAlign w:val="center"/>
                </w:tcPr>
                <w:p w14:paraId="6CE8D03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大盈江黛鲈</w:t>
                  </w:r>
                </w:p>
              </w:tc>
              <w:tc>
                <w:tcPr>
                  <w:tcW w:w="2796" w:type="pct"/>
                  <w:tcBorders>
                    <w:tl2br w:val="nil"/>
                    <w:tr2bl w:val="nil"/>
                  </w:tcBorders>
                  <w:noWrap/>
                  <w:vAlign w:val="center"/>
                </w:tcPr>
                <w:p w14:paraId="2258A59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Dario dayingensis</w:t>
                  </w:r>
                </w:p>
              </w:tc>
            </w:tr>
            <w:tr w14:paraId="27D85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36E3A96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十一</w:t>
                  </w:r>
                </w:p>
              </w:tc>
              <w:tc>
                <w:tcPr>
                  <w:tcW w:w="1365" w:type="pct"/>
                  <w:tcBorders>
                    <w:tl2br w:val="nil"/>
                    <w:tr2bl w:val="nil"/>
                  </w:tcBorders>
                  <w:noWrap/>
                  <w:vAlign w:val="center"/>
                </w:tcPr>
                <w:p w14:paraId="7ABEF5E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丽鱼科</w:t>
                  </w:r>
                </w:p>
              </w:tc>
              <w:tc>
                <w:tcPr>
                  <w:tcW w:w="2796" w:type="pct"/>
                  <w:tcBorders>
                    <w:tl2br w:val="nil"/>
                    <w:tr2bl w:val="nil"/>
                  </w:tcBorders>
                  <w:noWrap w:val="0"/>
                  <w:vAlign w:val="center"/>
                </w:tcPr>
                <w:p w14:paraId="640CCA2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Cichlidae</w:t>
                  </w:r>
                </w:p>
              </w:tc>
            </w:tr>
            <w:tr w14:paraId="0DD41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5B5849D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50</w:t>
                  </w:r>
                </w:p>
              </w:tc>
              <w:tc>
                <w:tcPr>
                  <w:tcW w:w="1365" w:type="pct"/>
                  <w:tcBorders>
                    <w:tl2br w:val="nil"/>
                    <w:tr2bl w:val="nil"/>
                  </w:tcBorders>
                  <w:noWrap w:val="0"/>
                  <w:vAlign w:val="center"/>
                </w:tcPr>
                <w:p w14:paraId="2A08A74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奥利亚罗非鱼</w:t>
                  </w:r>
                </w:p>
              </w:tc>
              <w:tc>
                <w:tcPr>
                  <w:tcW w:w="2796" w:type="pct"/>
                  <w:tcBorders>
                    <w:tl2br w:val="nil"/>
                    <w:tr2bl w:val="nil"/>
                  </w:tcBorders>
                  <w:noWrap w:val="0"/>
                  <w:vAlign w:val="center"/>
                </w:tcPr>
                <w:p w14:paraId="3AA21A5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Tilapia aureus</w:t>
                  </w:r>
                </w:p>
              </w:tc>
            </w:tr>
            <w:tr w14:paraId="3B49C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46E3772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十二</w:t>
                  </w:r>
                </w:p>
              </w:tc>
              <w:tc>
                <w:tcPr>
                  <w:tcW w:w="1365" w:type="pct"/>
                  <w:tcBorders>
                    <w:tl2br w:val="nil"/>
                    <w:tr2bl w:val="nil"/>
                  </w:tcBorders>
                  <w:noWrap/>
                  <w:vAlign w:val="center"/>
                </w:tcPr>
                <w:p w14:paraId="68BD17E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鳢科</w:t>
                  </w:r>
                </w:p>
              </w:tc>
              <w:tc>
                <w:tcPr>
                  <w:tcW w:w="2796" w:type="pct"/>
                  <w:tcBorders>
                    <w:tl2br w:val="nil"/>
                    <w:tr2bl w:val="nil"/>
                  </w:tcBorders>
                  <w:noWrap/>
                  <w:vAlign w:val="center"/>
                </w:tcPr>
                <w:p w14:paraId="5E74D5C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Channidae</w:t>
                  </w:r>
                </w:p>
              </w:tc>
            </w:tr>
            <w:tr w14:paraId="78A89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6D54704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51</w:t>
                  </w:r>
                </w:p>
              </w:tc>
              <w:tc>
                <w:tcPr>
                  <w:tcW w:w="1365" w:type="pct"/>
                  <w:tcBorders>
                    <w:tl2br w:val="nil"/>
                    <w:tr2bl w:val="nil"/>
                  </w:tcBorders>
                  <w:noWrap/>
                  <w:vAlign w:val="center"/>
                </w:tcPr>
                <w:p w14:paraId="0E67726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宽额鳢</w:t>
                  </w:r>
                </w:p>
              </w:tc>
              <w:tc>
                <w:tcPr>
                  <w:tcW w:w="2796" w:type="pct"/>
                  <w:tcBorders>
                    <w:tl2br w:val="nil"/>
                    <w:tr2bl w:val="nil"/>
                  </w:tcBorders>
                  <w:noWrap/>
                  <w:vAlign w:val="center"/>
                </w:tcPr>
                <w:p w14:paraId="16E2A7C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Channa gachua</w:t>
                  </w:r>
                </w:p>
              </w:tc>
            </w:tr>
            <w:tr w14:paraId="5AF09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4FD784F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十三</w:t>
                  </w:r>
                </w:p>
              </w:tc>
              <w:tc>
                <w:tcPr>
                  <w:tcW w:w="1365" w:type="pct"/>
                  <w:tcBorders>
                    <w:tl2br w:val="nil"/>
                    <w:tr2bl w:val="nil"/>
                  </w:tcBorders>
                  <w:noWrap/>
                  <w:vAlign w:val="center"/>
                </w:tcPr>
                <w:p w14:paraId="5CFAD7C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沙塘鳢科</w:t>
                  </w:r>
                </w:p>
              </w:tc>
              <w:tc>
                <w:tcPr>
                  <w:tcW w:w="2796" w:type="pct"/>
                  <w:tcBorders>
                    <w:tl2br w:val="nil"/>
                    <w:tr2bl w:val="nil"/>
                  </w:tcBorders>
                  <w:noWrap/>
                  <w:vAlign w:val="center"/>
                </w:tcPr>
                <w:p w14:paraId="00610D6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Odontobutidae</w:t>
                  </w:r>
                </w:p>
              </w:tc>
            </w:tr>
            <w:tr w14:paraId="1C54B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709CCAC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52</w:t>
                  </w:r>
                </w:p>
              </w:tc>
              <w:tc>
                <w:tcPr>
                  <w:tcW w:w="1365" w:type="pct"/>
                  <w:tcBorders>
                    <w:tl2br w:val="nil"/>
                    <w:tr2bl w:val="nil"/>
                  </w:tcBorders>
                  <w:noWrap/>
                  <w:vAlign w:val="center"/>
                </w:tcPr>
                <w:p w14:paraId="4AF76FA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小黄䱂鱼</w:t>
                  </w:r>
                </w:p>
              </w:tc>
              <w:tc>
                <w:tcPr>
                  <w:tcW w:w="2796" w:type="pct"/>
                  <w:tcBorders>
                    <w:tl2br w:val="nil"/>
                    <w:tr2bl w:val="nil"/>
                  </w:tcBorders>
                  <w:noWrap/>
                  <w:vAlign w:val="center"/>
                </w:tcPr>
                <w:p w14:paraId="05E8980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Micropercops swinhonis</w:t>
                  </w:r>
                </w:p>
              </w:tc>
            </w:tr>
            <w:tr w14:paraId="29CCB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7" w:type="pct"/>
                  <w:tcBorders>
                    <w:tl2br w:val="nil"/>
                    <w:tr2bl w:val="nil"/>
                  </w:tcBorders>
                  <w:noWrap/>
                  <w:vAlign w:val="center"/>
                </w:tcPr>
                <w:p w14:paraId="240AEAE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十四</w:t>
                  </w:r>
                </w:p>
              </w:tc>
              <w:tc>
                <w:tcPr>
                  <w:tcW w:w="1365" w:type="pct"/>
                  <w:tcBorders>
                    <w:tl2br w:val="nil"/>
                    <w:tr2bl w:val="nil"/>
                  </w:tcBorders>
                  <w:noWrap/>
                  <w:vAlign w:val="center"/>
                </w:tcPr>
                <w:p w14:paraId="25A6F97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鰕虎鱼科</w:t>
                  </w:r>
                </w:p>
              </w:tc>
              <w:tc>
                <w:tcPr>
                  <w:tcW w:w="2796" w:type="pct"/>
                  <w:tcBorders>
                    <w:tl2br w:val="nil"/>
                    <w:tr2bl w:val="nil"/>
                  </w:tcBorders>
                  <w:noWrap w:val="0"/>
                  <w:vAlign w:val="center"/>
                </w:tcPr>
                <w:p w14:paraId="3ED4232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Gobiidae</w:t>
                  </w:r>
                </w:p>
              </w:tc>
            </w:tr>
            <w:tr w14:paraId="552CD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37" w:type="pct"/>
                  <w:tcBorders>
                    <w:tl2br w:val="nil"/>
                    <w:tr2bl w:val="nil"/>
                  </w:tcBorders>
                  <w:noWrap/>
                  <w:vAlign w:val="center"/>
                </w:tcPr>
                <w:p w14:paraId="4D30C4C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53</w:t>
                  </w:r>
                </w:p>
              </w:tc>
              <w:tc>
                <w:tcPr>
                  <w:tcW w:w="1365" w:type="pct"/>
                  <w:tcBorders>
                    <w:tl2br w:val="nil"/>
                    <w:tr2bl w:val="nil"/>
                  </w:tcBorders>
                  <w:noWrap w:val="0"/>
                  <w:vAlign w:val="center"/>
                </w:tcPr>
                <w:p w14:paraId="703A062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子陵吻鰕虎鱼</w:t>
                  </w:r>
                </w:p>
              </w:tc>
              <w:tc>
                <w:tcPr>
                  <w:tcW w:w="2796" w:type="pct"/>
                  <w:tcBorders>
                    <w:tl2br w:val="nil"/>
                    <w:tr2bl w:val="nil"/>
                  </w:tcBorders>
                  <w:noWrap w:val="0"/>
                  <w:vAlign w:val="center"/>
                </w:tcPr>
                <w:p w14:paraId="496549C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i/>
                      <w:iCs/>
                      <w:spacing w:val="6"/>
                      <w:sz w:val="21"/>
                      <w:szCs w:val="21"/>
                      <w:lang w:val="en-US" w:eastAsia="zh-CN"/>
                    </w:rPr>
                  </w:pPr>
                  <w:r>
                    <w:rPr>
                      <w:rFonts w:hint="default" w:ascii="Times New Roman" w:hAnsi="Times New Roman" w:eastAsia="仿宋" w:cs="Times New Roman"/>
                      <w:i/>
                      <w:iCs/>
                      <w:spacing w:val="6"/>
                      <w:sz w:val="21"/>
                      <w:szCs w:val="21"/>
                      <w:lang w:val="en-US" w:eastAsia="zh-CN"/>
                    </w:rPr>
                    <w:t>Rhinogobius giurinus</w:t>
                  </w:r>
                </w:p>
              </w:tc>
            </w:tr>
          </w:tbl>
          <w:p w14:paraId="3A020E49">
            <w:pPr>
              <w:bidi w:val="0"/>
              <w:rPr>
                <w:rFonts w:hint="default" w:ascii="Times New Roman" w:hAnsi="Times New Roman" w:cs="Times New Roman"/>
                <w:color w:val="000000"/>
              </w:rPr>
            </w:pPr>
            <w:r>
              <w:rPr>
                <w:rFonts w:hint="default" w:ascii="Times New Roman" w:hAnsi="Times New Roman" w:cs="Times New Roman"/>
                <w:color w:val="000000"/>
              </w:rPr>
              <w:t>评价</w:t>
            </w:r>
            <w:r>
              <w:rPr>
                <w:rFonts w:hint="default" w:ascii="Times New Roman" w:hAnsi="Times New Roman" w:cs="Times New Roman"/>
                <w:color w:val="000000"/>
                <w:lang w:val="en-US" w:eastAsia="zh-CN"/>
              </w:rPr>
              <w:t>河</w:t>
            </w:r>
            <w:r>
              <w:rPr>
                <w:rFonts w:hint="default" w:ascii="Times New Roman" w:hAnsi="Times New Roman" w:cs="Times New Roman"/>
                <w:color w:val="000000"/>
              </w:rPr>
              <w:t>段鱼类主要为急流和流水生态类型，评价</w:t>
            </w:r>
            <w:r>
              <w:rPr>
                <w:rFonts w:hint="default" w:ascii="Times New Roman" w:hAnsi="Times New Roman" w:cs="Times New Roman"/>
                <w:color w:val="000000"/>
                <w:lang w:val="en-US" w:eastAsia="zh-CN"/>
              </w:rPr>
              <w:t>河</w:t>
            </w:r>
            <w:r>
              <w:rPr>
                <w:rFonts w:hint="default" w:ascii="Times New Roman" w:hAnsi="Times New Roman" w:cs="Times New Roman"/>
                <w:color w:val="000000"/>
              </w:rPr>
              <w:t>段有良好的流水生境，基底完整，水质较优良，开发程度低，分布的鱼类主要为刮食性、底栖食性的种类。产卵类型多为产粘性和沉性卵的种类，繁殖季节为2～9月，主要繁殖时间为3～7月。</w:t>
            </w:r>
          </w:p>
          <w:p w14:paraId="7C052331">
            <w:pPr>
              <w:bidi w:val="0"/>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lang w:eastAsia="zh-CN"/>
              </w:rPr>
              <w:t>（</w:t>
            </w:r>
            <w:r>
              <w:rPr>
                <w:rFonts w:hint="default" w:ascii="Times New Roman" w:hAnsi="Times New Roman" w:eastAsia="宋体" w:cs="Times New Roman"/>
                <w:b/>
                <w:bCs/>
                <w:color w:val="000000"/>
                <w:lang w:val="en-US" w:eastAsia="zh-CN"/>
              </w:rPr>
              <w:t>5</w:t>
            </w:r>
            <w:r>
              <w:rPr>
                <w:rFonts w:hint="default" w:ascii="Times New Roman" w:hAnsi="Times New Roman" w:eastAsia="宋体" w:cs="Times New Roman"/>
                <w:b/>
                <w:bCs/>
                <w:color w:val="000000"/>
                <w:lang w:eastAsia="zh-CN"/>
              </w:rPr>
              <w:t>）珍稀特有鱼类</w:t>
            </w:r>
          </w:p>
          <w:p w14:paraId="71F9AED1">
            <w:pPr>
              <w:spacing w:line="360" w:lineRule="auto"/>
              <w:ind w:firstLine="480" w:firstLineChars="200"/>
              <w:rPr>
                <w:rFonts w:hint="eastAsia" w:ascii="Times New Roman" w:hAnsi="Times New Roman" w:cs="Times New Roman"/>
                <w:b/>
                <w:bCs w:val="0"/>
                <w:color w:val="auto"/>
                <w:kern w:val="0"/>
                <w:sz w:val="24"/>
                <w:lang w:val="en-US" w:eastAsia="zh-CN"/>
              </w:rPr>
            </w:pPr>
            <w:r>
              <w:rPr>
                <w:rFonts w:hint="default" w:ascii="Times New Roman" w:hAnsi="Times New Roman" w:eastAsia="宋体" w:cs="Times New Roman"/>
                <w:color w:val="auto"/>
                <w:lang w:val="en-US" w:eastAsia="zh-CN"/>
              </w:rPr>
              <w:t>本项目治理段</w:t>
            </w:r>
            <w:r>
              <w:rPr>
                <w:rFonts w:hint="default" w:ascii="Times New Roman" w:hAnsi="Times New Roman" w:eastAsia="宋体" w:cs="Times New Roman"/>
                <w:color w:val="auto"/>
                <w:kern w:val="0"/>
                <w:sz w:val="24"/>
              </w:rPr>
              <w:t>无国家级及云南省级保护鱼类分布</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aps w:val="0"/>
                <w:smallCaps w:val="0"/>
                <w:color w:val="auto"/>
                <w:sz w:val="24"/>
                <w:szCs w:val="24"/>
              </w:rPr>
              <w:t>无洄游性鱼类</w:t>
            </w:r>
            <w:r>
              <w:rPr>
                <w:rFonts w:hint="default" w:ascii="Times New Roman" w:hAnsi="Times New Roman" w:eastAsia="宋体" w:cs="Times New Roman"/>
                <w:caps w:val="0"/>
                <w:smallCaps w:val="0"/>
                <w:color w:val="auto"/>
                <w:sz w:val="24"/>
                <w:szCs w:val="24"/>
                <w:lang w:eastAsia="zh-CN"/>
              </w:rPr>
              <w:t>。</w:t>
            </w:r>
          </w:p>
          <w:p w14:paraId="0FA03232">
            <w:pPr>
              <w:adjustRightInd w:val="0"/>
              <w:snapToGrid w:val="0"/>
              <w:spacing w:line="360" w:lineRule="auto"/>
              <w:ind w:firstLine="482" w:firstLineChars="200"/>
              <w:rPr>
                <w:rFonts w:hint="default" w:ascii="Times New Roman" w:hAnsi="Times New Roman" w:eastAsia="宋体" w:cs="Times New Roman"/>
                <w:b/>
                <w:bCs w:val="0"/>
                <w:color w:val="auto"/>
                <w:kern w:val="0"/>
                <w:sz w:val="24"/>
                <w:lang w:val="en-US" w:eastAsia="zh-CN"/>
              </w:rPr>
            </w:pPr>
            <w:r>
              <w:rPr>
                <w:rFonts w:hint="eastAsia" w:ascii="Times New Roman" w:hAnsi="Times New Roman" w:cs="Times New Roman"/>
                <w:b/>
                <w:bCs w:val="0"/>
                <w:color w:val="auto"/>
                <w:kern w:val="0"/>
                <w:sz w:val="24"/>
                <w:lang w:val="en-US" w:eastAsia="zh-CN"/>
              </w:rPr>
              <w:t>三</w:t>
            </w:r>
            <w:r>
              <w:rPr>
                <w:rFonts w:hint="default" w:ascii="Times New Roman" w:hAnsi="Times New Roman" w:eastAsia="宋体" w:cs="Times New Roman"/>
                <w:b/>
                <w:bCs w:val="0"/>
                <w:color w:val="auto"/>
                <w:kern w:val="0"/>
                <w:sz w:val="24"/>
                <w:lang w:val="en-US" w:eastAsia="zh-CN"/>
              </w:rPr>
              <w:t>、水土流失现状</w:t>
            </w:r>
          </w:p>
          <w:p w14:paraId="50FBCF1D">
            <w:pPr>
              <w:rPr>
                <w:rFonts w:hint="default" w:ascii="Times New Roman" w:hAnsi="Times New Roman" w:eastAsia="宋体" w:cs="Times New Roman"/>
                <w:b w:val="0"/>
                <w:bCs/>
                <w:color w:val="auto"/>
                <w:kern w:val="0"/>
                <w:sz w:val="24"/>
                <w:lang w:val="en-US" w:eastAsia="zh-CN"/>
              </w:rPr>
            </w:pPr>
            <w:r>
              <w:rPr>
                <w:rFonts w:hint="eastAsia" w:cs="Times New Roman"/>
                <w:b w:val="0"/>
                <w:bCs/>
                <w:color w:val="auto"/>
                <w:kern w:val="0"/>
                <w:sz w:val="24"/>
                <w:lang w:val="en-US" w:eastAsia="zh-CN"/>
              </w:rPr>
              <w:t>（1）水土流失预测</w:t>
            </w:r>
          </w:p>
          <w:p w14:paraId="501F332C">
            <w:pPr>
              <w:rPr>
                <w:rFonts w:hint="default" w:ascii="Times New Roman" w:hAnsi="Times New Roman" w:eastAsia="宋体" w:cs="Times New Roman"/>
                <w:b w:val="0"/>
                <w:bCs/>
                <w:color w:val="auto"/>
                <w:kern w:val="0"/>
                <w:sz w:val="24"/>
              </w:rPr>
            </w:pPr>
            <w:r>
              <w:rPr>
                <w:rFonts w:hint="eastAsia" w:cs="Times New Roman"/>
                <w:b w:val="0"/>
                <w:bCs/>
                <w:color w:val="auto"/>
                <w:kern w:val="0"/>
                <w:sz w:val="24"/>
                <w:lang w:val="en-US" w:eastAsia="zh-CN"/>
              </w:rPr>
              <w:t>根据</w:t>
            </w:r>
            <w:r>
              <w:rPr>
                <w:rFonts w:hint="default" w:ascii="Times New Roman" w:hAnsi="Times New Roman" w:eastAsia="宋体" w:cs="Times New Roman"/>
                <w:b w:val="0"/>
                <w:bCs/>
                <w:color w:val="auto"/>
                <w:kern w:val="0"/>
                <w:sz w:val="24"/>
                <w:lang w:val="en-US" w:eastAsia="zh-CN"/>
              </w:rPr>
              <w:t>芒市大河新桥电站至洞坎大桥段河道治理工程施工土石方平衡分析</w:t>
            </w:r>
            <w:r>
              <w:rPr>
                <w:rFonts w:hint="eastAsia" w:cs="Times New Roman"/>
                <w:b w:val="0"/>
                <w:bCs/>
                <w:color w:val="auto"/>
                <w:kern w:val="0"/>
                <w:sz w:val="24"/>
                <w:lang w:val="en-US" w:eastAsia="zh-CN"/>
              </w:rPr>
              <w:t>，</w:t>
            </w:r>
            <w:r>
              <w:rPr>
                <w:rFonts w:hint="default" w:ascii="Times New Roman" w:hAnsi="Times New Roman" w:eastAsia="宋体" w:cs="Times New Roman"/>
                <w:b w:val="0"/>
                <w:bCs/>
                <w:color w:val="auto"/>
                <w:kern w:val="0"/>
                <w:sz w:val="24"/>
                <w:lang w:val="en-US" w:eastAsia="zh-CN"/>
              </w:rPr>
              <w:t xml:space="preserve">包括堤防建设区、施工生产生活区、临时道路区。土石方平衡涉及项目包括土方开挖、石方开挖和开挖料回填等。 </w:t>
            </w:r>
            <w:r>
              <w:rPr>
                <w:rFonts w:hint="eastAsia" w:cs="Times New Roman"/>
                <w:b w:val="0"/>
                <w:bCs/>
                <w:color w:val="auto"/>
                <w:kern w:val="0"/>
                <w:sz w:val="24"/>
                <w:lang w:val="en-US" w:eastAsia="zh-CN"/>
              </w:rPr>
              <w:t>施工共计开挖</w:t>
            </w:r>
            <w:r>
              <w:rPr>
                <w:rFonts w:hint="default" w:ascii="Times New Roman" w:hAnsi="Times New Roman" w:eastAsia="宋体" w:cs="Times New Roman"/>
                <w:b w:val="0"/>
                <w:bCs/>
                <w:color w:val="auto"/>
                <w:kern w:val="0"/>
                <w:sz w:val="24"/>
                <w:lang w:val="en-US" w:eastAsia="zh-CN"/>
              </w:rPr>
              <w:t>土石方35116.35 m³（包括砂砾土25249.68 m³和表土9866.67 m³），综合回填利用土石方35116.34 m³（其中建筑物回填25249.68 m³，表土利用9866.67 m³），产生弃渣0m³。</w:t>
            </w:r>
          </w:p>
          <w:p w14:paraId="7F929169">
            <w:pPr>
              <w:rPr>
                <w:rFonts w:hint="default" w:ascii="Times New Roman" w:hAnsi="Times New Roman" w:eastAsia="宋体" w:cs="Times New Roman"/>
                <w:b w:val="0"/>
                <w:bCs/>
                <w:color w:val="auto"/>
                <w:kern w:val="0"/>
                <w:sz w:val="24"/>
              </w:rPr>
            </w:pPr>
            <w:r>
              <w:rPr>
                <w:rFonts w:hint="default" w:ascii="Times New Roman" w:hAnsi="Times New Roman" w:eastAsia="宋体" w:cs="Times New Roman"/>
                <w:b w:val="0"/>
                <w:bCs/>
                <w:color w:val="auto"/>
                <w:kern w:val="0"/>
                <w:sz w:val="24"/>
                <w:lang w:val="en-US" w:eastAsia="zh-CN"/>
              </w:rPr>
              <w:t>根据《开发建设项目水土流失防治标准》，项目区属于芒市城市防洪治理河段。该区水土流失治理要坚持预防为主、保护优先的方针，项目区以水力侵蚀为主，因此水土流失防治执行标准按建设类一级标准执行。根据《土壤侵蚀分类分级标准》（SL190-2007），项目建设区属以水力侵蚀为主的西南土石山，土壤侵蚀强度容许值为500t/km²·a。</w:t>
            </w:r>
          </w:p>
          <w:p w14:paraId="416D67A4">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b w:val="0"/>
                <w:caps w:val="0"/>
                <w:smallCaps w:val="0"/>
                <w:color w:val="auto"/>
                <w:kern w:val="2"/>
                <w:sz w:val="24"/>
                <w:szCs w:val="24"/>
                <w:lang w:val="en-US" w:eastAsia="zh-CN" w:bidi="ar-SA"/>
              </w:rPr>
            </w:pPr>
            <w:r>
              <w:rPr>
                <w:rFonts w:hint="default" w:ascii="Times New Roman" w:hAnsi="Times New Roman" w:eastAsia="宋体" w:cs="Times New Roman"/>
                <w:b w:val="0"/>
                <w:caps w:val="0"/>
                <w:smallCaps w:val="0"/>
                <w:color w:val="auto"/>
                <w:kern w:val="2"/>
                <w:sz w:val="24"/>
                <w:szCs w:val="24"/>
                <w:lang w:val="en-US" w:eastAsia="zh-CN" w:bidi="ar-SA"/>
              </w:rPr>
              <w:t>本项目工程建设过程中因施工活动将扰动原地貌、损坏、占压和影响的土地面积为2.14hm²，可能造成水土流失面积2.14hm²，本工程损坏植被面积为0.42hm²。工程施工产生水土流失总量为385.38t，工程区域原生水土流失量28.37t，新增水土流失量为357.01t</w:t>
            </w:r>
            <w:r>
              <w:rPr>
                <w:rFonts w:hint="eastAsia" w:cs="Times New Roman"/>
                <w:b w:val="0"/>
                <w:caps w:val="0"/>
                <w:smallCaps w:val="0"/>
                <w:color w:val="auto"/>
                <w:kern w:val="2"/>
                <w:sz w:val="24"/>
                <w:szCs w:val="24"/>
                <w:lang w:val="en-US" w:eastAsia="zh-CN" w:bidi="ar-SA"/>
              </w:rPr>
              <w:t>。</w:t>
            </w:r>
          </w:p>
          <w:p w14:paraId="38532596">
            <w:pPr>
              <w:pStyle w:val="37"/>
              <w:bidi w:val="0"/>
              <w:rPr>
                <w:rFonts w:hint="eastAsia" w:cs="Times New Roman"/>
                <w:b w:val="0"/>
                <w:caps w:val="0"/>
                <w:smallCaps w:val="0"/>
                <w:color w:val="auto"/>
                <w:kern w:val="2"/>
                <w:sz w:val="24"/>
                <w:szCs w:val="24"/>
                <w:lang w:val="en-US" w:eastAsia="zh-CN" w:bidi="ar-SA"/>
              </w:rPr>
            </w:pPr>
            <w:r>
              <w:rPr>
                <w:rFonts w:hint="eastAsia" w:cs="Times New Roman"/>
                <w:b w:val="0"/>
                <w:caps w:val="0"/>
                <w:smallCaps w:val="0"/>
                <w:color w:val="auto"/>
                <w:kern w:val="2"/>
                <w:sz w:val="24"/>
                <w:szCs w:val="24"/>
                <w:lang w:val="en-US" w:eastAsia="zh-CN" w:bidi="ar-SA"/>
              </w:rPr>
              <w:t>（2）水土流失防治措施体系及总体布局</w:t>
            </w:r>
          </w:p>
          <w:p w14:paraId="0076165E">
            <w:pPr>
              <w:pStyle w:val="37"/>
              <w:bidi w:val="0"/>
              <w:rPr>
                <w:rFonts w:hint="eastAsia" w:cs="Times New Roman"/>
                <w:b w:val="0"/>
                <w:caps w:val="0"/>
                <w:smallCaps w:val="0"/>
                <w:color w:val="auto"/>
                <w:kern w:val="2"/>
                <w:sz w:val="24"/>
                <w:szCs w:val="24"/>
                <w:lang w:val="en-US" w:eastAsia="zh-CN" w:bidi="ar-SA"/>
              </w:rPr>
            </w:pPr>
            <w:r>
              <w:rPr>
                <w:rFonts w:hint="eastAsia" w:cs="Times New Roman"/>
                <w:b w:val="0"/>
                <w:caps w:val="0"/>
                <w:smallCaps w:val="0"/>
                <w:color w:val="auto"/>
                <w:kern w:val="2"/>
                <w:sz w:val="24"/>
                <w:szCs w:val="24"/>
                <w:lang w:val="en-US" w:eastAsia="zh-CN" w:bidi="ar-SA"/>
              </w:rPr>
              <w:t>根据本工程的水土流失预测结果、划定的水土流失防治责任范围、水土流失防治分区以及水土流失防治内容，确定不同的防治分区分别采用不同的防治措施及布局，形成本方案的水土流失防治措施体系。</w:t>
            </w:r>
          </w:p>
          <w:p w14:paraId="3C4F1077">
            <w:pPr>
              <w:pStyle w:val="37"/>
              <w:bidi w:val="0"/>
              <w:spacing w:line="240" w:lineRule="auto"/>
              <w:jc w:val="center"/>
              <w:rPr>
                <w:rFonts w:hint="eastAsia" w:cs="Times New Roman"/>
                <w:b/>
                <w:bCs/>
                <w:caps w:val="0"/>
                <w:smallCaps w:val="0"/>
                <w:color w:val="auto"/>
                <w:kern w:val="2"/>
                <w:sz w:val="21"/>
                <w:szCs w:val="21"/>
                <w:lang w:val="en-US" w:eastAsia="zh-CN" w:bidi="ar-SA"/>
              </w:rPr>
            </w:pPr>
            <w:r>
              <w:rPr>
                <w:rFonts w:hint="eastAsia" w:cs="Times New Roman"/>
                <w:b/>
                <w:bCs/>
                <w:caps w:val="0"/>
                <w:smallCaps w:val="0"/>
                <w:color w:val="auto"/>
                <w:kern w:val="2"/>
                <w:sz w:val="21"/>
                <w:szCs w:val="21"/>
                <w:lang w:val="en-US" w:eastAsia="zh-CN" w:bidi="ar-SA"/>
              </w:rPr>
              <w:t>表3-6项目建设区水土流失防治措施体系表</w:t>
            </w:r>
          </w:p>
          <w:tbl>
            <w:tblPr>
              <w:tblStyle w:val="24"/>
              <w:tblW w:w="4999"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943"/>
              <w:gridCol w:w="1944"/>
              <w:gridCol w:w="1944"/>
            </w:tblGrid>
            <w:tr w14:paraId="768A59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top"/>
                </w:tcPr>
                <w:p w14:paraId="5EAA9937">
                  <w:pPr>
                    <w:pStyle w:val="37"/>
                    <w:bidi w:val="0"/>
                    <w:spacing w:line="240" w:lineRule="auto"/>
                    <w:jc w:val="both"/>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分区</w:t>
                  </w:r>
                </w:p>
              </w:tc>
              <w:tc>
                <w:tcPr>
                  <w:tcW w:w="1249" w:type="pct"/>
                  <w:tcBorders>
                    <w:tl2br w:val="nil"/>
                    <w:tr2bl w:val="nil"/>
                  </w:tcBorders>
                  <w:vAlign w:val="top"/>
                </w:tcPr>
                <w:p w14:paraId="28AE3112">
                  <w:pPr>
                    <w:pStyle w:val="37"/>
                    <w:bidi w:val="0"/>
                    <w:spacing w:line="240" w:lineRule="auto"/>
                    <w:jc w:val="both"/>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工程措施</w:t>
                  </w:r>
                </w:p>
              </w:tc>
              <w:tc>
                <w:tcPr>
                  <w:tcW w:w="1250" w:type="pct"/>
                  <w:tcBorders>
                    <w:tl2br w:val="nil"/>
                    <w:tr2bl w:val="nil"/>
                  </w:tcBorders>
                  <w:vAlign w:val="top"/>
                </w:tcPr>
                <w:p w14:paraId="5E3CFD88">
                  <w:pPr>
                    <w:pStyle w:val="37"/>
                    <w:bidi w:val="0"/>
                    <w:spacing w:line="240" w:lineRule="auto"/>
                    <w:jc w:val="both"/>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植物措施</w:t>
                  </w:r>
                </w:p>
              </w:tc>
              <w:tc>
                <w:tcPr>
                  <w:tcW w:w="1250" w:type="pct"/>
                  <w:tcBorders>
                    <w:tl2br w:val="nil"/>
                    <w:tr2bl w:val="nil"/>
                  </w:tcBorders>
                  <w:vAlign w:val="top"/>
                </w:tcPr>
                <w:p w14:paraId="22B49D48">
                  <w:pPr>
                    <w:pStyle w:val="37"/>
                    <w:bidi w:val="0"/>
                    <w:spacing w:line="240" w:lineRule="auto"/>
                    <w:jc w:val="both"/>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临时措施</w:t>
                  </w:r>
                </w:p>
              </w:tc>
            </w:tr>
            <w:tr w14:paraId="04BDA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top"/>
                </w:tcPr>
                <w:p w14:paraId="4AC0655C">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土地复耕</w:t>
                  </w:r>
                </w:p>
              </w:tc>
              <w:tc>
                <w:tcPr>
                  <w:tcW w:w="1249" w:type="pct"/>
                  <w:tcBorders>
                    <w:tl2br w:val="nil"/>
                    <w:tr2bl w:val="nil"/>
                  </w:tcBorders>
                  <w:vAlign w:val="top"/>
                </w:tcPr>
                <w:p w14:paraId="24E43447">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主体工程已包括施工迹地恢复</w:t>
                  </w:r>
                </w:p>
              </w:tc>
              <w:tc>
                <w:tcPr>
                  <w:tcW w:w="1250" w:type="pct"/>
                  <w:tcBorders>
                    <w:tl2br w:val="nil"/>
                    <w:tr2bl w:val="nil"/>
                  </w:tcBorders>
                  <w:vAlign w:val="top"/>
                </w:tcPr>
                <w:p w14:paraId="6D05639E">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无</w:t>
                  </w:r>
                </w:p>
              </w:tc>
              <w:tc>
                <w:tcPr>
                  <w:tcW w:w="1250" w:type="pct"/>
                  <w:tcBorders>
                    <w:tl2br w:val="nil"/>
                    <w:tr2bl w:val="nil"/>
                  </w:tcBorders>
                  <w:vAlign w:val="top"/>
                </w:tcPr>
                <w:p w14:paraId="3132FC33">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无</w:t>
                  </w:r>
                </w:p>
              </w:tc>
            </w:tr>
            <w:tr w14:paraId="0E504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top"/>
                </w:tcPr>
                <w:p w14:paraId="1B1BBF31">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工程建设区</w:t>
                  </w:r>
                </w:p>
              </w:tc>
              <w:tc>
                <w:tcPr>
                  <w:tcW w:w="1249" w:type="pct"/>
                  <w:tcBorders>
                    <w:tl2br w:val="nil"/>
                    <w:tr2bl w:val="nil"/>
                  </w:tcBorders>
                  <w:vAlign w:val="top"/>
                </w:tcPr>
                <w:p w14:paraId="5682DA45">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设置临时排水沟及收集池</w:t>
                  </w:r>
                </w:p>
              </w:tc>
              <w:tc>
                <w:tcPr>
                  <w:tcW w:w="1250" w:type="pct"/>
                  <w:tcBorders>
                    <w:tl2br w:val="nil"/>
                    <w:tr2bl w:val="nil"/>
                  </w:tcBorders>
                  <w:vAlign w:val="top"/>
                </w:tcPr>
                <w:p w14:paraId="6F23E178">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无</w:t>
                  </w:r>
                </w:p>
              </w:tc>
              <w:tc>
                <w:tcPr>
                  <w:tcW w:w="1250" w:type="pct"/>
                  <w:tcBorders>
                    <w:tl2br w:val="nil"/>
                    <w:tr2bl w:val="nil"/>
                  </w:tcBorders>
                  <w:vAlign w:val="top"/>
                </w:tcPr>
                <w:p w14:paraId="6D46B590">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无</w:t>
                  </w:r>
                </w:p>
              </w:tc>
            </w:tr>
            <w:tr w14:paraId="4F78A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top"/>
                </w:tcPr>
                <w:p w14:paraId="59F1C9B4">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临时施工道路（含临时表土堆场）</w:t>
                  </w:r>
                </w:p>
              </w:tc>
              <w:tc>
                <w:tcPr>
                  <w:tcW w:w="1249" w:type="pct"/>
                  <w:tcBorders>
                    <w:tl2br w:val="nil"/>
                    <w:tr2bl w:val="nil"/>
                  </w:tcBorders>
                  <w:vAlign w:val="top"/>
                </w:tcPr>
                <w:p w14:paraId="61835580">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表土剥离</w:t>
                  </w:r>
                </w:p>
              </w:tc>
              <w:tc>
                <w:tcPr>
                  <w:tcW w:w="1250" w:type="pct"/>
                  <w:tcBorders>
                    <w:tl2br w:val="nil"/>
                    <w:tr2bl w:val="nil"/>
                  </w:tcBorders>
                  <w:vAlign w:val="top"/>
                </w:tcPr>
                <w:p w14:paraId="7CFDD8CF">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复耕</w:t>
                  </w:r>
                </w:p>
              </w:tc>
              <w:tc>
                <w:tcPr>
                  <w:tcW w:w="1250" w:type="pct"/>
                  <w:tcBorders>
                    <w:tl2br w:val="nil"/>
                    <w:tr2bl w:val="nil"/>
                  </w:tcBorders>
                  <w:vAlign w:val="top"/>
                </w:tcPr>
                <w:p w14:paraId="4ACB16B5">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袋装土石拦挡</w:t>
                  </w:r>
                </w:p>
              </w:tc>
            </w:tr>
            <w:tr w14:paraId="51573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top"/>
                </w:tcPr>
                <w:p w14:paraId="56692F5B">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施工生产区（含临时表土堆场）</w:t>
                  </w:r>
                </w:p>
              </w:tc>
              <w:tc>
                <w:tcPr>
                  <w:tcW w:w="1249" w:type="pct"/>
                  <w:tcBorders>
                    <w:tl2br w:val="nil"/>
                    <w:tr2bl w:val="nil"/>
                  </w:tcBorders>
                  <w:vAlign w:val="top"/>
                </w:tcPr>
                <w:p w14:paraId="179B48EA">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表土剥离</w:t>
                  </w:r>
                </w:p>
              </w:tc>
              <w:tc>
                <w:tcPr>
                  <w:tcW w:w="1250" w:type="pct"/>
                  <w:tcBorders>
                    <w:tl2br w:val="nil"/>
                    <w:tr2bl w:val="nil"/>
                  </w:tcBorders>
                  <w:vAlign w:val="top"/>
                </w:tcPr>
                <w:p w14:paraId="653D80FD">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复耕</w:t>
                  </w:r>
                </w:p>
              </w:tc>
              <w:tc>
                <w:tcPr>
                  <w:tcW w:w="1250" w:type="pct"/>
                  <w:tcBorders>
                    <w:tl2br w:val="nil"/>
                    <w:tr2bl w:val="nil"/>
                  </w:tcBorders>
                  <w:vAlign w:val="top"/>
                </w:tcPr>
                <w:p w14:paraId="6F9D2832">
                  <w:pPr>
                    <w:pStyle w:val="37"/>
                    <w:bidi w:val="0"/>
                    <w:spacing w:line="240" w:lineRule="auto"/>
                    <w:ind w:left="0" w:leftChars="0" w:firstLine="0" w:firstLineChars="0"/>
                    <w:jc w:val="center"/>
                    <w:rPr>
                      <w:rFonts w:hint="eastAsia" w:cs="Times New Roman"/>
                      <w:b w:val="0"/>
                      <w:bCs w:val="0"/>
                      <w:caps w:val="0"/>
                      <w:smallCaps w:val="0"/>
                      <w:color w:val="auto"/>
                      <w:kern w:val="2"/>
                      <w:sz w:val="21"/>
                      <w:szCs w:val="21"/>
                      <w:vertAlign w:val="baseline"/>
                      <w:lang w:val="en-US" w:eastAsia="zh-CN" w:bidi="ar-SA"/>
                    </w:rPr>
                  </w:pPr>
                  <w:r>
                    <w:rPr>
                      <w:rFonts w:hint="eastAsia" w:cs="Times New Roman"/>
                      <w:b w:val="0"/>
                      <w:bCs w:val="0"/>
                      <w:caps w:val="0"/>
                      <w:smallCaps w:val="0"/>
                      <w:color w:val="auto"/>
                      <w:kern w:val="2"/>
                      <w:sz w:val="21"/>
                      <w:szCs w:val="21"/>
                      <w:vertAlign w:val="baseline"/>
                      <w:lang w:val="en-US" w:eastAsia="zh-CN" w:bidi="ar-SA"/>
                    </w:rPr>
                    <w:t>袋装土石拦挡</w:t>
                  </w:r>
                </w:p>
              </w:tc>
            </w:tr>
          </w:tbl>
          <w:p w14:paraId="060AA8D1">
            <w:pPr>
              <w:pStyle w:val="37"/>
              <w:numPr>
                <w:ilvl w:val="0"/>
                <w:numId w:val="0"/>
              </w:numPr>
              <w:bidi w:val="0"/>
              <w:ind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根据对主体工程的分析及水土保持的实际需要，项目采取的水土保持工程量为： </w:t>
            </w:r>
          </w:p>
          <w:p w14:paraId="442193EB">
            <w:pPr>
              <w:pStyle w:val="37"/>
              <w:numPr>
                <w:ilvl w:val="0"/>
                <w:numId w:val="0"/>
              </w:numPr>
              <w:bidi w:val="0"/>
              <w:ind w:left="0" w:leftChars="0"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工程措施：表土剥离0.99万m³。 </w:t>
            </w:r>
          </w:p>
          <w:p w14:paraId="25479796">
            <w:pPr>
              <w:pStyle w:val="37"/>
              <w:numPr>
                <w:ilvl w:val="0"/>
                <w:numId w:val="0"/>
              </w:numPr>
              <w:bidi w:val="0"/>
              <w:ind w:left="0" w:leftChars="0"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植物措施：撒播狗牙根32.76kg。 </w:t>
            </w:r>
          </w:p>
          <w:p w14:paraId="324F5095">
            <w:pPr>
              <w:pStyle w:val="37"/>
              <w:numPr>
                <w:ilvl w:val="0"/>
                <w:numId w:val="0"/>
              </w:numPr>
              <w:bidi w:val="0"/>
              <w:ind w:left="0" w:leftChars="0"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临时措施：袋装土石临时拦挡填筑与拆除工程量为695m³。</w:t>
            </w:r>
          </w:p>
          <w:p w14:paraId="22BF4A4C">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rFonts w:hint="default" w:ascii="Times New Roman" w:hAnsi="Times New Roman" w:eastAsia="宋体" w:cs="Times New Roman"/>
                <w:b/>
                <w:bCs/>
                <w:caps w:val="0"/>
                <w:smallCaps w:val="0"/>
                <w:color w:val="auto"/>
                <w:kern w:val="2"/>
                <w:sz w:val="24"/>
                <w:szCs w:val="24"/>
                <w:lang w:val="en-US" w:eastAsia="zh-CN" w:bidi="ar-SA"/>
              </w:rPr>
            </w:pPr>
            <w:r>
              <w:rPr>
                <w:rFonts w:hint="eastAsia" w:cs="Times New Roman"/>
                <w:b/>
                <w:bCs/>
                <w:caps w:val="0"/>
                <w:smallCaps w:val="0"/>
                <w:color w:val="auto"/>
                <w:kern w:val="2"/>
                <w:sz w:val="24"/>
                <w:szCs w:val="24"/>
                <w:lang w:val="en-US" w:eastAsia="zh-CN" w:bidi="ar-SA"/>
              </w:rPr>
              <w:t>四</w:t>
            </w:r>
            <w:r>
              <w:rPr>
                <w:rFonts w:hint="eastAsia" w:ascii="Times New Roman" w:hAnsi="Times New Roman" w:cs="Times New Roman"/>
                <w:b/>
                <w:bCs/>
                <w:caps w:val="0"/>
                <w:smallCaps w:val="0"/>
                <w:color w:val="auto"/>
                <w:kern w:val="2"/>
                <w:sz w:val="24"/>
                <w:szCs w:val="24"/>
                <w:lang w:val="en-US" w:eastAsia="zh-CN" w:bidi="ar-SA"/>
              </w:rPr>
              <w:t>、环境质量现状</w:t>
            </w:r>
          </w:p>
          <w:p w14:paraId="4E968A82">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rFonts w:hint="default" w:ascii="Times New Roman" w:hAnsi="Times New Roman" w:eastAsia="宋体" w:cs="Times New Roman"/>
                <w:b/>
                <w:bCs/>
                <w:caps w:val="0"/>
                <w:smallCaps w:val="0"/>
                <w:color w:val="auto"/>
                <w:kern w:val="2"/>
                <w:sz w:val="24"/>
                <w:szCs w:val="24"/>
                <w:lang w:val="en-US" w:eastAsia="zh-CN" w:bidi="ar-SA"/>
              </w:rPr>
            </w:pPr>
            <w:r>
              <w:rPr>
                <w:rFonts w:hint="eastAsia" w:ascii="Times New Roman" w:hAnsi="Times New Roman" w:cs="Times New Roman"/>
                <w:b/>
                <w:bCs/>
                <w:caps w:val="0"/>
                <w:smallCaps w:val="0"/>
                <w:color w:val="auto"/>
                <w:kern w:val="2"/>
                <w:sz w:val="24"/>
                <w:szCs w:val="24"/>
                <w:lang w:val="en-US" w:eastAsia="zh-CN" w:bidi="ar-SA"/>
              </w:rPr>
              <w:t>1</w:t>
            </w:r>
            <w:r>
              <w:rPr>
                <w:rFonts w:hint="default" w:ascii="Times New Roman" w:hAnsi="Times New Roman" w:eastAsia="宋体" w:cs="Times New Roman"/>
                <w:b/>
                <w:bCs/>
                <w:caps w:val="0"/>
                <w:smallCaps w:val="0"/>
                <w:color w:val="auto"/>
                <w:kern w:val="2"/>
                <w:sz w:val="24"/>
                <w:szCs w:val="24"/>
                <w:lang w:val="en-US" w:eastAsia="zh-CN" w:bidi="ar-SA"/>
              </w:rPr>
              <w:t>、大气环境质量现状</w:t>
            </w:r>
          </w:p>
          <w:p w14:paraId="418B9820">
            <w:pPr>
              <w:bidi w:val="0"/>
              <w:spacing w:line="360" w:lineRule="auto"/>
              <w:rPr>
                <w:rFonts w:hint="default" w:ascii="Times New Roman" w:hAnsi="Times New Roman" w:eastAsia="宋体" w:cs="Times New Roman"/>
                <w:caps w:val="0"/>
                <w:smallCaps w:val="0"/>
                <w:color w:val="auto"/>
              </w:rPr>
            </w:pPr>
            <w:r>
              <w:rPr>
                <w:rFonts w:hint="default" w:ascii="Times New Roman" w:hAnsi="Times New Roman" w:eastAsia="宋体" w:cs="Times New Roman"/>
                <w:color w:val="auto"/>
                <w:kern w:val="0"/>
                <w:sz w:val="24"/>
                <w:szCs w:val="24"/>
                <w:lang w:val="en-US" w:eastAsia="zh-CN" w:bidi="ar-SA"/>
              </w:rPr>
              <w:t>本次治理河段于德宏州芒市芒市镇，位于德宏州东南部。治理河段全长3.83km，治理段起于大湾电站取水坝下游，至于大湾大沟取水坝</w:t>
            </w:r>
            <w:r>
              <w:rPr>
                <w:rFonts w:hint="default" w:ascii="Times New Roman" w:hAnsi="Times New Roman" w:eastAsia="宋体" w:cs="Times New Roman"/>
                <w:caps w:val="0"/>
                <w:smallCaps w:val="0"/>
                <w:color w:val="auto"/>
                <w:lang w:eastAsia="zh-CN"/>
              </w:rPr>
              <w:t>。</w:t>
            </w:r>
            <w:r>
              <w:rPr>
                <w:rFonts w:hint="default" w:ascii="Times New Roman" w:hAnsi="Times New Roman" w:eastAsia="宋体" w:cs="Times New Roman"/>
                <w:caps w:val="0"/>
                <w:smallCaps w:val="0"/>
                <w:color w:val="auto"/>
              </w:rPr>
              <w:t>按环境功能区划评价区域属于《环境空气质量标准》（GB3095-2012）及其修改单中二类功能区，执行《环境空气质量标准》（GB3095-2012）及其修改单中二级标准要求。</w:t>
            </w:r>
          </w:p>
          <w:p w14:paraId="6BF165EE">
            <w:pPr>
              <w:keepNext w:val="0"/>
              <w:keepLines w:val="0"/>
              <w:pageBreakBefore w:val="0"/>
              <w:widowControl w:val="0"/>
              <w:tabs>
                <w:tab w:val="left" w:pos="6153"/>
              </w:tabs>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4"/>
                <w:szCs w:val="24"/>
                <w:lang w:val="en-US" w:eastAsia="zh-CN"/>
              </w:rPr>
              <w:t>根据</w:t>
            </w:r>
            <w:r>
              <w:rPr>
                <w:rFonts w:hint="default" w:ascii="Times New Roman" w:hAnsi="Times New Roman" w:eastAsia="宋体" w:cs="Times New Roman"/>
                <w:snapToGrid w:val="0"/>
                <w:color w:val="auto"/>
                <w:kern w:val="0"/>
                <w:sz w:val="24"/>
                <w:szCs w:val="24"/>
              </w:rPr>
              <w:t>芒市</w:t>
            </w:r>
            <w:r>
              <w:rPr>
                <w:rFonts w:hint="default" w:ascii="Times New Roman" w:hAnsi="Times New Roman" w:eastAsia="宋体" w:cs="Times New Roman"/>
                <w:snapToGrid w:val="0"/>
                <w:color w:val="auto"/>
                <w:kern w:val="0"/>
                <w:sz w:val="24"/>
                <w:szCs w:val="24"/>
                <w:lang w:val="en-US" w:eastAsia="zh-CN"/>
              </w:rPr>
              <w:t>2022</w:t>
            </w:r>
            <w:r>
              <w:rPr>
                <w:rFonts w:hint="default" w:ascii="Times New Roman" w:hAnsi="Times New Roman" w:eastAsia="宋体" w:cs="Times New Roman"/>
                <w:snapToGrid w:val="0"/>
                <w:color w:val="auto"/>
                <w:kern w:val="0"/>
                <w:sz w:val="24"/>
                <w:szCs w:val="24"/>
              </w:rPr>
              <w:t>年的常规监测数据</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lang w:val="en-US" w:eastAsia="zh-CN"/>
              </w:rPr>
              <w:t>2022</w:t>
            </w:r>
            <w:r>
              <w:rPr>
                <w:rFonts w:hint="default" w:ascii="Times New Roman" w:hAnsi="Times New Roman" w:eastAsia="宋体" w:cs="Times New Roman"/>
                <w:snapToGrid w:val="0"/>
                <w:color w:val="auto"/>
                <w:kern w:val="0"/>
                <w:sz w:val="24"/>
                <w:szCs w:val="24"/>
              </w:rPr>
              <w:t>年芒市环境空气各项指标均能满足《环境空气质量标准》</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rPr>
              <w:t>GB3095-2012</w:t>
            </w:r>
            <w:r>
              <w:rPr>
                <w:rFonts w:hint="default" w:ascii="Times New Roman" w:hAnsi="Times New Roman" w:eastAsia="宋体" w:cs="Times New Roman"/>
                <w:snapToGrid w:val="0"/>
                <w:color w:val="auto"/>
                <w:kern w:val="0"/>
                <w:sz w:val="24"/>
                <w:szCs w:val="24"/>
                <w:lang w:eastAsia="zh-CN"/>
              </w:rPr>
              <w:t>）</w:t>
            </w:r>
            <w:r>
              <w:rPr>
                <w:rFonts w:hint="default" w:ascii="Times New Roman" w:hAnsi="Times New Roman" w:eastAsia="宋体" w:cs="Times New Roman"/>
                <w:snapToGrid w:val="0"/>
                <w:color w:val="auto"/>
                <w:kern w:val="0"/>
                <w:sz w:val="24"/>
                <w:szCs w:val="24"/>
              </w:rPr>
              <w:t>二级标准要求，因此可以判定，项目所在的芒市环境空气质量属于达标区。</w:t>
            </w:r>
          </w:p>
          <w:p w14:paraId="1D3142DB">
            <w:pPr>
              <w:bidi w:val="0"/>
              <w:spacing w:line="240" w:lineRule="auto"/>
              <w:ind w:left="0" w:leftChars="0" w:firstLine="0" w:firstLineChars="0"/>
              <w:jc w:val="center"/>
              <w:rPr>
                <w:rFonts w:hint="default"/>
                <w:b/>
                <w:bCs/>
                <w:sz w:val="21"/>
                <w:szCs w:val="21"/>
                <w:lang w:val="en-US" w:eastAsia="zh-CN"/>
              </w:rPr>
            </w:pPr>
            <w:r>
              <w:rPr>
                <w:rFonts w:hint="default"/>
                <w:b/>
                <w:bCs/>
                <w:sz w:val="21"/>
                <w:szCs w:val="21"/>
                <w:lang w:val="en-US" w:eastAsia="zh-CN"/>
              </w:rPr>
              <w:t>表3-</w:t>
            </w:r>
            <w:r>
              <w:rPr>
                <w:rFonts w:hint="eastAsia"/>
                <w:b/>
                <w:bCs/>
                <w:sz w:val="21"/>
                <w:szCs w:val="21"/>
                <w:lang w:val="en-US" w:eastAsia="zh-CN"/>
              </w:rPr>
              <w:t>7</w:t>
            </w:r>
            <w:r>
              <w:rPr>
                <w:rFonts w:hint="default"/>
                <w:b/>
                <w:bCs/>
                <w:sz w:val="21"/>
                <w:szCs w:val="21"/>
                <w:lang w:val="en-US" w:eastAsia="zh-CN"/>
              </w:rPr>
              <w:t xml:space="preserve">  2022年德宏州芒市城市空气年均浓度监测结果</w:t>
            </w:r>
          </w:p>
          <w:tbl>
            <w:tblPr>
              <w:tblStyle w:val="23"/>
              <w:tblW w:w="777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73"/>
              <w:gridCol w:w="2545"/>
              <w:gridCol w:w="1283"/>
              <w:gridCol w:w="1148"/>
              <w:gridCol w:w="1127"/>
            </w:tblGrid>
            <w:tr w14:paraId="085870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673" w:type="dxa"/>
                  <w:tcBorders>
                    <w:tl2br w:val="nil"/>
                    <w:tr2bl w:val="nil"/>
                  </w:tcBorders>
                  <w:noWrap/>
                  <w:vAlign w:val="center"/>
                </w:tcPr>
                <w:p w14:paraId="1696F9D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污染物</w:t>
                  </w:r>
                </w:p>
              </w:tc>
              <w:tc>
                <w:tcPr>
                  <w:tcW w:w="2545" w:type="dxa"/>
                  <w:tcBorders>
                    <w:tl2br w:val="nil"/>
                    <w:tr2bl w:val="nil"/>
                  </w:tcBorders>
                  <w:noWrap/>
                  <w:vAlign w:val="center"/>
                </w:tcPr>
                <w:p w14:paraId="5E15B21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年评价指标</w:t>
                  </w:r>
                </w:p>
              </w:tc>
              <w:tc>
                <w:tcPr>
                  <w:tcW w:w="1283" w:type="dxa"/>
                  <w:tcBorders>
                    <w:tl2br w:val="nil"/>
                    <w:tr2bl w:val="nil"/>
                  </w:tcBorders>
                  <w:noWrap/>
                  <w:vAlign w:val="center"/>
                </w:tcPr>
                <w:p w14:paraId="3600DE1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现状浓度</w:t>
                  </w:r>
                </w:p>
              </w:tc>
              <w:tc>
                <w:tcPr>
                  <w:tcW w:w="1148" w:type="dxa"/>
                  <w:tcBorders>
                    <w:tl2br w:val="nil"/>
                    <w:tr2bl w:val="nil"/>
                  </w:tcBorders>
                  <w:noWrap/>
                  <w:vAlign w:val="center"/>
                </w:tcPr>
                <w:p w14:paraId="2567A97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c>
                <w:tcPr>
                  <w:tcW w:w="1127" w:type="dxa"/>
                  <w:tcBorders>
                    <w:tl2br w:val="nil"/>
                    <w:tr2bl w:val="nil"/>
                  </w:tcBorders>
                  <w:noWrap/>
                  <w:vAlign w:val="center"/>
                </w:tcPr>
                <w:p w14:paraId="4B69A21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达标情况</w:t>
                  </w:r>
                </w:p>
              </w:tc>
            </w:tr>
            <w:tr w14:paraId="524853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673" w:type="dxa"/>
                  <w:tcBorders>
                    <w:tl2br w:val="nil"/>
                    <w:tr2bl w:val="nil"/>
                  </w:tcBorders>
                  <w:noWrap/>
                  <w:vAlign w:val="center"/>
                </w:tcPr>
                <w:p w14:paraId="545BF53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545" w:type="dxa"/>
                  <w:vMerge w:val="restart"/>
                  <w:tcBorders>
                    <w:tl2br w:val="nil"/>
                    <w:tr2bl w:val="nil"/>
                  </w:tcBorders>
                  <w:noWrap/>
                  <w:vAlign w:val="center"/>
                </w:tcPr>
                <w:p w14:paraId="6F8935C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年平均质量浓度</w:t>
                  </w:r>
                </w:p>
              </w:tc>
              <w:tc>
                <w:tcPr>
                  <w:tcW w:w="1283" w:type="dxa"/>
                  <w:tcBorders>
                    <w:tl2br w:val="nil"/>
                    <w:tr2bl w:val="nil"/>
                  </w:tcBorders>
                  <w:noWrap/>
                  <w:vAlign w:val="center"/>
                </w:tcPr>
                <w:p w14:paraId="251F884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48" w:type="dxa"/>
                  <w:tcBorders>
                    <w:tl2br w:val="nil"/>
                    <w:tr2bl w:val="nil"/>
                  </w:tcBorders>
                  <w:noWrap/>
                  <w:vAlign w:val="center"/>
                </w:tcPr>
                <w:p w14:paraId="51171109">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60</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27" w:type="dxa"/>
                  <w:tcBorders>
                    <w:tl2br w:val="nil"/>
                    <w:tr2bl w:val="nil"/>
                  </w:tcBorders>
                  <w:noWrap/>
                  <w:vAlign w:val="center"/>
                </w:tcPr>
                <w:p w14:paraId="43AF747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r w14:paraId="104DA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673" w:type="dxa"/>
                  <w:tcBorders>
                    <w:tl2br w:val="nil"/>
                    <w:tr2bl w:val="nil"/>
                  </w:tcBorders>
                  <w:noWrap/>
                  <w:vAlign w:val="center"/>
                </w:tcPr>
                <w:p w14:paraId="2C607C1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2545" w:type="dxa"/>
                  <w:vMerge w:val="continue"/>
                  <w:tcBorders>
                    <w:tl2br w:val="nil"/>
                    <w:tr2bl w:val="nil"/>
                  </w:tcBorders>
                  <w:noWrap/>
                  <w:vAlign w:val="center"/>
                </w:tcPr>
                <w:p w14:paraId="3AC3E9D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83" w:type="dxa"/>
                  <w:tcBorders>
                    <w:tl2br w:val="nil"/>
                    <w:tr2bl w:val="nil"/>
                  </w:tcBorders>
                  <w:noWrap/>
                  <w:vAlign w:val="center"/>
                </w:tcPr>
                <w:p w14:paraId="051266A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48" w:type="dxa"/>
                  <w:tcBorders>
                    <w:tl2br w:val="nil"/>
                    <w:tr2bl w:val="nil"/>
                  </w:tcBorders>
                  <w:noWrap/>
                  <w:vAlign w:val="center"/>
                </w:tcPr>
                <w:p w14:paraId="722F3AF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27" w:type="dxa"/>
                  <w:tcBorders>
                    <w:tl2br w:val="nil"/>
                    <w:tr2bl w:val="nil"/>
                  </w:tcBorders>
                  <w:noWrap/>
                  <w:vAlign w:val="center"/>
                </w:tcPr>
                <w:p w14:paraId="5AFC094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r w14:paraId="2E4813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673" w:type="dxa"/>
                  <w:tcBorders>
                    <w:tl2br w:val="nil"/>
                    <w:tr2bl w:val="nil"/>
                  </w:tcBorders>
                  <w:noWrap/>
                  <w:vAlign w:val="center"/>
                </w:tcPr>
                <w:p w14:paraId="073D3F6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2545" w:type="dxa"/>
                  <w:vMerge w:val="continue"/>
                  <w:tcBorders>
                    <w:tl2br w:val="nil"/>
                    <w:tr2bl w:val="nil"/>
                  </w:tcBorders>
                  <w:noWrap/>
                  <w:vAlign w:val="center"/>
                </w:tcPr>
                <w:p w14:paraId="71F4204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83" w:type="dxa"/>
                  <w:tcBorders>
                    <w:tl2br w:val="nil"/>
                    <w:tr2bl w:val="nil"/>
                  </w:tcBorders>
                  <w:noWrap/>
                  <w:vAlign w:val="center"/>
                </w:tcPr>
                <w:p w14:paraId="50DA90B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41</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48" w:type="dxa"/>
                  <w:tcBorders>
                    <w:tl2br w:val="nil"/>
                    <w:tr2bl w:val="nil"/>
                  </w:tcBorders>
                  <w:noWrap/>
                  <w:vAlign w:val="center"/>
                </w:tcPr>
                <w:p w14:paraId="5E9F6C4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27" w:type="dxa"/>
                  <w:tcBorders>
                    <w:tl2br w:val="nil"/>
                    <w:tr2bl w:val="nil"/>
                  </w:tcBorders>
                  <w:noWrap/>
                  <w:vAlign w:val="center"/>
                </w:tcPr>
                <w:p w14:paraId="79427D7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r w14:paraId="568F7E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673" w:type="dxa"/>
                  <w:tcBorders>
                    <w:tl2br w:val="nil"/>
                    <w:tr2bl w:val="nil"/>
                  </w:tcBorders>
                  <w:noWrap/>
                  <w:vAlign w:val="center"/>
                </w:tcPr>
                <w:p w14:paraId="6BA8C0A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PM</w:t>
                  </w:r>
                  <w:r>
                    <w:rPr>
                      <w:rFonts w:hint="default" w:ascii="Times New Roman" w:hAnsi="Times New Roman" w:eastAsia="宋体" w:cs="Times New Roman"/>
                      <w:b w:val="0"/>
                      <w:bCs w:val="0"/>
                      <w:color w:val="auto"/>
                      <w:sz w:val="21"/>
                      <w:szCs w:val="21"/>
                      <w:vertAlign w:val="subscript"/>
                    </w:rPr>
                    <w:t>2.5</w:t>
                  </w:r>
                </w:p>
              </w:tc>
              <w:tc>
                <w:tcPr>
                  <w:tcW w:w="2545" w:type="dxa"/>
                  <w:vMerge w:val="continue"/>
                  <w:tcBorders>
                    <w:tl2br w:val="nil"/>
                    <w:tr2bl w:val="nil"/>
                  </w:tcBorders>
                  <w:noWrap/>
                  <w:vAlign w:val="center"/>
                </w:tcPr>
                <w:p w14:paraId="77E76C4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lang w:val="en-US" w:eastAsia="zh-CN"/>
                    </w:rPr>
                  </w:pPr>
                </w:p>
              </w:tc>
              <w:tc>
                <w:tcPr>
                  <w:tcW w:w="1283" w:type="dxa"/>
                  <w:tcBorders>
                    <w:tl2br w:val="nil"/>
                    <w:tr2bl w:val="nil"/>
                  </w:tcBorders>
                  <w:noWrap/>
                  <w:vAlign w:val="center"/>
                </w:tcPr>
                <w:p w14:paraId="0EB9CC5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22</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48" w:type="dxa"/>
                  <w:tcBorders>
                    <w:tl2br w:val="nil"/>
                    <w:tr2bl w:val="nil"/>
                  </w:tcBorders>
                  <w:noWrap/>
                  <w:vAlign w:val="center"/>
                </w:tcPr>
                <w:p w14:paraId="588DCFA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35</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27" w:type="dxa"/>
                  <w:tcBorders>
                    <w:tl2br w:val="nil"/>
                    <w:tr2bl w:val="nil"/>
                  </w:tcBorders>
                  <w:noWrap/>
                  <w:vAlign w:val="center"/>
                </w:tcPr>
                <w:p w14:paraId="4F82DFC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r w14:paraId="0A5BA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1673" w:type="dxa"/>
                  <w:tcBorders>
                    <w:tl2br w:val="nil"/>
                    <w:tr2bl w:val="nil"/>
                  </w:tcBorders>
                  <w:noWrap/>
                  <w:vAlign w:val="center"/>
                </w:tcPr>
                <w:p w14:paraId="0439AD1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O</w:t>
                  </w:r>
                  <w:r>
                    <w:rPr>
                      <w:rFonts w:hint="default" w:ascii="Times New Roman" w:hAnsi="Times New Roman" w:eastAsia="宋体" w:cs="Times New Roman"/>
                      <w:b w:val="0"/>
                      <w:bCs w:val="0"/>
                      <w:color w:val="auto"/>
                      <w:sz w:val="21"/>
                      <w:szCs w:val="21"/>
                      <w:vertAlign w:val="subscript"/>
                    </w:rPr>
                    <w:t>3</w:t>
                  </w:r>
                </w:p>
              </w:tc>
              <w:tc>
                <w:tcPr>
                  <w:tcW w:w="2545" w:type="dxa"/>
                  <w:tcBorders>
                    <w:tl2br w:val="nil"/>
                    <w:tr2bl w:val="nil"/>
                  </w:tcBorders>
                  <w:noWrap/>
                  <w:vAlign w:val="center"/>
                </w:tcPr>
                <w:p w14:paraId="6E53E33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最大8小时平均第90百分位数</w:t>
                  </w:r>
                </w:p>
              </w:tc>
              <w:tc>
                <w:tcPr>
                  <w:tcW w:w="1283" w:type="dxa"/>
                  <w:tcBorders>
                    <w:tl2br w:val="nil"/>
                    <w:tr2bl w:val="nil"/>
                  </w:tcBorders>
                  <w:noWrap/>
                  <w:vAlign w:val="center"/>
                </w:tcPr>
                <w:p w14:paraId="2E189259">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118</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48" w:type="dxa"/>
                  <w:tcBorders>
                    <w:tl2br w:val="nil"/>
                    <w:tr2bl w:val="nil"/>
                  </w:tcBorders>
                  <w:noWrap/>
                  <w:vAlign w:val="center"/>
                </w:tcPr>
                <w:p w14:paraId="32D6CCA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160</w:t>
                  </w:r>
                  <w:r>
                    <w:rPr>
                      <w:rFonts w:hint="default" w:ascii="Times New Roman" w:hAnsi="Times New Roman" w:eastAsia="宋体" w:cs="Times New Roman"/>
                      <w:b w:val="0"/>
                      <w:bCs w:val="0"/>
                      <w:color w:val="auto"/>
                      <w:sz w:val="21"/>
                      <w:szCs w:val="21"/>
                    </w:rPr>
                    <w:t>µg/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p>
              </w:tc>
              <w:tc>
                <w:tcPr>
                  <w:tcW w:w="1127" w:type="dxa"/>
                  <w:tcBorders>
                    <w:tl2br w:val="nil"/>
                    <w:tr2bl w:val="nil"/>
                  </w:tcBorders>
                  <w:noWrap/>
                  <w:vAlign w:val="center"/>
                </w:tcPr>
                <w:p w14:paraId="387C657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r w14:paraId="185894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9" w:hRule="atLeast"/>
                <w:jc w:val="center"/>
              </w:trPr>
              <w:tc>
                <w:tcPr>
                  <w:tcW w:w="1673" w:type="dxa"/>
                  <w:tcBorders>
                    <w:tl2br w:val="nil"/>
                    <w:tr2bl w:val="nil"/>
                  </w:tcBorders>
                  <w:noWrap/>
                  <w:vAlign w:val="center"/>
                </w:tcPr>
                <w:p w14:paraId="440B759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CO</w:t>
                  </w:r>
                </w:p>
              </w:tc>
              <w:tc>
                <w:tcPr>
                  <w:tcW w:w="2545" w:type="dxa"/>
                  <w:tcBorders>
                    <w:tl2br w:val="nil"/>
                    <w:tr2bl w:val="nil"/>
                  </w:tcBorders>
                  <w:noWrap/>
                  <w:vAlign w:val="center"/>
                </w:tcPr>
                <w:p w14:paraId="0E486BE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24小时平均第95百分位数</w:t>
                  </w:r>
                </w:p>
              </w:tc>
              <w:tc>
                <w:tcPr>
                  <w:tcW w:w="1283" w:type="dxa"/>
                  <w:tcBorders>
                    <w:tl2br w:val="nil"/>
                    <w:tr2bl w:val="nil"/>
                  </w:tcBorders>
                  <w:noWrap/>
                  <w:vAlign w:val="center"/>
                </w:tcPr>
                <w:p w14:paraId="70E637C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0.9(mg/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r>
                    <w:rPr>
                      <w:rFonts w:hint="default" w:ascii="Times New Roman" w:hAnsi="Times New Roman" w:eastAsia="宋体" w:cs="Times New Roman"/>
                      <w:b w:val="0"/>
                      <w:bCs w:val="0"/>
                      <w:color w:val="auto"/>
                      <w:sz w:val="21"/>
                      <w:szCs w:val="21"/>
                      <w:lang w:val="en-US" w:eastAsia="zh-CN"/>
                    </w:rPr>
                    <w:t>)</w:t>
                  </w:r>
                </w:p>
              </w:tc>
              <w:tc>
                <w:tcPr>
                  <w:tcW w:w="1148" w:type="dxa"/>
                  <w:tcBorders>
                    <w:tl2br w:val="nil"/>
                    <w:tr2bl w:val="nil"/>
                  </w:tcBorders>
                  <w:noWrap/>
                  <w:vAlign w:val="center"/>
                </w:tcPr>
                <w:p w14:paraId="0C07B81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4(mg/</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3</w:t>
                  </w:r>
                  <w:r>
                    <w:rPr>
                      <w:rFonts w:hint="default" w:ascii="Times New Roman" w:hAnsi="Times New Roman" w:eastAsia="宋体" w:cs="Times New Roman"/>
                      <w:b w:val="0"/>
                      <w:bCs w:val="0"/>
                      <w:color w:val="auto"/>
                      <w:sz w:val="21"/>
                      <w:szCs w:val="21"/>
                      <w:lang w:val="en-US" w:eastAsia="zh-CN"/>
                    </w:rPr>
                    <w:t>)</w:t>
                  </w:r>
                </w:p>
              </w:tc>
              <w:tc>
                <w:tcPr>
                  <w:tcW w:w="1127" w:type="dxa"/>
                  <w:tcBorders>
                    <w:tl2br w:val="nil"/>
                    <w:tr2bl w:val="nil"/>
                  </w:tcBorders>
                  <w:noWrap/>
                  <w:vAlign w:val="center"/>
                </w:tcPr>
                <w:p w14:paraId="477D126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达标</w:t>
                  </w:r>
                </w:p>
              </w:tc>
            </w:tr>
          </w:tbl>
          <w:p w14:paraId="118DA3FF">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rFonts w:hint="default" w:ascii="Times New Roman" w:hAnsi="Times New Roman" w:cs="Times New Roman"/>
                <w:b/>
                <w:bCs/>
                <w:caps w:val="0"/>
                <w:smallCaps w:val="0"/>
                <w:color w:val="auto"/>
                <w:kern w:val="2"/>
                <w:sz w:val="24"/>
                <w:szCs w:val="24"/>
                <w:lang w:val="en-US" w:eastAsia="zh-CN" w:bidi="ar-SA"/>
              </w:rPr>
            </w:pPr>
            <w:r>
              <w:rPr>
                <w:rFonts w:hint="eastAsia" w:ascii="Times New Roman" w:hAnsi="Times New Roman" w:cs="Times New Roman"/>
                <w:b/>
                <w:bCs/>
                <w:caps w:val="0"/>
                <w:smallCaps w:val="0"/>
                <w:color w:val="auto"/>
                <w:kern w:val="2"/>
                <w:sz w:val="24"/>
                <w:szCs w:val="24"/>
                <w:lang w:val="en-US" w:eastAsia="zh-CN" w:bidi="ar-SA"/>
              </w:rPr>
              <w:t>2</w:t>
            </w:r>
            <w:r>
              <w:rPr>
                <w:rFonts w:hint="default" w:ascii="Times New Roman" w:hAnsi="Times New Roman" w:cs="Times New Roman"/>
                <w:b/>
                <w:bCs/>
                <w:caps w:val="0"/>
                <w:smallCaps w:val="0"/>
                <w:color w:val="auto"/>
                <w:kern w:val="2"/>
                <w:sz w:val="24"/>
                <w:szCs w:val="24"/>
                <w:lang w:val="en-US" w:eastAsia="zh-CN" w:bidi="ar-SA"/>
              </w:rPr>
              <w:t>、地表水环境质量现状</w:t>
            </w:r>
          </w:p>
          <w:p w14:paraId="160E10AA">
            <w:pPr>
              <w:bidi w:val="0"/>
              <w:rPr>
                <w:rFonts w:hint="default" w:ascii="Times New Roman" w:hAnsi="Times New Roman" w:cs="Times New Roman"/>
                <w:color w:val="000000"/>
              </w:rPr>
            </w:pPr>
            <w:r>
              <w:rPr>
                <w:rFonts w:hint="default" w:ascii="Times New Roman" w:hAnsi="Times New Roman" w:eastAsia="宋体" w:cs="Times New Roman"/>
                <w:caps w:val="0"/>
                <w:smallCaps w:val="0"/>
                <w:color w:val="auto"/>
              </w:rPr>
              <w:t>本项目为</w:t>
            </w:r>
            <w:r>
              <w:rPr>
                <w:rFonts w:hint="default" w:ascii="Times New Roman" w:hAnsi="Times New Roman" w:eastAsia="宋体" w:cs="Times New Roman"/>
                <w:caps w:val="0"/>
                <w:smallCaps w:val="0"/>
                <w:color w:val="auto"/>
                <w:lang w:eastAsia="zh-CN"/>
              </w:rPr>
              <w:t>河道治理工程</w:t>
            </w:r>
            <w:r>
              <w:rPr>
                <w:rFonts w:hint="default" w:ascii="Times New Roman" w:hAnsi="Times New Roman" w:eastAsia="宋体" w:cs="Times New Roman"/>
                <w:caps w:val="0"/>
                <w:smallCaps w:val="0"/>
                <w:color w:val="auto"/>
              </w:rPr>
              <w:t>，位于</w:t>
            </w:r>
            <w:r>
              <w:rPr>
                <w:rFonts w:hint="default" w:ascii="Times New Roman" w:hAnsi="Times New Roman" w:eastAsia="宋体" w:cs="Times New Roman"/>
                <w:caps w:val="0"/>
                <w:smallCaps w:val="0"/>
                <w:color w:val="auto"/>
                <w:lang w:eastAsia="zh-CN"/>
              </w:rPr>
              <w:t>芒市</w:t>
            </w:r>
            <w:r>
              <w:rPr>
                <w:rFonts w:hint="default" w:ascii="Times New Roman" w:hAnsi="Times New Roman" w:eastAsia="宋体" w:cs="Times New Roman"/>
                <w:color w:val="auto"/>
                <w:kern w:val="0"/>
                <w:sz w:val="24"/>
                <w:szCs w:val="24"/>
                <w:lang w:val="en-US" w:eastAsia="zh-CN" w:bidi="ar-SA"/>
              </w:rPr>
              <w:t>芒市镇</w:t>
            </w:r>
            <w:r>
              <w:rPr>
                <w:rFonts w:hint="default" w:ascii="Times New Roman" w:hAnsi="Times New Roman" w:eastAsia="宋体" w:cs="Times New Roman"/>
                <w:caps w:val="0"/>
                <w:smallCaps w:val="0"/>
                <w:color w:val="auto"/>
                <w:lang w:eastAsia="zh-CN"/>
              </w:rPr>
              <w:t>。</w:t>
            </w:r>
            <w:r>
              <w:rPr>
                <w:rFonts w:hint="default" w:ascii="Times New Roman" w:hAnsi="Times New Roman" w:cs="Times New Roman"/>
                <w:color w:val="000000"/>
              </w:rPr>
              <w:t>芒市大河为瑞丽江一级支流，位于东经98°05´～98°45´，北纬24°10´～24°35´。发源于龙陵县龙新乡，源地高程2235m，河流上游称坝竹河，由东北流向西南，经芒市城郊乡进入芒市，于大湾入芒市坝，穿行芒市坝后，在允门进入三台山峡谷，于坝托进入遮放坝，在遮放坝尾汇入龙江。芒市大河集水面积1903km</w:t>
            </w:r>
            <w:r>
              <w:rPr>
                <w:rFonts w:hint="default" w:ascii="Times New Roman" w:hAnsi="Times New Roman" w:cs="Times New Roman"/>
                <w:color w:val="000000"/>
                <w:vertAlign w:val="superscript"/>
              </w:rPr>
              <w:t>2</w:t>
            </w:r>
            <w:r>
              <w:rPr>
                <w:rFonts w:hint="default" w:ascii="Times New Roman" w:hAnsi="Times New Roman" w:cs="Times New Roman"/>
                <w:color w:val="000000"/>
              </w:rPr>
              <w:t>，河长111km，河道平均坡降为0.27%。</w:t>
            </w:r>
          </w:p>
          <w:p w14:paraId="4ECD841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aps w:val="0"/>
                <w:smallCaps w:val="0"/>
                <w:color w:val="auto"/>
              </w:rPr>
            </w:pPr>
            <w:r>
              <w:rPr>
                <w:rFonts w:hint="default" w:ascii="Times New Roman" w:hAnsi="Times New Roman" w:cs="Times New Roman"/>
                <w:color w:val="000000"/>
                <w:lang w:eastAsia="zh-CN"/>
              </w:rPr>
              <w:t>本次河道治理工程地表水主要为</w:t>
            </w:r>
            <w:r>
              <w:rPr>
                <w:rFonts w:hint="default" w:ascii="Times New Roman" w:hAnsi="Times New Roman" w:cs="Times New Roman"/>
                <w:color w:val="000000"/>
                <w:lang w:val="en-US" w:eastAsia="zh-CN"/>
              </w:rPr>
              <w:t>芒市大河</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aps w:val="0"/>
                <w:smallCaps w:val="0"/>
                <w:color w:val="auto"/>
              </w:rPr>
              <w:t>根据《云南省</w:t>
            </w:r>
            <w:r>
              <w:rPr>
                <w:rFonts w:hint="default" w:ascii="Times New Roman" w:hAnsi="Times New Roman" w:eastAsia="宋体" w:cs="Times New Roman"/>
                <w:caps w:val="0"/>
                <w:smallCaps w:val="0"/>
                <w:color w:val="auto"/>
                <w:lang w:eastAsia="zh-CN"/>
              </w:rPr>
              <w:t>水</w:t>
            </w:r>
            <w:r>
              <w:rPr>
                <w:rFonts w:hint="default" w:ascii="Times New Roman" w:hAnsi="Times New Roman" w:eastAsia="宋体" w:cs="Times New Roman"/>
                <w:caps w:val="0"/>
                <w:smallCaps w:val="0"/>
                <w:color w:val="auto"/>
              </w:rPr>
              <w:t>功能区划（</w:t>
            </w:r>
            <w:r>
              <w:rPr>
                <w:rFonts w:hint="default" w:ascii="Times New Roman" w:hAnsi="Times New Roman" w:eastAsia="宋体" w:cs="Times New Roman"/>
                <w:caps w:val="0"/>
                <w:smallCaps w:val="0"/>
                <w:color w:val="auto"/>
                <w:lang w:val="en-US" w:eastAsia="zh-CN"/>
              </w:rPr>
              <w:t>2014年修订</w:t>
            </w:r>
            <w:r>
              <w:rPr>
                <w:rFonts w:hint="default" w:ascii="Times New Roman" w:hAnsi="Times New Roman" w:eastAsia="宋体" w:cs="Times New Roman"/>
                <w:caps w:val="0"/>
                <w:smallCaps w:val="0"/>
                <w:color w:val="auto"/>
              </w:rPr>
              <w:t>）》</w:t>
            </w:r>
            <w:r>
              <w:rPr>
                <w:rFonts w:hint="default" w:ascii="Times New Roman" w:hAnsi="Times New Roman" w:eastAsia="宋体" w:cs="Times New Roman"/>
                <w:caps w:val="0"/>
                <w:smallCaps w:val="0"/>
                <w:color w:val="auto"/>
                <w:lang w:val="en-US" w:eastAsia="zh-CN"/>
              </w:rPr>
              <w:t>及《德宏州水功能区划复核和调整报告》（德政复〔2014〕257号）</w:t>
            </w:r>
            <w:r>
              <w:rPr>
                <w:rFonts w:hint="default" w:ascii="Times New Roman" w:hAnsi="Times New Roman" w:eastAsia="宋体" w:cs="Times New Roman"/>
                <w:caps w:val="0"/>
                <w:smallCaps w:val="0"/>
                <w:color w:val="auto"/>
              </w:rPr>
              <w:t>，</w:t>
            </w:r>
            <w:r>
              <w:rPr>
                <w:rFonts w:hint="eastAsia" w:cs="Times New Roman"/>
                <w:caps w:val="0"/>
                <w:smallCaps w:val="0"/>
                <w:color w:val="auto"/>
                <w:lang w:eastAsia="zh-CN"/>
              </w:rPr>
              <w:t>芒市大河</w:t>
            </w:r>
            <w:r>
              <w:rPr>
                <w:rFonts w:hint="default" w:ascii="Times New Roman" w:hAnsi="Times New Roman" w:eastAsia="宋体" w:cs="Times New Roman"/>
                <w:caps w:val="0"/>
                <w:smallCaps w:val="0"/>
                <w:color w:val="auto"/>
                <w:lang w:eastAsia="zh-CN"/>
              </w:rPr>
              <w:t>该河段属“芒市河芒市保留区”段，主要</w:t>
            </w:r>
            <w:r>
              <w:rPr>
                <w:rFonts w:hint="default" w:ascii="Times New Roman" w:hAnsi="Times New Roman" w:eastAsia="宋体" w:cs="Times New Roman"/>
                <w:caps w:val="0"/>
                <w:smallCaps w:val="0"/>
                <w:color w:val="auto"/>
                <w:lang w:val="en-US" w:eastAsia="zh-CN"/>
              </w:rPr>
              <w:t>水环境功能为</w:t>
            </w:r>
            <w:r>
              <w:rPr>
                <w:rFonts w:hint="default" w:ascii="Times New Roman" w:hAnsi="Times New Roman" w:eastAsia="宋体" w:cs="Times New Roman"/>
                <w:caps w:val="0"/>
                <w:smallCaps w:val="0"/>
                <w:color w:val="auto"/>
                <w:lang w:eastAsia="zh-CN"/>
              </w:rPr>
              <w:t>农业用水和工业用水，现状水质为Ⅲ类，</w:t>
            </w:r>
            <w:r>
              <w:rPr>
                <w:rFonts w:hint="eastAsia" w:cs="Times New Roman"/>
                <w:caps w:val="0"/>
                <w:smallCaps w:val="0"/>
                <w:color w:val="auto"/>
                <w:lang w:val="en-US" w:eastAsia="zh-CN"/>
              </w:rPr>
              <w:t>2030年</w:t>
            </w:r>
            <w:r>
              <w:rPr>
                <w:rFonts w:hint="default" w:ascii="Times New Roman" w:hAnsi="Times New Roman" w:eastAsia="宋体" w:cs="Times New Roman"/>
                <w:caps w:val="0"/>
                <w:smallCaps w:val="0"/>
                <w:color w:val="auto"/>
                <w:lang w:eastAsia="zh-CN"/>
              </w:rPr>
              <w:t>规划水平年水质目标为Ⅲ类；</w:t>
            </w:r>
            <w:r>
              <w:rPr>
                <w:rFonts w:hint="eastAsia" w:cs="Times New Roman"/>
                <w:caps w:val="0"/>
                <w:smallCaps w:val="0"/>
                <w:color w:val="auto"/>
                <w:lang w:eastAsia="zh-CN"/>
              </w:rPr>
              <w:t>项目</w:t>
            </w:r>
            <w:r>
              <w:rPr>
                <w:rFonts w:hint="default" w:ascii="Times New Roman" w:hAnsi="Times New Roman" w:eastAsia="宋体" w:cs="Times New Roman"/>
                <w:caps w:val="0"/>
                <w:smallCaps w:val="0"/>
                <w:color w:val="auto"/>
                <w:lang w:val="en-US" w:eastAsia="zh-CN"/>
              </w:rPr>
              <w:t>区域地表水体</w:t>
            </w:r>
            <w:r>
              <w:rPr>
                <w:rFonts w:hint="default" w:ascii="Times New Roman" w:hAnsi="Times New Roman" w:eastAsia="宋体" w:cs="Times New Roman"/>
                <w:caps w:val="0"/>
                <w:smallCaps w:val="0"/>
                <w:color w:val="auto"/>
              </w:rPr>
              <w:t>执行《地表水环境质量标准》（GB3838-2002）</w:t>
            </w:r>
            <w:r>
              <w:rPr>
                <w:rFonts w:hint="default" w:ascii="Times New Roman" w:hAnsi="Times New Roman" w:eastAsia="宋体" w:cs="Times New Roman"/>
                <w:caps w:val="0"/>
                <w:smallCaps w:val="0"/>
                <w:color w:val="auto"/>
              </w:rPr>
              <w:fldChar w:fldCharType="begin"/>
            </w:r>
            <w:r>
              <w:rPr>
                <w:rFonts w:hint="default" w:ascii="Times New Roman" w:hAnsi="Times New Roman" w:eastAsia="宋体" w:cs="Times New Roman"/>
                <w:caps w:val="0"/>
                <w:smallCaps w:val="0"/>
                <w:color w:val="auto"/>
              </w:rPr>
              <w:instrText xml:space="preserve"> = 3 \* ROMAN \* MERGEFORMAT </w:instrText>
            </w:r>
            <w:r>
              <w:rPr>
                <w:rFonts w:hint="default" w:ascii="Times New Roman" w:hAnsi="Times New Roman" w:eastAsia="宋体" w:cs="Times New Roman"/>
                <w:caps w:val="0"/>
                <w:smallCaps w:val="0"/>
                <w:color w:val="auto"/>
              </w:rPr>
              <w:fldChar w:fldCharType="separate"/>
            </w:r>
            <w:r>
              <w:rPr>
                <w:rFonts w:hint="default" w:ascii="Times New Roman" w:hAnsi="Times New Roman" w:eastAsia="宋体" w:cs="Times New Roman"/>
                <w:caps w:val="0"/>
                <w:smallCaps w:val="0"/>
                <w:color w:val="auto"/>
              </w:rPr>
              <w:t>III</w:t>
            </w:r>
            <w:r>
              <w:rPr>
                <w:rFonts w:hint="default" w:ascii="Times New Roman" w:hAnsi="Times New Roman" w:eastAsia="宋体" w:cs="Times New Roman"/>
                <w:caps w:val="0"/>
                <w:smallCaps w:val="0"/>
                <w:color w:val="auto"/>
              </w:rPr>
              <w:fldChar w:fldCharType="end"/>
            </w:r>
            <w:r>
              <w:rPr>
                <w:rFonts w:hint="default" w:ascii="Times New Roman" w:hAnsi="Times New Roman" w:eastAsia="宋体" w:cs="Times New Roman"/>
                <w:caps w:val="0"/>
                <w:smallCaps w:val="0"/>
                <w:color w:val="auto"/>
              </w:rPr>
              <w:t>类标准。</w:t>
            </w:r>
          </w:p>
          <w:p w14:paraId="3D4500EF">
            <w:pPr>
              <w:pStyle w:val="6"/>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val="0"/>
                <w:caps w:val="0"/>
                <w:smallCaps w:val="0"/>
                <w:color w:val="auto"/>
                <w:kern w:val="2"/>
                <w:sz w:val="24"/>
                <w:szCs w:val="24"/>
                <w:lang w:val="en-US" w:eastAsia="zh-CN" w:bidi="ar-SA"/>
              </w:rPr>
            </w:pPr>
            <w:r>
              <w:rPr>
                <w:rFonts w:hint="default" w:ascii="Times New Roman" w:hAnsi="Times New Roman" w:eastAsia="宋体" w:cs="Times New Roman"/>
                <w:b w:val="0"/>
                <w:caps w:val="0"/>
                <w:smallCaps w:val="0"/>
                <w:color w:val="auto"/>
                <w:kern w:val="2"/>
                <w:sz w:val="24"/>
                <w:szCs w:val="24"/>
                <w:lang w:val="en-US" w:eastAsia="zh-CN" w:bidi="ar-SA"/>
              </w:rPr>
              <w:t>根据《2022年德宏州环境状况公报》，2022年全州6条河流水质总体良好，芒市大河水质为良好，全州11个国控、省控河流监测断面中，8个断面水质类别为Ⅱ类，3个断面水质类别为III类，其中II水质占72.7%，III水质占27.3%，所有河流断面均满足其水环境功能区水质目标要求，全州河流水质状况优良率100%。项目区周边主要为村庄、耕地等，基本不存在地表水环境污染源，区域地表水环境质量状况良好。</w:t>
            </w:r>
          </w:p>
          <w:p w14:paraId="4CD71470">
            <w:pPr>
              <w:pStyle w:val="6"/>
              <w:keepNext/>
              <w:keepLines/>
              <w:pageBreakBefore w:val="0"/>
              <w:widowControl w:val="0"/>
              <w:kinsoku/>
              <w:wordWrap/>
              <w:overflowPunct/>
              <w:topLinePunct w:val="0"/>
              <w:autoSpaceDE/>
              <w:autoSpaceDN/>
              <w:bidi w:val="0"/>
              <w:adjustRightInd w:val="0"/>
              <w:snapToGrid/>
              <w:spacing w:before="0" w:after="0" w:line="360" w:lineRule="auto"/>
              <w:textAlignment w:val="auto"/>
              <w:rPr>
                <w:rFonts w:hint="default" w:ascii="Times New Roman" w:hAnsi="Times New Roman" w:eastAsia="宋体" w:cs="Times New Roman"/>
                <w:caps w:val="0"/>
                <w:smallCaps w:val="0"/>
                <w:color w:val="auto"/>
                <w:sz w:val="24"/>
                <w:szCs w:val="24"/>
              </w:rPr>
            </w:pPr>
            <w:r>
              <w:rPr>
                <w:rFonts w:hint="eastAsia" w:ascii="Times New Roman" w:hAnsi="Times New Roman" w:cs="Times New Roman"/>
                <w:caps w:val="0"/>
                <w:smallCaps w:val="0"/>
                <w:color w:val="auto"/>
                <w:sz w:val="24"/>
                <w:szCs w:val="24"/>
                <w:lang w:val="en-US" w:eastAsia="zh-CN"/>
              </w:rPr>
              <w:t>3</w:t>
            </w:r>
            <w:r>
              <w:rPr>
                <w:rFonts w:hint="default" w:ascii="Times New Roman" w:hAnsi="Times New Roman" w:eastAsia="宋体" w:cs="Times New Roman"/>
                <w:caps w:val="0"/>
                <w:smallCaps w:val="0"/>
                <w:color w:val="auto"/>
                <w:sz w:val="24"/>
                <w:szCs w:val="24"/>
                <w:lang w:val="en-US" w:eastAsia="zh-CN"/>
              </w:rPr>
              <w:t>、</w:t>
            </w:r>
            <w:r>
              <w:rPr>
                <w:rFonts w:hint="default" w:ascii="Times New Roman" w:hAnsi="Times New Roman" w:eastAsia="宋体" w:cs="Times New Roman"/>
                <w:caps w:val="0"/>
                <w:smallCaps w:val="0"/>
                <w:color w:val="auto"/>
                <w:sz w:val="24"/>
                <w:szCs w:val="24"/>
              </w:rPr>
              <w:t>声环境质量现状</w:t>
            </w:r>
          </w:p>
          <w:p w14:paraId="098973A3">
            <w:pPr>
              <w:bidi w:val="0"/>
              <w:rPr>
                <w:rFonts w:hint="default" w:ascii="Times New Roman" w:hAnsi="Times New Roman" w:eastAsia="宋体" w:cs="Times New Roman"/>
                <w:caps w:val="0"/>
                <w:smallCaps w:val="0"/>
                <w:color w:val="auto"/>
              </w:rPr>
            </w:pPr>
            <w:r>
              <w:rPr>
                <w:rFonts w:hint="default" w:ascii="Times New Roman" w:hAnsi="Times New Roman" w:eastAsia="宋体" w:cs="Times New Roman"/>
                <w:caps w:val="0"/>
                <w:smallCaps w:val="0"/>
                <w:color w:val="auto"/>
              </w:rPr>
              <w:t>本次</w:t>
            </w:r>
            <w:r>
              <w:rPr>
                <w:rFonts w:hint="default" w:ascii="Times New Roman" w:hAnsi="Times New Roman" w:eastAsia="宋体" w:cs="Times New Roman"/>
                <w:caps w:val="0"/>
                <w:smallCaps w:val="0"/>
                <w:color w:val="auto"/>
                <w:lang w:eastAsia="zh-CN"/>
              </w:rPr>
              <w:t>河道治理工程主要</w:t>
            </w:r>
            <w:r>
              <w:rPr>
                <w:rFonts w:hint="default" w:ascii="Times New Roman" w:hAnsi="Times New Roman" w:eastAsia="宋体" w:cs="Times New Roman"/>
                <w:caps w:val="0"/>
                <w:smallCaps w:val="0"/>
                <w:color w:val="auto"/>
              </w:rPr>
              <w:t>位于</w:t>
            </w:r>
            <w:r>
              <w:rPr>
                <w:rFonts w:hint="default" w:ascii="Times New Roman" w:hAnsi="Times New Roman" w:eastAsia="宋体" w:cs="Times New Roman"/>
                <w:caps w:val="0"/>
                <w:smallCaps w:val="0"/>
                <w:color w:val="auto"/>
                <w:lang w:eastAsia="zh-CN"/>
              </w:rPr>
              <w:t>芒市</w:t>
            </w:r>
            <w:r>
              <w:rPr>
                <w:rFonts w:hint="default" w:ascii="Times New Roman" w:hAnsi="Times New Roman" w:eastAsia="宋体" w:cs="Times New Roman"/>
                <w:color w:val="auto"/>
                <w:kern w:val="0"/>
                <w:sz w:val="24"/>
                <w:szCs w:val="24"/>
                <w:lang w:val="en-US" w:eastAsia="zh-CN" w:bidi="ar-SA"/>
              </w:rPr>
              <w:t>芒市镇</w:t>
            </w:r>
            <w:r>
              <w:rPr>
                <w:rFonts w:hint="default" w:ascii="Times New Roman" w:hAnsi="Times New Roman" w:eastAsia="宋体" w:cs="Times New Roman"/>
                <w:caps w:val="0"/>
                <w:smallCaps w:val="0"/>
                <w:color w:val="auto"/>
              </w:rPr>
              <w:t>，</w:t>
            </w:r>
            <w:r>
              <w:rPr>
                <w:color w:val="auto"/>
              </w:rPr>
              <w:t>项目区域内没有较大噪声污染源，主要的噪声源为车辆交通噪声，属于间歇性污染源</w:t>
            </w:r>
            <w:r>
              <w:rPr>
                <w:rFonts w:hint="default" w:ascii="Times New Roman" w:hAnsi="Times New Roman" w:eastAsia="宋体" w:cs="Times New Roman"/>
                <w:caps w:val="0"/>
                <w:smallCaps w:val="0"/>
                <w:color w:val="auto"/>
                <w:lang w:eastAsia="zh-CN"/>
              </w:rPr>
              <w:t>本次治理工程区域</w:t>
            </w:r>
            <w:r>
              <w:rPr>
                <w:rFonts w:hint="default" w:ascii="Times New Roman" w:hAnsi="Times New Roman" w:eastAsia="宋体" w:cs="Times New Roman"/>
                <w:caps w:val="0"/>
                <w:smallCaps w:val="0"/>
                <w:color w:val="auto"/>
              </w:rPr>
              <w:t>执行《声环境质量标准》（GB3096-2008）</w:t>
            </w:r>
            <w:r>
              <w:rPr>
                <w:rFonts w:hint="eastAsia" w:ascii="Times New Roman" w:hAnsi="Times New Roman" w:cs="Times New Roman"/>
                <w:caps w:val="0"/>
                <w:smallCaps w:val="0"/>
                <w:color w:val="auto"/>
                <w:lang w:val="en-US" w:eastAsia="zh-CN"/>
              </w:rPr>
              <w:t>2</w:t>
            </w:r>
            <w:r>
              <w:rPr>
                <w:rFonts w:hint="default" w:ascii="Times New Roman" w:hAnsi="Times New Roman" w:eastAsia="宋体" w:cs="Times New Roman"/>
                <w:caps w:val="0"/>
                <w:smallCaps w:val="0"/>
                <w:color w:val="auto"/>
              </w:rPr>
              <w:t>类标准。</w:t>
            </w:r>
          </w:p>
          <w:p w14:paraId="158A1BCD">
            <w:pPr>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根据《202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年德宏州环境状况公报》，202</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年</w:t>
            </w:r>
            <w:r>
              <w:rPr>
                <w:rFonts w:hint="default" w:ascii="Times New Roman" w:hAnsi="Times New Roman" w:eastAsia="宋体" w:cs="Times New Roman"/>
                <w:color w:val="auto"/>
              </w:rPr>
              <w:t>全州5个城市共设置35个功能区声环境质量监测点。</w:t>
            </w:r>
            <w:r>
              <w:rPr>
                <w:rFonts w:hint="default" w:ascii="Times New Roman" w:hAnsi="Times New Roman" w:eastAsia="宋体" w:cs="Times New Roman"/>
                <w:color w:val="auto"/>
                <w:lang w:eastAsia="zh-CN"/>
              </w:rPr>
              <w:t>各类功能区昼间达标率100%，夜间达标率97.0%，功能区声环境质量夜间有一定的改善。全州5县市平均等效声级无论昼夜均达到相应功能区标准，点次达标率除瑞丽市夜间外均达到100%，所有县市功能区声环境质量基本稳定持平。</w:t>
            </w:r>
          </w:p>
          <w:p w14:paraId="5233EF94">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根据现场调查，</w:t>
            </w:r>
            <w:r>
              <w:rPr>
                <w:rFonts w:hint="eastAsia" w:cs="Times New Roman"/>
                <w:color w:val="auto"/>
                <w:lang w:eastAsia="zh-CN"/>
              </w:rPr>
              <w:t>项目工程施工区</w:t>
            </w:r>
            <w:r>
              <w:rPr>
                <w:rFonts w:hint="default" w:ascii="Times New Roman" w:hAnsi="Times New Roman" w:eastAsia="宋体" w:cs="Times New Roman"/>
                <w:color w:val="auto"/>
                <w:kern w:val="0"/>
                <w:sz w:val="24"/>
                <w:szCs w:val="24"/>
                <w:lang w:val="en-US" w:eastAsia="zh-CN" w:bidi="ar"/>
              </w:rPr>
              <w:t>外周边50m范围内无声环境保护目标，按《建设项目环境影响报告表编制技术指南（污染影响类）（试行）》的要求，无需进行声环境质量现状监测</w:t>
            </w:r>
            <w:r>
              <w:rPr>
                <w:rFonts w:hint="eastAsia" w:ascii="Times New Roman" w:hAnsi="Times New Roman" w:cs="Times New Roman"/>
                <w:color w:val="auto"/>
                <w:kern w:val="0"/>
                <w:sz w:val="24"/>
                <w:szCs w:val="24"/>
                <w:lang w:val="en-US" w:eastAsia="zh-CN" w:bidi="ar"/>
              </w:rPr>
              <w:t>。项目</w:t>
            </w:r>
            <w:r>
              <w:rPr>
                <w:rFonts w:hint="default" w:ascii="Times New Roman" w:hAnsi="Times New Roman" w:eastAsia="宋体" w:cs="Times New Roman"/>
                <w:color w:val="auto"/>
                <w:lang w:eastAsia="zh-CN"/>
              </w:rPr>
              <w:t>工程</w:t>
            </w:r>
            <w:r>
              <w:rPr>
                <w:rFonts w:hint="default" w:ascii="Times New Roman" w:hAnsi="Times New Roman" w:eastAsia="宋体" w:cs="Times New Roman"/>
                <w:caps w:val="0"/>
                <w:smallCaps w:val="0"/>
                <w:color w:val="auto"/>
              </w:rPr>
              <w:t>所在区域主要为村庄、</w:t>
            </w:r>
            <w:r>
              <w:rPr>
                <w:rFonts w:hint="default" w:ascii="Times New Roman" w:hAnsi="Times New Roman" w:eastAsia="宋体" w:cs="Times New Roman"/>
                <w:caps w:val="0"/>
                <w:smallCaps w:val="0"/>
                <w:color w:val="auto"/>
                <w:lang w:val="en-US" w:eastAsia="zh-CN"/>
              </w:rPr>
              <w:t>耕地</w:t>
            </w:r>
            <w:r>
              <w:rPr>
                <w:rFonts w:hint="default" w:ascii="Times New Roman" w:hAnsi="Times New Roman" w:eastAsia="宋体" w:cs="Times New Roman"/>
                <w:caps w:val="0"/>
                <w:smallCaps w:val="0"/>
                <w:color w:val="auto"/>
              </w:rPr>
              <w:t>，无高噪声污染源</w:t>
            </w:r>
            <w:r>
              <w:rPr>
                <w:rFonts w:hint="default" w:ascii="Times New Roman" w:hAnsi="Times New Roman" w:eastAsia="宋体" w:cs="Times New Roman"/>
                <w:caps w:val="0"/>
                <w:smallCaps w:val="0"/>
                <w:color w:val="auto"/>
                <w:lang w:eastAsia="zh-CN"/>
              </w:rPr>
              <w:t>，</w:t>
            </w:r>
            <w:r>
              <w:rPr>
                <w:rFonts w:hint="default" w:ascii="Times New Roman" w:hAnsi="Times New Roman" w:eastAsia="宋体" w:cs="Times New Roman"/>
                <w:caps w:val="0"/>
                <w:smallCaps w:val="0"/>
                <w:color w:val="auto"/>
                <w:spacing w:val="0"/>
                <w:highlight w:val="none"/>
              </w:rPr>
              <w:t>噪声背景值低，声环境质量状况良好。</w:t>
            </w:r>
          </w:p>
          <w:p w14:paraId="46D8AADB">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地下水、土壤环境质量现状</w:t>
            </w:r>
          </w:p>
          <w:p w14:paraId="18AF664E">
            <w:pPr>
              <w:pStyle w:val="37"/>
              <w:bidi w:val="0"/>
              <w:rPr>
                <w:rFonts w:hint="eastAsia" w:ascii="Times New Roman" w:hAnsi="Times New Roman" w:eastAsia="宋体" w:cs="Times New Roman"/>
                <w:color w:val="auto"/>
                <w:kern w:val="0"/>
                <w:lang w:eastAsia="zh-CN"/>
              </w:rPr>
            </w:pPr>
            <w:r>
              <w:rPr>
                <w:rFonts w:hint="default" w:ascii="Times New Roman" w:hAnsi="Times New Roman" w:eastAsia="宋体" w:cs="Times New Roman"/>
                <w:color w:val="auto"/>
              </w:rPr>
              <w:t>本项目治理河段位于</w:t>
            </w:r>
            <w:r>
              <w:rPr>
                <w:rFonts w:hint="default" w:ascii="Times New Roman" w:hAnsi="Times New Roman" w:eastAsia="宋体" w:cs="Times New Roman"/>
                <w:color w:val="auto"/>
                <w:lang w:eastAsia="zh-CN"/>
              </w:rPr>
              <w:t>芒市</w:t>
            </w:r>
            <w:r>
              <w:rPr>
                <w:rFonts w:hint="eastAsia" w:cs="Times New Roman"/>
                <w:color w:val="auto"/>
                <w:lang w:eastAsia="zh-CN"/>
              </w:rPr>
              <w:t>芒市镇</w:t>
            </w:r>
            <w:r>
              <w:rPr>
                <w:rFonts w:hint="default" w:ascii="Times New Roman" w:hAnsi="Times New Roman" w:eastAsia="宋体" w:cs="Times New Roman"/>
                <w:color w:val="auto"/>
              </w:rPr>
              <w:t>，根据现场调查，工程沿线周边</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00m范围内不涉及集中式饮用水水源和热水、矿泉水、温泉等特殊地下水资源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项目区</w:t>
            </w:r>
            <w:r>
              <w:rPr>
                <w:rFonts w:hint="default" w:ascii="Times New Roman" w:hAnsi="Times New Roman" w:eastAsia="宋体" w:cs="Times New Roman"/>
                <w:color w:val="auto"/>
              </w:rPr>
              <w:t>周边主要为村庄、耕地等，基本不存在土壤环境及地下水环境污染源，区域地下水及土壤环境质量状况良好</w:t>
            </w:r>
            <w:r>
              <w:rPr>
                <w:rFonts w:hint="default" w:ascii="Times New Roman" w:hAnsi="Times New Roman" w:eastAsia="宋体" w:cs="Times New Roman"/>
                <w:color w:val="auto"/>
                <w:lang w:eastAsia="zh-CN"/>
              </w:rPr>
              <w:t>。</w:t>
            </w:r>
            <w:bookmarkEnd w:id="32"/>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《建设项目环境影响报告表编制技术指南</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污染影响类</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原则上不开展</w:t>
            </w:r>
            <w:r>
              <w:rPr>
                <w:rFonts w:hint="default" w:ascii="Times New Roman" w:hAnsi="Times New Roman" w:cs="Times New Roman"/>
                <w:color w:val="auto"/>
                <w:sz w:val="24"/>
                <w:szCs w:val="24"/>
              </w:rPr>
              <w:t>地下水环境</w:t>
            </w:r>
            <w:r>
              <w:rPr>
                <w:rFonts w:hint="default" w:ascii="Times New Roman" w:hAnsi="Times New Roman" w:cs="Times New Roman"/>
                <w:color w:val="auto"/>
                <w:sz w:val="24"/>
                <w:szCs w:val="24"/>
                <w:lang w:eastAsia="zh-CN"/>
              </w:rPr>
              <w:t>质量</w:t>
            </w:r>
            <w:r>
              <w:rPr>
                <w:rFonts w:hint="default" w:ascii="Times New Roman" w:hAnsi="Times New Roman" w:eastAsia="宋体" w:cs="Times New Roman"/>
                <w:color w:val="auto"/>
                <w:sz w:val="24"/>
                <w:szCs w:val="24"/>
                <w:lang w:eastAsia="zh-CN"/>
              </w:rPr>
              <w:t>现状调查，</w:t>
            </w:r>
            <w:r>
              <w:rPr>
                <w:rFonts w:hint="default" w:ascii="Times New Roman" w:hAnsi="Times New Roman" w:cs="Times New Roman"/>
                <w:color w:val="auto"/>
                <w:sz w:val="24"/>
                <w:szCs w:val="24"/>
                <w:lang w:eastAsia="zh-CN"/>
              </w:rPr>
              <w:t>且建设项目运营期不存在土壤、地下水环境污染途径的，</w:t>
            </w:r>
            <w:r>
              <w:rPr>
                <w:rFonts w:hint="default" w:ascii="Times New Roman" w:hAnsi="Times New Roman" w:eastAsia="宋体" w:cs="Times New Roman"/>
                <w:color w:val="auto"/>
                <w:kern w:val="0"/>
                <w:sz w:val="24"/>
                <w:szCs w:val="24"/>
                <w:lang w:val="en-US" w:eastAsia="zh-CN" w:bidi="ar"/>
              </w:rPr>
              <w:t>无需进行</w:t>
            </w:r>
            <w:r>
              <w:rPr>
                <w:rFonts w:hint="default" w:ascii="Times New Roman" w:hAnsi="Times New Roman" w:cs="Times New Roman"/>
                <w:color w:val="auto"/>
                <w:kern w:val="0"/>
                <w:sz w:val="24"/>
                <w:szCs w:val="24"/>
                <w:lang w:val="en-US" w:eastAsia="zh-CN" w:bidi="ar"/>
              </w:rPr>
              <w:t>地下水及土壤</w:t>
            </w:r>
            <w:r>
              <w:rPr>
                <w:rFonts w:hint="default" w:ascii="Times New Roman" w:hAnsi="Times New Roman" w:eastAsia="宋体" w:cs="Times New Roman"/>
                <w:color w:val="auto"/>
                <w:kern w:val="0"/>
                <w:sz w:val="24"/>
                <w:szCs w:val="24"/>
                <w:lang w:val="en-US" w:eastAsia="zh-CN" w:bidi="ar"/>
              </w:rPr>
              <w:t>环境质量现状监测</w:t>
            </w:r>
            <w:r>
              <w:rPr>
                <w:rFonts w:hint="eastAsia" w:ascii="Times New Roman" w:hAnsi="Times New Roman" w:cs="Times New Roman"/>
                <w:color w:val="auto"/>
                <w:kern w:val="0"/>
                <w:sz w:val="24"/>
                <w:szCs w:val="24"/>
                <w:lang w:val="en-US" w:eastAsia="zh-CN" w:bidi="ar"/>
              </w:rPr>
              <w:t>。</w:t>
            </w:r>
          </w:p>
        </w:tc>
      </w:tr>
      <w:tr w14:paraId="4FD45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352" w:type="pct"/>
            <w:vAlign w:val="center"/>
          </w:tcPr>
          <w:p w14:paraId="52D49A16">
            <w:pPr>
              <w:adjustRightInd w:val="0"/>
              <w:snapToGrid w:val="0"/>
              <w:ind w:left="0" w:leftChars="0" w:firstLine="0" w:firstLineChars="0"/>
              <w:jc w:val="center"/>
              <w:rPr>
                <w:rFonts w:hint="default" w:ascii="Times New Roman" w:hAnsi="Times New Roman" w:cs="Times New Roman"/>
                <w:color w:val="auto"/>
                <w:kern w:val="0"/>
                <w:sz w:val="24"/>
              </w:rPr>
            </w:pPr>
            <w:r>
              <w:rPr>
                <w:rFonts w:hint="default" w:ascii="Times New Roman" w:hAnsi="Times New Roman" w:cs="Times New Roman"/>
                <w:bCs/>
                <w:color w:val="auto"/>
                <w:sz w:val="24"/>
              </w:rPr>
              <w:t>与项目有关的原有环境污染和生态破坏问题</w:t>
            </w:r>
          </w:p>
        </w:tc>
        <w:tc>
          <w:tcPr>
            <w:tcW w:w="4647" w:type="pct"/>
            <w:vAlign w:val="top"/>
          </w:tcPr>
          <w:p w14:paraId="6AE8123D">
            <w:pPr>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1、河道现状及存在问题</w:t>
            </w:r>
          </w:p>
          <w:p w14:paraId="7B22F429">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 xml:space="preserve">芒市大河新桥电站至洞坎大桥段河段为洪水易泛河段，沿河农田、村寨常受洪水威胁。新中国成立以来，就陆续组织当地群众筑堤防洪排涝，从1976年～2020年间累计完成筑堤土方3.8万m³，钢筋石笼石方0.4万m³，总投资80万元。2020年对芒市大河德宏师专段右岸局部应急险堤段按五年一遇的设防标准修筑抛石护岸。 </w:t>
            </w:r>
          </w:p>
          <w:p w14:paraId="153DD023">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 xml:space="preserve">芒市大河新桥电站至洞坎大桥段河道治理工程终点以下为芒市大河二期、一期治理段，已建成的堤防防洪标准为10年一遇。目前坝区上段河段仍为天然状态，无防洪设施，致使芒市大河坝区上段防洪治理工程体系建设不完善，洪涝灾害仍时常发生。目前治理河段大多数河段还达不到5年一遇标准要求。 </w:t>
            </w:r>
          </w:p>
          <w:p w14:paraId="3BD5C1E1">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 xml:space="preserve">（1）治理河段现状无河堤，为天然状况，不存在明显的河堤界线， 长期的农田扩张、农民长期私占河道、临河乱开挖建设鱼塘、非法筑坝取水现象突出，严重影响河道泄洪，河滩被占用，田埂、鱼塘塘埂与河道直接相邻，汛期行洪能力差，汛期时常发生洪涝灾害。 </w:t>
            </w:r>
          </w:p>
          <w:p w14:paraId="5427B866">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（2）治理段河岸稳定性差。河岸出露岩土地质结构为：耕土、细砂和砂卵砾石层，松散至稍密，散体结构，抗河水水流冲刷能力弱，河岸遭河水水流冲刷易失稳。</w:t>
            </w:r>
          </w:p>
          <w:p w14:paraId="40E1D089">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 xml:space="preserve">（3）排涝入口无配套设施，直接横穿河堤，对河堤造成影响、损坏， 部分地势较矮田块还将受到洪水倒灌威胁。 </w:t>
            </w:r>
          </w:p>
          <w:p w14:paraId="5554CFEA">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（4）河道防洪基础设施薄弱，沿岸农田基本无建成的防洪设施，大多处于不设防状态，遇到洪水将造成较大的洪涝灾害。多年来，治理段缺乏投资渠道，治理资金严重不足，防洪经费投入不到位。</w:t>
            </w:r>
          </w:p>
          <w:p w14:paraId="1DDB4266">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eastAsia" w:cs="Times New Roman"/>
                <w:b/>
                <w:bCs/>
                <w:color w:val="auto"/>
                <w:kern w:val="0"/>
                <w:lang w:val="en-US" w:eastAsia="zh-CN"/>
              </w:rPr>
            </w:pPr>
            <w:r>
              <w:rPr>
                <w:rFonts w:hint="eastAsia" w:cs="Times New Roman"/>
                <w:b/>
                <w:bCs/>
                <w:color w:val="auto"/>
                <w:kern w:val="0"/>
                <w:lang w:val="en-US" w:eastAsia="zh-CN"/>
              </w:rPr>
              <w:t>2.环境污染及生态破坏问题</w:t>
            </w:r>
          </w:p>
          <w:p w14:paraId="6E2D7975">
            <w:pPr>
              <w:keepNext w:val="0"/>
              <w:keepLines w:val="0"/>
              <w:pageBreakBefore w:val="0"/>
              <w:widowControl w:val="0"/>
              <w:kinsoku/>
              <w:wordWrap/>
              <w:overflowPunct/>
              <w:topLinePunct w:val="0"/>
              <w:autoSpaceDE/>
              <w:autoSpaceDN/>
              <w:bidi w:val="0"/>
              <w:adjustRightInd/>
              <w:snapToGrid/>
              <w:spacing w:line="360" w:lineRule="auto"/>
              <w:ind w:left="0" w:right="0" w:firstLine="482"/>
              <w:jc w:val="both"/>
              <w:textAlignment w:val="auto"/>
              <w:rPr>
                <w:rFonts w:hint="default" w:cs="Times New Roman"/>
                <w:color w:val="auto"/>
                <w:kern w:val="0"/>
                <w:lang w:val="en-US" w:eastAsia="zh-CN"/>
              </w:rPr>
            </w:pPr>
            <w:r>
              <w:rPr>
                <w:rFonts w:hint="default" w:cs="Times New Roman"/>
                <w:color w:val="auto"/>
                <w:kern w:val="0"/>
                <w:lang w:val="en-US" w:eastAsia="zh-CN"/>
              </w:rPr>
              <w:t>芒市每年在雨季均遭到不同程度的洪水威胁，最近一次洪灾发生在 2020年8月24日至25日，8月24日夜间至25日凌晨，芒市突降暴雨，局部 达大暴雨，据水文遥测数据，暴雨达25站次，其中大暴雨4站次。受此次强降雨过程影响，芒市大河全线大幅涨水，多个水文、水位站超警。25日0时40分木康水文站水位起涨，4时40分到达峰顶水位920.13m，超保证水位0.13m；1时10分芒市水文站水位起涨，5时50分到达峰顶水位881.06m，超警戒水位0.11m；2时20分潞西水位站水位起涨，13时20分到达峰顶水位860.49m，超保证水位0.19m，其它水文站不同程度上涨。芒市大河上 游部分地区出现突发山洪滑坡泥石流灾害，8月25日，受持续强降雨影响，芒市镇下东村委会硝塘村民小组和干沟田村民小组发生滑坡泥石流灾害，造成1人死亡、3人受伤；龙江和芒市大河同时发生洪水，芒市大河出现超保证水位洪水，部分堤段洪水漫堤等严峻形势。</w:t>
            </w:r>
          </w:p>
        </w:tc>
      </w:tr>
      <w:tr w14:paraId="5D068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vAlign w:val="center"/>
          </w:tcPr>
          <w:p w14:paraId="553B7166">
            <w:pPr>
              <w:bidi w:val="0"/>
              <w:ind w:left="0" w:leftChars="0" w:firstLine="0" w:firstLineChars="0"/>
              <w:jc w:val="center"/>
              <w:rPr>
                <w:rFonts w:hint="default" w:ascii="Times New Roman" w:hAnsi="Times New Roman" w:cs="Times New Roman"/>
                <w:color w:val="auto"/>
                <w:kern w:val="0"/>
              </w:rPr>
            </w:pPr>
            <w:r>
              <w:rPr>
                <w:rFonts w:hint="default"/>
                <w:color w:val="auto"/>
              </w:rPr>
              <w:t>生态环境保护目标</w:t>
            </w:r>
          </w:p>
        </w:tc>
        <w:tc>
          <w:tcPr>
            <w:tcW w:w="4647" w:type="pct"/>
            <w:vAlign w:val="center"/>
          </w:tcPr>
          <w:p w14:paraId="66A7B215">
            <w:pPr>
              <w:pStyle w:val="37"/>
              <w:bidi w:val="0"/>
              <w:rPr>
                <w:rFonts w:hint="eastAsia" w:eastAsia="宋体"/>
                <w:color w:val="auto"/>
                <w:lang w:eastAsia="zh-CN"/>
              </w:rPr>
            </w:pPr>
            <w:r>
              <w:rPr>
                <w:rFonts w:hint="default" w:ascii="Times New Roman" w:hAnsi="Times New Roman" w:eastAsia="宋体" w:cs="Times New Roman"/>
                <w:color w:val="auto"/>
                <w:kern w:val="0"/>
                <w:sz w:val="24"/>
                <w:szCs w:val="24"/>
                <w:lang w:val="en-US" w:eastAsia="zh-CN" w:bidi="ar-SA"/>
              </w:rPr>
              <w:t>本次治理河段于德宏州芒市芒市镇，位于德宏州东南部。治理河段全长3.83km，治理段起于大湾电站取水坝下游，</w:t>
            </w:r>
            <w:r>
              <w:rPr>
                <w:rFonts w:hint="eastAsia" w:cs="Times New Roman"/>
                <w:color w:val="auto"/>
                <w:kern w:val="0"/>
                <w:sz w:val="24"/>
                <w:szCs w:val="24"/>
                <w:lang w:val="en-US" w:eastAsia="zh-CN" w:bidi="ar-SA"/>
              </w:rPr>
              <w:t>止</w:t>
            </w:r>
            <w:r>
              <w:rPr>
                <w:rFonts w:hint="default" w:ascii="Times New Roman" w:hAnsi="Times New Roman" w:eastAsia="宋体" w:cs="Times New Roman"/>
                <w:color w:val="auto"/>
                <w:kern w:val="0"/>
                <w:sz w:val="24"/>
                <w:szCs w:val="24"/>
                <w:lang w:val="en-US" w:eastAsia="zh-CN" w:bidi="ar-SA"/>
              </w:rPr>
              <w:t>于大湾大沟取水坝</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lang w:bidi="ar"/>
              </w:rPr>
              <w:t>大气环境保护范围为项目范围选址外500m区域，</w:t>
            </w:r>
            <w:r>
              <w:rPr>
                <w:rFonts w:hint="eastAsia" w:ascii="Times New Roman" w:hAnsi="Times New Roman" w:cs="Times New Roman"/>
                <w:b w:val="0"/>
                <w:bCs w:val="0"/>
                <w:color w:val="auto"/>
                <w:sz w:val="24"/>
                <w:lang w:eastAsia="zh-CN" w:bidi="ar"/>
              </w:rPr>
              <w:t>项目</w:t>
            </w:r>
            <w:r>
              <w:rPr>
                <w:rFonts w:hint="default" w:ascii="Times New Roman" w:hAnsi="Times New Roman" w:cs="Times New Roman"/>
                <w:b w:val="0"/>
                <w:bCs w:val="0"/>
                <w:color w:val="auto"/>
                <w:sz w:val="24"/>
                <w:lang w:bidi="ar"/>
              </w:rPr>
              <w:t>范围外50m范围</w:t>
            </w:r>
            <w:r>
              <w:rPr>
                <w:rFonts w:hint="eastAsia" w:ascii="Times New Roman" w:hAnsi="Times New Roman" w:cs="Times New Roman"/>
                <w:b w:val="0"/>
                <w:bCs w:val="0"/>
                <w:color w:val="auto"/>
                <w:sz w:val="24"/>
                <w:lang w:eastAsia="zh-CN" w:bidi="ar"/>
              </w:rPr>
              <w:t>无声环境保护目标，</w:t>
            </w:r>
            <w:r>
              <w:rPr>
                <w:rFonts w:hint="default" w:ascii="Times New Roman" w:hAnsi="Times New Roman" w:cs="Times New Roman"/>
                <w:b w:val="0"/>
                <w:bCs w:val="0"/>
                <w:color w:val="auto"/>
                <w:sz w:val="24"/>
                <w:lang w:bidi="ar"/>
              </w:rPr>
              <w:t>地表水环境保护目标为</w:t>
            </w:r>
            <w:r>
              <w:rPr>
                <w:rFonts w:hint="eastAsia" w:ascii="Times New Roman" w:hAnsi="Times New Roman" w:cs="Times New Roman"/>
                <w:b w:val="0"/>
                <w:bCs w:val="0"/>
                <w:color w:val="auto"/>
                <w:sz w:val="24"/>
                <w:lang w:eastAsia="zh-CN" w:bidi="ar"/>
              </w:rPr>
              <w:t>芒市大河</w:t>
            </w:r>
            <w:r>
              <w:rPr>
                <w:rFonts w:hint="default" w:ascii="Times New Roman" w:hAnsi="Times New Roman" w:cs="Times New Roman"/>
                <w:b w:val="0"/>
                <w:bCs w:val="0"/>
                <w:color w:val="auto"/>
                <w:sz w:val="24"/>
                <w:lang w:bidi="ar"/>
              </w:rPr>
              <w:t>、</w:t>
            </w:r>
            <w:r>
              <w:rPr>
                <w:rFonts w:hint="eastAsia" w:ascii="Times New Roman" w:hAnsi="Times New Roman" w:cs="Times New Roman"/>
                <w:b w:val="0"/>
                <w:bCs w:val="0"/>
                <w:color w:val="auto"/>
                <w:sz w:val="24"/>
                <w:lang w:eastAsia="zh-CN" w:bidi="ar"/>
              </w:rPr>
              <w:t>厂河</w:t>
            </w:r>
            <w:r>
              <w:rPr>
                <w:rFonts w:hint="default" w:ascii="Times New Roman" w:hAnsi="Times New Roman" w:cs="Times New Roman"/>
                <w:b w:val="0"/>
                <w:bCs w:val="0"/>
                <w:color w:val="auto"/>
                <w:sz w:val="24"/>
                <w:lang w:bidi="ar"/>
              </w:rPr>
              <w:t>、</w:t>
            </w:r>
            <w:r>
              <w:rPr>
                <w:rFonts w:hint="eastAsia" w:ascii="Times New Roman" w:hAnsi="Times New Roman" w:cs="Times New Roman"/>
                <w:b w:val="0"/>
                <w:bCs w:val="0"/>
                <w:color w:val="auto"/>
                <w:sz w:val="24"/>
                <w:lang w:eastAsia="zh-CN" w:bidi="ar"/>
              </w:rPr>
              <w:t>龙门沟。</w:t>
            </w:r>
            <w:r>
              <w:rPr>
                <w:color w:val="auto"/>
              </w:rPr>
              <w:t>经调查工程不涉及自然保护区、风景名胜区、文物古迹等敏感保护目标。根据项目特点和周围的自然、社会环境状况，确定了本工程的主要环境保护目标，具体目标见</w:t>
            </w:r>
            <w:r>
              <w:rPr>
                <w:rFonts w:hint="eastAsia"/>
                <w:color w:val="auto"/>
                <w:lang w:eastAsia="zh-CN"/>
              </w:rPr>
              <w:t>下</w:t>
            </w:r>
            <w:r>
              <w:rPr>
                <w:color w:val="auto"/>
              </w:rPr>
              <w:t>表</w:t>
            </w:r>
            <w:r>
              <w:rPr>
                <w:rFonts w:hint="eastAsia"/>
                <w:color w:val="auto"/>
                <w:lang w:eastAsia="zh-CN"/>
              </w:rPr>
              <w:t>：</w:t>
            </w:r>
          </w:p>
          <w:p w14:paraId="7C3164E6">
            <w:pPr>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b w:val="0"/>
                <w:bCs w:val="0"/>
                <w:color w:val="auto"/>
                <w:sz w:val="24"/>
                <w:lang w:bidi="ar"/>
              </w:rPr>
              <w:t>本项</w:t>
            </w:r>
            <w:r>
              <w:rPr>
                <w:rFonts w:hint="default" w:ascii="Times New Roman" w:hAnsi="Times New Roman" w:cs="Times New Roman"/>
                <w:color w:val="auto"/>
                <w:sz w:val="24"/>
                <w:lang w:bidi="ar"/>
              </w:rPr>
              <w:t>目主要环境保护目标如下表3-</w:t>
            </w:r>
            <w:r>
              <w:rPr>
                <w:rFonts w:hint="eastAsia" w:ascii="Times New Roman" w:hAnsi="Times New Roman" w:cs="Times New Roman"/>
                <w:color w:val="auto"/>
                <w:sz w:val="24"/>
                <w:lang w:val="en-US" w:eastAsia="zh-CN" w:bidi="ar"/>
              </w:rPr>
              <w:t>8</w:t>
            </w:r>
            <w:r>
              <w:rPr>
                <w:rFonts w:hint="default" w:ascii="Times New Roman" w:hAnsi="Times New Roman" w:cs="Times New Roman"/>
                <w:color w:val="auto"/>
                <w:sz w:val="24"/>
                <w:lang w:bidi="ar"/>
              </w:rPr>
              <w:t>，项目周边关系详见</w:t>
            </w:r>
            <w:r>
              <w:rPr>
                <w:rFonts w:hint="default" w:ascii="Times New Roman" w:hAnsi="Times New Roman" w:cs="Times New Roman"/>
                <w:b/>
                <w:bCs/>
                <w:color w:val="auto"/>
                <w:sz w:val="24"/>
                <w:lang w:bidi="ar"/>
              </w:rPr>
              <w:t>附图</w:t>
            </w:r>
            <w:r>
              <w:rPr>
                <w:rFonts w:hint="eastAsia" w:cs="Times New Roman"/>
                <w:b/>
                <w:bCs/>
                <w:color w:val="auto"/>
                <w:sz w:val="24"/>
                <w:lang w:val="en-US" w:eastAsia="zh-CN" w:bidi="ar"/>
              </w:rPr>
              <w:t>3</w:t>
            </w:r>
            <w:r>
              <w:rPr>
                <w:rFonts w:hint="eastAsia" w:ascii="Times New Roman" w:hAnsi="Times New Roman" w:cs="Times New Roman"/>
                <w:b w:val="0"/>
                <w:bCs w:val="0"/>
                <w:color w:val="auto"/>
                <w:sz w:val="24"/>
                <w:lang w:val="en-US" w:eastAsia="zh-CN" w:bidi="ar"/>
              </w:rPr>
              <w:t>，项目水系图见</w:t>
            </w:r>
            <w:r>
              <w:rPr>
                <w:rFonts w:hint="eastAsia" w:ascii="Times New Roman" w:hAnsi="Times New Roman" w:cs="Times New Roman"/>
                <w:b/>
                <w:bCs/>
                <w:color w:val="auto"/>
                <w:sz w:val="24"/>
                <w:lang w:val="en-US" w:eastAsia="zh-CN" w:bidi="ar"/>
              </w:rPr>
              <w:t>附图</w:t>
            </w:r>
            <w:r>
              <w:rPr>
                <w:rFonts w:hint="eastAsia" w:cs="Times New Roman"/>
                <w:b/>
                <w:bCs/>
                <w:color w:val="auto"/>
                <w:sz w:val="24"/>
                <w:lang w:val="en-US" w:eastAsia="zh-CN" w:bidi="ar"/>
              </w:rPr>
              <w:t>2</w:t>
            </w:r>
            <w:r>
              <w:rPr>
                <w:rFonts w:hint="default" w:ascii="Times New Roman" w:hAnsi="Times New Roman" w:cs="Times New Roman"/>
                <w:color w:val="auto"/>
                <w:sz w:val="24"/>
                <w:lang w:bidi="ar"/>
              </w:rPr>
              <w:t>。</w:t>
            </w:r>
          </w:p>
          <w:p w14:paraId="0F073297">
            <w:pPr>
              <w:pStyle w:val="32"/>
              <w:bidi w:val="0"/>
              <w:spacing w:line="240" w:lineRule="auto"/>
              <w:ind w:left="0" w:leftChars="0" w:firstLine="0" w:firstLineChars="0"/>
              <w:jc w:val="center"/>
              <w:rPr>
                <w:rFonts w:hint="default" w:ascii="Times New Roman" w:hAnsi="Times New Roman" w:cs="Times New Roman"/>
                <w:b/>
                <w:bCs/>
                <w:color w:val="auto"/>
                <w:szCs w:val="21"/>
                <w:vertAlign w:val="superscript"/>
              </w:rPr>
            </w:pPr>
            <w:r>
              <w:rPr>
                <w:rFonts w:hint="default" w:ascii="Times New Roman" w:hAnsi="Times New Roman" w:cs="Times New Roman"/>
                <w:b/>
                <w:bCs/>
                <w:color w:val="auto"/>
                <w:kern w:val="0"/>
                <w:szCs w:val="21"/>
                <w:lang w:bidi="ar"/>
              </w:rPr>
              <w:t>表</w:t>
            </w:r>
            <w:r>
              <w:rPr>
                <w:rFonts w:hint="eastAsia"/>
                <w:color w:val="auto"/>
              </w:rPr>
              <w:t>3-</w:t>
            </w:r>
            <w:r>
              <w:rPr>
                <w:rFonts w:hint="eastAsia"/>
                <w:color w:val="auto"/>
                <w:lang w:val="en-US" w:eastAsia="zh-CN"/>
              </w:rPr>
              <w:t>8</w:t>
            </w:r>
            <w:r>
              <w:rPr>
                <w:rFonts w:hint="eastAsia"/>
                <w:color w:val="auto"/>
              </w:rPr>
              <w:t xml:space="preserve"> 项目主要环境保护目标</w:t>
            </w:r>
          </w:p>
          <w:tbl>
            <w:tblPr>
              <w:tblStyle w:val="23"/>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636"/>
              <w:gridCol w:w="1469"/>
              <w:gridCol w:w="1476"/>
              <w:gridCol w:w="989"/>
              <w:gridCol w:w="885"/>
              <w:gridCol w:w="1838"/>
            </w:tblGrid>
            <w:tr w14:paraId="53396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restart"/>
                  <w:tcBorders>
                    <w:tl2br w:val="nil"/>
                    <w:tr2bl w:val="nil"/>
                  </w:tcBorders>
                  <w:noWrap w:val="0"/>
                  <w:vAlign w:val="center"/>
                </w:tcPr>
                <w:p w14:paraId="1F8AEBF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环境要素</w:t>
                  </w:r>
                </w:p>
              </w:tc>
              <w:tc>
                <w:tcPr>
                  <w:tcW w:w="399" w:type="pct"/>
                  <w:vMerge w:val="restart"/>
                  <w:tcBorders>
                    <w:tl2br w:val="nil"/>
                    <w:tr2bl w:val="nil"/>
                  </w:tcBorders>
                  <w:noWrap w:val="0"/>
                  <w:vAlign w:val="center"/>
                </w:tcPr>
                <w:p w14:paraId="29F49D3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保护目标</w:t>
                  </w:r>
                </w:p>
              </w:tc>
              <w:tc>
                <w:tcPr>
                  <w:tcW w:w="1878" w:type="pct"/>
                  <w:gridSpan w:val="2"/>
                  <w:tcBorders>
                    <w:tl2br w:val="nil"/>
                    <w:tr2bl w:val="nil"/>
                  </w:tcBorders>
                  <w:noWrap w:val="0"/>
                  <w:vAlign w:val="center"/>
                </w:tcPr>
                <w:p w14:paraId="2F64B91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坐标</w:t>
                  </w:r>
                </w:p>
              </w:tc>
              <w:tc>
                <w:tcPr>
                  <w:tcW w:w="647" w:type="pct"/>
                  <w:vMerge w:val="restart"/>
                  <w:tcBorders>
                    <w:tl2br w:val="nil"/>
                    <w:tr2bl w:val="nil"/>
                  </w:tcBorders>
                  <w:noWrap w:val="0"/>
                  <w:vAlign w:val="center"/>
                </w:tcPr>
                <w:p w14:paraId="27D6D5D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方位/距离</w:t>
                  </w:r>
                </w:p>
              </w:tc>
              <w:tc>
                <w:tcPr>
                  <w:tcW w:w="580" w:type="pct"/>
                  <w:vMerge w:val="restart"/>
                  <w:tcBorders>
                    <w:tl2br w:val="nil"/>
                    <w:tr2bl w:val="nil"/>
                  </w:tcBorders>
                  <w:noWrap w:val="0"/>
                  <w:vAlign w:val="center"/>
                </w:tcPr>
                <w:p w14:paraId="6B699C6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保护人数</w:t>
                  </w:r>
                </w:p>
              </w:tc>
              <w:tc>
                <w:tcPr>
                  <w:tcW w:w="1172" w:type="pct"/>
                  <w:vMerge w:val="restart"/>
                  <w:tcBorders>
                    <w:tl2br w:val="nil"/>
                    <w:tr2bl w:val="nil"/>
                  </w:tcBorders>
                  <w:noWrap w:val="0"/>
                  <w:vAlign w:val="center"/>
                </w:tcPr>
                <w:p w14:paraId="06E2444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执行标准</w:t>
                  </w:r>
                </w:p>
              </w:tc>
            </w:tr>
            <w:tr w14:paraId="65FBA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6A09A1F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vMerge w:val="continue"/>
                  <w:tcBorders>
                    <w:tl2br w:val="nil"/>
                    <w:tr2bl w:val="nil"/>
                  </w:tcBorders>
                  <w:noWrap w:val="0"/>
                  <w:vAlign w:val="center"/>
                </w:tcPr>
                <w:p w14:paraId="3C52BB8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936" w:type="pct"/>
                  <w:tcBorders>
                    <w:tl2br w:val="nil"/>
                    <w:tr2bl w:val="nil"/>
                  </w:tcBorders>
                  <w:noWrap w:val="0"/>
                  <w:vAlign w:val="center"/>
                </w:tcPr>
                <w:p w14:paraId="5D6A01F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经度</w:t>
                  </w:r>
                </w:p>
              </w:tc>
              <w:tc>
                <w:tcPr>
                  <w:tcW w:w="941" w:type="pct"/>
                  <w:tcBorders>
                    <w:tl2br w:val="nil"/>
                    <w:tr2bl w:val="nil"/>
                  </w:tcBorders>
                  <w:noWrap w:val="0"/>
                  <w:vAlign w:val="center"/>
                </w:tcPr>
                <w:p w14:paraId="1860528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纬度</w:t>
                  </w:r>
                </w:p>
              </w:tc>
              <w:tc>
                <w:tcPr>
                  <w:tcW w:w="647" w:type="pct"/>
                  <w:vMerge w:val="continue"/>
                  <w:tcBorders>
                    <w:tl2br w:val="nil"/>
                    <w:tr2bl w:val="nil"/>
                  </w:tcBorders>
                  <w:noWrap w:val="0"/>
                  <w:vAlign w:val="center"/>
                </w:tcPr>
                <w:p w14:paraId="486644E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580" w:type="pct"/>
                  <w:vMerge w:val="continue"/>
                  <w:tcBorders>
                    <w:tl2br w:val="nil"/>
                    <w:tr2bl w:val="nil"/>
                  </w:tcBorders>
                  <w:noWrap w:val="0"/>
                  <w:vAlign w:val="center"/>
                </w:tcPr>
                <w:p w14:paraId="3D3D0AB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72" w:type="pct"/>
                  <w:vMerge w:val="continue"/>
                  <w:tcBorders>
                    <w:tl2br w:val="nil"/>
                    <w:tr2bl w:val="nil"/>
                  </w:tcBorders>
                  <w:noWrap w:val="0"/>
                  <w:vAlign w:val="center"/>
                </w:tcPr>
                <w:p w14:paraId="1E2FDEC8">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4B671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restart"/>
                  <w:tcBorders>
                    <w:tl2br w:val="nil"/>
                    <w:tr2bl w:val="nil"/>
                  </w:tcBorders>
                  <w:noWrap w:val="0"/>
                  <w:vAlign w:val="center"/>
                </w:tcPr>
                <w:p w14:paraId="49F1556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大气环境</w:t>
                  </w:r>
                </w:p>
              </w:tc>
              <w:tc>
                <w:tcPr>
                  <w:tcW w:w="399" w:type="pct"/>
                  <w:tcBorders>
                    <w:tl2br w:val="nil"/>
                    <w:tr2bl w:val="nil"/>
                  </w:tcBorders>
                  <w:noWrap w:val="0"/>
                  <w:vAlign w:val="center"/>
                </w:tcPr>
                <w:p w14:paraId="24F2614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新寨</w:t>
                  </w:r>
                </w:p>
              </w:tc>
              <w:tc>
                <w:tcPr>
                  <w:tcW w:w="936" w:type="pct"/>
                  <w:tcBorders>
                    <w:tl2br w:val="nil"/>
                    <w:tr2bl w:val="nil"/>
                  </w:tcBorders>
                  <w:noWrap w:val="0"/>
                  <w:vAlign w:val="center"/>
                </w:tcPr>
                <w:p w14:paraId="02E01B8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98.613155989</w:t>
                  </w:r>
                </w:p>
              </w:tc>
              <w:tc>
                <w:tcPr>
                  <w:tcW w:w="941" w:type="pct"/>
                  <w:tcBorders>
                    <w:tl2br w:val="nil"/>
                    <w:tr2bl w:val="nil"/>
                  </w:tcBorders>
                  <w:noWrap w:val="0"/>
                  <w:vAlign w:val="center"/>
                </w:tcPr>
                <w:p w14:paraId="25FE1C8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24.504504797</w:t>
                  </w:r>
                </w:p>
              </w:tc>
              <w:tc>
                <w:tcPr>
                  <w:tcW w:w="647" w:type="pct"/>
                  <w:tcBorders>
                    <w:tl2br w:val="nil"/>
                    <w:tr2bl w:val="nil"/>
                  </w:tcBorders>
                  <w:noWrap w:val="0"/>
                  <w:vAlign w:val="center"/>
                </w:tcPr>
                <w:p w14:paraId="0AE7384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河岸</w:t>
                  </w:r>
                  <w:r>
                    <w:rPr>
                      <w:rFonts w:hint="eastAsia" w:ascii="Times New Roman" w:hAnsi="Times New Roman" w:eastAsia="宋体" w:cs="Times New Roman"/>
                      <w:b w:val="0"/>
                      <w:bCs w:val="0"/>
                      <w:color w:val="auto"/>
                      <w:sz w:val="21"/>
                      <w:szCs w:val="21"/>
                      <w:lang w:val="en-US" w:eastAsia="zh-CN"/>
                    </w:rPr>
                    <w:t>左</w:t>
                  </w:r>
                  <w:r>
                    <w:rPr>
                      <w:rFonts w:hint="default" w:ascii="Times New Roman" w:hAnsi="Times New Roman" w:eastAsia="宋体" w:cs="Times New Roman"/>
                      <w:b w:val="0"/>
                      <w:bCs w:val="0"/>
                      <w:color w:val="auto"/>
                      <w:sz w:val="21"/>
                      <w:szCs w:val="21"/>
                      <w:lang w:val="en-US" w:eastAsia="zh-CN"/>
                    </w:rPr>
                    <w:t>侧，</w:t>
                  </w:r>
                  <w:r>
                    <w:rPr>
                      <w:rFonts w:hint="eastAsia" w:ascii="Times New Roman" w:hAnsi="Times New Roman" w:eastAsia="宋体" w:cs="Times New Roman"/>
                      <w:b w:val="0"/>
                      <w:bCs w:val="0"/>
                      <w:color w:val="auto"/>
                      <w:sz w:val="21"/>
                      <w:szCs w:val="21"/>
                      <w:lang w:val="en-US" w:eastAsia="zh-CN"/>
                    </w:rPr>
                    <w:t>74</w:t>
                  </w:r>
                  <w:r>
                    <w:rPr>
                      <w:rFonts w:hint="default" w:ascii="Times New Roman" w:hAnsi="Times New Roman" w:eastAsia="宋体" w:cs="Times New Roman"/>
                      <w:b w:val="0"/>
                      <w:bCs w:val="0"/>
                      <w:color w:val="auto"/>
                      <w:sz w:val="21"/>
                      <w:szCs w:val="21"/>
                      <w:lang w:val="en-US" w:eastAsia="zh-CN"/>
                    </w:rPr>
                    <w:t>m</w:t>
                  </w:r>
                </w:p>
              </w:tc>
              <w:tc>
                <w:tcPr>
                  <w:tcW w:w="580" w:type="pct"/>
                  <w:tcBorders>
                    <w:tl2br w:val="nil"/>
                    <w:tr2bl w:val="nil"/>
                  </w:tcBorders>
                  <w:noWrap w:val="0"/>
                  <w:vAlign w:val="center"/>
                </w:tcPr>
                <w:p w14:paraId="754FFC9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w:t>
                  </w:r>
                  <w:r>
                    <w:rPr>
                      <w:rFonts w:hint="eastAsia"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80户，</w:t>
                  </w:r>
                  <w:r>
                    <w:rPr>
                      <w:rFonts w:hint="eastAsia"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20人</w:t>
                  </w:r>
                </w:p>
              </w:tc>
              <w:tc>
                <w:tcPr>
                  <w:tcW w:w="1172" w:type="pct"/>
                  <w:vMerge w:val="restart"/>
                  <w:tcBorders>
                    <w:tl2br w:val="nil"/>
                    <w:tr2bl w:val="nil"/>
                  </w:tcBorders>
                  <w:noWrap w:val="0"/>
                  <w:vAlign w:val="center"/>
                </w:tcPr>
                <w:p w14:paraId="714FC1C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《环境空气质量标准》（GB3095-2012）二级</w:t>
                  </w:r>
                </w:p>
              </w:tc>
            </w:tr>
            <w:tr w14:paraId="660CF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12DE79F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38B988D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木康</w:t>
                  </w:r>
                </w:p>
              </w:tc>
              <w:tc>
                <w:tcPr>
                  <w:tcW w:w="936" w:type="pct"/>
                  <w:tcBorders>
                    <w:tl2br w:val="nil"/>
                    <w:tr2bl w:val="nil"/>
                  </w:tcBorders>
                  <w:noWrap w:val="0"/>
                  <w:vAlign w:val="center"/>
                </w:tcPr>
                <w:p w14:paraId="0131D5F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98.618391661</w:t>
                  </w:r>
                </w:p>
              </w:tc>
              <w:tc>
                <w:tcPr>
                  <w:tcW w:w="941" w:type="pct"/>
                  <w:tcBorders>
                    <w:tl2br w:val="nil"/>
                    <w:tr2bl w:val="nil"/>
                  </w:tcBorders>
                  <w:noWrap w:val="0"/>
                  <w:vAlign w:val="center"/>
                </w:tcPr>
                <w:p w14:paraId="53E8987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24.499204752</w:t>
                  </w:r>
                </w:p>
              </w:tc>
              <w:tc>
                <w:tcPr>
                  <w:tcW w:w="647" w:type="pct"/>
                  <w:tcBorders>
                    <w:tl2br w:val="nil"/>
                    <w:tr2bl w:val="nil"/>
                  </w:tcBorders>
                  <w:noWrap w:val="0"/>
                  <w:vAlign w:val="center"/>
                </w:tcPr>
                <w:p w14:paraId="6767505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河岸右侧，</w:t>
                  </w:r>
                  <w:r>
                    <w:rPr>
                      <w:rFonts w:hint="eastAsia" w:ascii="Times New Roman" w:hAnsi="Times New Roman" w:eastAsia="宋体" w:cs="Times New Roman"/>
                      <w:b w:val="0"/>
                      <w:bCs w:val="0"/>
                      <w:color w:val="auto"/>
                      <w:sz w:val="21"/>
                      <w:szCs w:val="21"/>
                      <w:lang w:val="en-US" w:eastAsia="zh-CN"/>
                    </w:rPr>
                    <w:t>95</w:t>
                  </w:r>
                  <w:r>
                    <w:rPr>
                      <w:rFonts w:hint="default" w:ascii="Times New Roman" w:hAnsi="Times New Roman" w:eastAsia="宋体" w:cs="Times New Roman"/>
                      <w:b w:val="0"/>
                      <w:bCs w:val="0"/>
                      <w:color w:val="auto"/>
                      <w:sz w:val="21"/>
                      <w:szCs w:val="21"/>
                      <w:lang w:val="en-US" w:eastAsia="zh-CN"/>
                    </w:rPr>
                    <w:t>m</w:t>
                  </w:r>
                </w:p>
              </w:tc>
              <w:tc>
                <w:tcPr>
                  <w:tcW w:w="580" w:type="pct"/>
                  <w:tcBorders>
                    <w:tl2br w:val="nil"/>
                    <w:tr2bl w:val="nil"/>
                  </w:tcBorders>
                  <w:noWrap w:val="0"/>
                  <w:vAlign w:val="center"/>
                </w:tcPr>
                <w:p w14:paraId="43B1419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约151户，539人</w:t>
                  </w:r>
                </w:p>
              </w:tc>
              <w:tc>
                <w:tcPr>
                  <w:tcW w:w="1172" w:type="pct"/>
                  <w:vMerge w:val="continue"/>
                  <w:tcBorders>
                    <w:tl2br w:val="nil"/>
                    <w:tr2bl w:val="nil"/>
                  </w:tcBorders>
                  <w:noWrap w:val="0"/>
                  <w:vAlign w:val="center"/>
                </w:tcPr>
                <w:p w14:paraId="121A324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1DB64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54DBF32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3BB0745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帕良</w:t>
                  </w:r>
                </w:p>
              </w:tc>
              <w:tc>
                <w:tcPr>
                  <w:tcW w:w="936" w:type="pct"/>
                  <w:tcBorders>
                    <w:tl2br w:val="nil"/>
                    <w:tr2bl w:val="nil"/>
                  </w:tcBorders>
                  <w:noWrap w:val="0"/>
                  <w:vAlign w:val="center"/>
                </w:tcPr>
                <w:p w14:paraId="33589E7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98.607405333</w:t>
                  </w:r>
                </w:p>
              </w:tc>
              <w:tc>
                <w:tcPr>
                  <w:tcW w:w="941" w:type="pct"/>
                  <w:tcBorders>
                    <w:tl2br w:val="nil"/>
                    <w:tr2bl w:val="nil"/>
                  </w:tcBorders>
                  <w:noWrap w:val="0"/>
                  <w:vAlign w:val="center"/>
                </w:tcPr>
                <w:p w14:paraId="76D7A01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24.493818876</w:t>
                  </w:r>
                </w:p>
              </w:tc>
              <w:tc>
                <w:tcPr>
                  <w:tcW w:w="647" w:type="pct"/>
                  <w:tcBorders>
                    <w:tl2br w:val="nil"/>
                    <w:tr2bl w:val="nil"/>
                  </w:tcBorders>
                  <w:noWrap w:val="0"/>
                  <w:vAlign w:val="center"/>
                </w:tcPr>
                <w:p w14:paraId="39A2ED5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河岸</w:t>
                  </w:r>
                  <w:r>
                    <w:rPr>
                      <w:rFonts w:hint="eastAsia" w:ascii="Times New Roman" w:hAnsi="Times New Roman" w:eastAsia="宋体" w:cs="Times New Roman"/>
                      <w:b w:val="0"/>
                      <w:bCs w:val="0"/>
                      <w:color w:val="auto"/>
                      <w:sz w:val="21"/>
                      <w:szCs w:val="21"/>
                      <w:lang w:val="en-US" w:eastAsia="zh-CN"/>
                    </w:rPr>
                    <w:t>左</w:t>
                  </w:r>
                  <w:r>
                    <w:rPr>
                      <w:rFonts w:hint="default" w:ascii="Times New Roman" w:hAnsi="Times New Roman" w:eastAsia="宋体" w:cs="Times New Roman"/>
                      <w:b w:val="0"/>
                      <w:bCs w:val="0"/>
                      <w:color w:val="auto"/>
                      <w:sz w:val="21"/>
                      <w:szCs w:val="21"/>
                      <w:lang w:val="en-US" w:eastAsia="zh-CN"/>
                    </w:rPr>
                    <w:t>侧，</w:t>
                  </w:r>
                  <w:r>
                    <w:rPr>
                      <w:rFonts w:hint="eastAsia" w:ascii="Times New Roman" w:hAnsi="Times New Roman" w:eastAsia="宋体" w:cs="Times New Roman"/>
                      <w:b w:val="0"/>
                      <w:bCs w:val="0"/>
                      <w:color w:val="auto"/>
                      <w:sz w:val="21"/>
                      <w:szCs w:val="21"/>
                      <w:lang w:val="en-US" w:eastAsia="zh-CN"/>
                    </w:rPr>
                    <w:t>103</w:t>
                  </w:r>
                  <w:r>
                    <w:rPr>
                      <w:rFonts w:hint="default" w:ascii="Times New Roman" w:hAnsi="Times New Roman" w:eastAsia="宋体" w:cs="Times New Roman"/>
                      <w:b w:val="0"/>
                      <w:bCs w:val="0"/>
                      <w:color w:val="auto"/>
                      <w:sz w:val="21"/>
                      <w:szCs w:val="21"/>
                      <w:lang w:val="en-US" w:eastAsia="zh-CN"/>
                    </w:rPr>
                    <w:t>m</w:t>
                  </w:r>
                </w:p>
              </w:tc>
              <w:tc>
                <w:tcPr>
                  <w:tcW w:w="580" w:type="pct"/>
                  <w:tcBorders>
                    <w:tl2br w:val="nil"/>
                    <w:tr2bl w:val="nil"/>
                  </w:tcBorders>
                  <w:noWrap w:val="0"/>
                  <w:vAlign w:val="center"/>
                </w:tcPr>
                <w:p w14:paraId="4AECE33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约34户，</w:t>
                  </w:r>
                  <w:r>
                    <w:rPr>
                      <w:rFonts w:hint="eastAsia" w:ascii="Times New Roman" w:hAnsi="Times New Roman" w:eastAsia="宋体" w:cs="Times New Roman"/>
                      <w:b w:val="0"/>
                      <w:bCs w:val="0"/>
                      <w:color w:val="auto"/>
                      <w:sz w:val="21"/>
                      <w:szCs w:val="21"/>
                      <w:lang w:val="en-US" w:eastAsia="zh-CN"/>
                    </w:rPr>
                    <w:t>96</w:t>
                  </w:r>
                  <w:r>
                    <w:rPr>
                      <w:rFonts w:hint="default" w:ascii="Times New Roman" w:hAnsi="Times New Roman" w:eastAsia="宋体" w:cs="Times New Roman"/>
                      <w:b w:val="0"/>
                      <w:bCs w:val="0"/>
                      <w:color w:val="auto"/>
                      <w:sz w:val="21"/>
                      <w:szCs w:val="21"/>
                      <w:lang w:val="en-US" w:eastAsia="zh-CN"/>
                    </w:rPr>
                    <w:t>人</w:t>
                  </w:r>
                </w:p>
              </w:tc>
              <w:tc>
                <w:tcPr>
                  <w:tcW w:w="1172" w:type="pct"/>
                  <w:vMerge w:val="continue"/>
                  <w:tcBorders>
                    <w:tl2br w:val="nil"/>
                    <w:tr2bl w:val="nil"/>
                  </w:tcBorders>
                  <w:noWrap w:val="0"/>
                  <w:vAlign w:val="center"/>
                </w:tcPr>
                <w:p w14:paraId="33320E1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18B64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66ECA2A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7C6AD91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洞坎</w:t>
                  </w:r>
                </w:p>
              </w:tc>
              <w:tc>
                <w:tcPr>
                  <w:tcW w:w="936" w:type="pct"/>
                  <w:tcBorders>
                    <w:tl2br w:val="nil"/>
                    <w:tr2bl w:val="nil"/>
                  </w:tcBorders>
                  <w:noWrap w:val="0"/>
                  <w:vAlign w:val="center"/>
                </w:tcPr>
                <w:p w14:paraId="4741D91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98.599873690</w:t>
                  </w:r>
                </w:p>
              </w:tc>
              <w:tc>
                <w:tcPr>
                  <w:tcW w:w="941" w:type="pct"/>
                  <w:tcBorders>
                    <w:tl2br w:val="nil"/>
                    <w:tr2bl w:val="nil"/>
                  </w:tcBorders>
                  <w:noWrap w:val="0"/>
                  <w:vAlign w:val="center"/>
                </w:tcPr>
                <w:p w14:paraId="3ABE3DB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24.489387867</w:t>
                  </w:r>
                </w:p>
              </w:tc>
              <w:tc>
                <w:tcPr>
                  <w:tcW w:w="647" w:type="pct"/>
                  <w:tcBorders>
                    <w:tl2br w:val="nil"/>
                    <w:tr2bl w:val="nil"/>
                  </w:tcBorders>
                  <w:noWrap w:val="0"/>
                  <w:vAlign w:val="center"/>
                </w:tcPr>
                <w:p w14:paraId="1B78B8C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河岸左侧，</w:t>
                  </w:r>
                  <w:r>
                    <w:rPr>
                      <w:rFonts w:hint="eastAsia" w:ascii="Times New Roman" w:hAnsi="Times New Roman" w:eastAsia="宋体" w:cs="Times New Roman"/>
                      <w:b w:val="0"/>
                      <w:bCs w:val="0"/>
                      <w:color w:val="auto"/>
                      <w:sz w:val="21"/>
                      <w:szCs w:val="21"/>
                      <w:lang w:val="en-US" w:eastAsia="zh-CN"/>
                    </w:rPr>
                    <w:t>88</w:t>
                  </w:r>
                  <w:r>
                    <w:rPr>
                      <w:rFonts w:hint="default" w:ascii="Times New Roman" w:hAnsi="Times New Roman" w:eastAsia="宋体" w:cs="Times New Roman"/>
                      <w:b w:val="0"/>
                      <w:bCs w:val="0"/>
                      <w:color w:val="auto"/>
                      <w:sz w:val="21"/>
                      <w:szCs w:val="21"/>
                      <w:lang w:val="en-US" w:eastAsia="zh-CN"/>
                    </w:rPr>
                    <w:t>m</w:t>
                  </w:r>
                </w:p>
              </w:tc>
              <w:tc>
                <w:tcPr>
                  <w:tcW w:w="580" w:type="pct"/>
                  <w:tcBorders>
                    <w:tl2br w:val="nil"/>
                    <w:tr2bl w:val="nil"/>
                  </w:tcBorders>
                  <w:noWrap w:val="0"/>
                  <w:vAlign w:val="center"/>
                </w:tcPr>
                <w:p w14:paraId="78A0C40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w:t>
                  </w:r>
                  <w:r>
                    <w:rPr>
                      <w:rFonts w:hint="eastAsia" w:ascii="Times New Roman" w:hAnsi="Times New Roman" w:eastAsia="宋体" w:cs="Times New Roman"/>
                      <w:b w:val="0"/>
                      <w:bCs w:val="0"/>
                      <w:color w:val="auto"/>
                      <w:sz w:val="21"/>
                      <w:szCs w:val="21"/>
                      <w:lang w:val="en-US" w:eastAsia="zh-CN"/>
                    </w:rPr>
                    <w:t>25</w:t>
                  </w:r>
                  <w:r>
                    <w:rPr>
                      <w:rFonts w:hint="default" w:ascii="Times New Roman" w:hAnsi="Times New Roman" w:eastAsia="宋体" w:cs="Times New Roman"/>
                      <w:b w:val="0"/>
                      <w:bCs w:val="0"/>
                      <w:color w:val="auto"/>
                      <w:sz w:val="21"/>
                      <w:szCs w:val="21"/>
                      <w:lang w:val="en-US" w:eastAsia="zh-CN"/>
                    </w:rPr>
                    <w:t>户，</w:t>
                  </w:r>
                  <w:r>
                    <w:rPr>
                      <w:rFonts w:hint="eastAsia" w:ascii="Times New Roman" w:hAnsi="Times New Roman" w:eastAsia="宋体" w:cs="Times New Roman"/>
                      <w:b w:val="0"/>
                      <w:bCs w:val="0"/>
                      <w:color w:val="auto"/>
                      <w:sz w:val="21"/>
                      <w:szCs w:val="21"/>
                      <w:lang w:val="en-US" w:eastAsia="zh-CN"/>
                    </w:rPr>
                    <w:t>60</w:t>
                  </w:r>
                  <w:r>
                    <w:rPr>
                      <w:rFonts w:hint="default" w:ascii="Times New Roman" w:hAnsi="Times New Roman" w:eastAsia="宋体" w:cs="Times New Roman"/>
                      <w:b w:val="0"/>
                      <w:bCs w:val="0"/>
                      <w:color w:val="auto"/>
                      <w:sz w:val="21"/>
                      <w:szCs w:val="21"/>
                      <w:lang w:val="en-US" w:eastAsia="zh-CN"/>
                    </w:rPr>
                    <w:t>人</w:t>
                  </w:r>
                </w:p>
              </w:tc>
              <w:tc>
                <w:tcPr>
                  <w:tcW w:w="1172" w:type="pct"/>
                  <w:vMerge w:val="continue"/>
                  <w:tcBorders>
                    <w:tl2br w:val="nil"/>
                    <w:tr2bl w:val="nil"/>
                  </w:tcBorders>
                  <w:noWrap w:val="0"/>
                  <w:vAlign w:val="center"/>
                </w:tcPr>
                <w:p w14:paraId="33D99BA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740CCF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1F02BFE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5EB888B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大湾村</w:t>
                  </w:r>
                </w:p>
              </w:tc>
              <w:tc>
                <w:tcPr>
                  <w:tcW w:w="936" w:type="pct"/>
                  <w:tcBorders>
                    <w:tl2br w:val="nil"/>
                    <w:tr2bl w:val="nil"/>
                  </w:tcBorders>
                  <w:noWrap w:val="0"/>
                  <w:vAlign w:val="center"/>
                </w:tcPr>
                <w:p w14:paraId="54D7C25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98.607491163,</w:t>
                  </w:r>
                </w:p>
              </w:tc>
              <w:tc>
                <w:tcPr>
                  <w:tcW w:w="941" w:type="pct"/>
                  <w:tcBorders>
                    <w:tl2br w:val="nil"/>
                    <w:tr2bl w:val="nil"/>
                  </w:tcBorders>
                  <w:noWrap w:val="0"/>
                  <w:vAlign w:val="center"/>
                </w:tcPr>
                <w:p w14:paraId="4D1B63B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,24.487006065</w:t>
                  </w:r>
                </w:p>
              </w:tc>
              <w:tc>
                <w:tcPr>
                  <w:tcW w:w="647" w:type="pct"/>
                  <w:tcBorders>
                    <w:tl2br w:val="nil"/>
                    <w:tr2bl w:val="nil"/>
                  </w:tcBorders>
                  <w:noWrap w:val="0"/>
                  <w:vAlign w:val="center"/>
                </w:tcPr>
                <w:p w14:paraId="279FB814">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河岸右侧，</w:t>
                  </w:r>
                  <w:r>
                    <w:rPr>
                      <w:rFonts w:hint="eastAsia" w:ascii="Times New Roman" w:hAnsi="Times New Roman" w:eastAsia="宋体" w:cs="Times New Roman"/>
                      <w:b w:val="0"/>
                      <w:bCs w:val="0"/>
                      <w:color w:val="auto"/>
                      <w:sz w:val="21"/>
                      <w:szCs w:val="21"/>
                      <w:lang w:val="en-US" w:eastAsia="zh-CN"/>
                    </w:rPr>
                    <w:t>107</w:t>
                  </w:r>
                  <w:r>
                    <w:rPr>
                      <w:rFonts w:hint="default" w:ascii="Times New Roman" w:hAnsi="Times New Roman" w:eastAsia="宋体" w:cs="Times New Roman"/>
                      <w:b w:val="0"/>
                      <w:bCs w:val="0"/>
                      <w:color w:val="auto"/>
                      <w:sz w:val="21"/>
                      <w:szCs w:val="21"/>
                      <w:lang w:val="en-US" w:eastAsia="zh-CN"/>
                    </w:rPr>
                    <w:t>m</w:t>
                  </w:r>
                </w:p>
              </w:tc>
              <w:tc>
                <w:tcPr>
                  <w:tcW w:w="580" w:type="pct"/>
                  <w:tcBorders>
                    <w:tl2br w:val="nil"/>
                    <w:tr2bl w:val="nil"/>
                  </w:tcBorders>
                  <w:noWrap w:val="0"/>
                  <w:vAlign w:val="center"/>
                </w:tcPr>
                <w:p w14:paraId="52C117A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约334户，1247人</w:t>
                  </w:r>
                </w:p>
              </w:tc>
              <w:tc>
                <w:tcPr>
                  <w:tcW w:w="1172" w:type="pct"/>
                  <w:vMerge w:val="continue"/>
                  <w:tcBorders>
                    <w:tl2br w:val="nil"/>
                    <w:tr2bl w:val="nil"/>
                  </w:tcBorders>
                  <w:noWrap w:val="0"/>
                  <w:vAlign w:val="center"/>
                </w:tcPr>
                <w:p w14:paraId="00DBE27E">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2A1C2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restart"/>
                  <w:tcBorders>
                    <w:tl2br w:val="nil"/>
                    <w:tr2bl w:val="nil"/>
                  </w:tcBorders>
                  <w:noWrap w:val="0"/>
                  <w:vAlign w:val="center"/>
                </w:tcPr>
                <w:p w14:paraId="500AFD2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水环境</w:t>
                  </w:r>
                </w:p>
              </w:tc>
              <w:tc>
                <w:tcPr>
                  <w:tcW w:w="399" w:type="pct"/>
                  <w:tcBorders>
                    <w:tl2br w:val="nil"/>
                    <w:tr2bl w:val="nil"/>
                  </w:tcBorders>
                  <w:noWrap w:val="0"/>
                  <w:vAlign w:val="center"/>
                </w:tcPr>
                <w:p w14:paraId="5068981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芒市大河、</w:t>
                  </w:r>
                </w:p>
              </w:tc>
              <w:tc>
                <w:tcPr>
                  <w:tcW w:w="936" w:type="pct"/>
                  <w:tcBorders>
                    <w:tl2br w:val="nil"/>
                    <w:tr2bl w:val="nil"/>
                  </w:tcBorders>
                  <w:noWrap w:val="0"/>
                  <w:vAlign w:val="center"/>
                </w:tcPr>
                <w:p w14:paraId="44BC370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941" w:type="pct"/>
                  <w:tcBorders>
                    <w:tl2br w:val="nil"/>
                    <w:tr2bl w:val="nil"/>
                  </w:tcBorders>
                  <w:noWrap w:val="0"/>
                  <w:vAlign w:val="center"/>
                </w:tcPr>
                <w:p w14:paraId="3D4304A9">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14:paraId="3214929F">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右侧支流</w:t>
                  </w:r>
                </w:p>
              </w:tc>
              <w:tc>
                <w:tcPr>
                  <w:tcW w:w="580" w:type="pct"/>
                  <w:tcBorders>
                    <w:tl2br w:val="nil"/>
                    <w:tr2bl w:val="nil"/>
                  </w:tcBorders>
                  <w:noWrap w:val="0"/>
                  <w:vAlign w:val="center"/>
                </w:tcPr>
                <w:p w14:paraId="0CF01D0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72" w:type="pct"/>
                  <w:vMerge w:val="restart"/>
                  <w:tcBorders>
                    <w:tl2br w:val="nil"/>
                    <w:tr2bl w:val="nil"/>
                  </w:tcBorders>
                  <w:noWrap w:val="0"/>
                  <w:vAlign w:val="center"/>
                </w:tcPr>
                <w:p w14:paraId="1B98107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《地表水环境</w:t>
                  </w:r>
                </w:p>
                <w:p w14:paraId="2F0A2CA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质量》</w:t>
                  </w:r>
                </w:p>
                <w:p w14:paraId="1688E497">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（GB3838-2002）</w:t>
                  </w:r>
                  <w:r>
                    <w:rPr>
                      <w:rFonts w:hint="default" w:ascii="Times New Roman" w:hAnsi="Times New Roman" w:eastAsia="宋体" w:cs="Times New Roman"/>
                      <w:b w:val="0"/>
                      <w:bCs w:val="0"/>
                      <w:color w:val="auto"/>
                      <w:sz w:val="21"/>
                      <w:szCs w:val="21"/>
                      <w:lang w:val="en-US" w:eastAsia="zh-CN"/>
                    </w:rPr>
                    <w:fldChar w:fldCharType="begin"/>
                  </w:r>
                  <w:r>
                    <w:rPr>
                      <w:rFonts w:hint="default" w:ascii="Times New Roman" w:hAnsi="Times New Roman" w:eastAsia="宋体" w:cs="Times New Roman"/>
                      <w:b w:val="0"/>
                      <w:bCs w:val="0"/>
                      <w:color w:val="auto"/>
                      <w:sz w:val="21"/>
                      <w:szCs w:val="21"/>
                      <w:lang w:val="en-US" w:eastAsia="zh-CN"/>
                    </w:rPr>
                    <w:instrText xml:space="preserve"> = 3 \* ROMAN \* MERGEFORMAT </w:instrText>
                  </w:r>
                  <w:r>
                    <w:rPr>
                      <w:rFonts w:hint="default" w:ascii="Times New Roman" w:hAnsi="Times New Roman" w:eastAsia="宋体" w:cs="Times New Roman"/>
                      <w:b w:val="0"/>
                      <w:bCs w:val="0"/>
                      <w:color w:val="auto"/>
                      <w:sz w:val="21"/>
                      <w:szCs w:val="21"/>
                      <w:lang w:val="en-US" w:eastAsia="zh-CN"/>
                    </w:rPr>
                    <w:fldChar w:fldCharType="separate"/>
                  </w:r>
                  <w:r>
                    <w:rPr>
                      <w:rFonts w:hint="default" w:ascii="Times New Roman" w:hAnsi="Times New Roman" w:eastAsia="宋体" w:cs="Times New Roman"/>
                      <w:b w:val="0"/>
                      <w:bCs w:val="0"/>
                      <w:color w:val="auto"/>
                      <w:sz w:val="21"/>
                      <w:szCs w:val="21"/>
                      <w:lang w:val="en-US" w:eastAsia="zh-CN"/>
                    </w:rPr>
                    <w:t>III</w:t>
                  </w:r>
                  <w:r>
                    <w:rPr>
                      <w:rFonts w:hint="default" w:ascii="Times New Roman" w:hAnsi="Times New Roman" w:eastAsia="宋体" w:cs="Times New Roman"/>
                      <w:b w:val="0"/>
                      <w:bCs w:val="0"/>
                      <w:color w:val="auto"/>
                      <w:sz w:val="21"/>
                      <w:szCs w:val="21"/>
                      <w:lang w:val="en-US" w:eastAsia="zh-CN"/>
                    </w:rPr>
                    <w:fldChar w:fldCharType="end"/>
                  </w:r>
                  <w:r>
                    <w:rPr>
                      <w:rFonts w:hint="default" w:ascii="Times New Roman" w:hAnsi="Times New Roman" w:eastAsia="宋体" w:cs="Times New Roman"/>
                      <w:b w:val="0"/>
                      <w:bCs w:val="0"/>
                      <w:color w:val="auto"/>
                      <w:sz w:val="21"/>
                      <w:szCs w:val="21"/>
                      <w:lang w:val="en-US" w:eastAsia="zh-CN"/>
                    </w:rPr>
                    <w:t>类</w:t>
                  </w:r>
                </w:p>
              </w:tc>
            </w:tr>
            <w:tr w14:paraId="6DE18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0F5E8250">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0D59424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厂河、</w:t>
                  </w:r>
                </w:p>
              </w:tc>
              <w:tc>
                <w:tcPr>
                  <w:tcW w:w="936" w:type="pct"/>
                  <w:tcBorders>
                    <w:tl2br w:val="nil"/>
                    <w:tr2bl w:val="nil"/>
                  </w:tcBorders>
                  <w:noWrap w:val="0"/>
                  <w:vAlign w:val="center"/>
                </w:tcPr>
                <w:p w14:paraId="7A00D15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941" w:type="pct"/>
                  <w:tcBorders>
                    <w:tl2br w:val="nil"/>
                    <w:tr2bl w:val="nil"/>
                  </w:tcBorders>
                  <w:noWrap w:val="0"/>
                  <w:vAlign w:val="center"/>
                </w:tcPr>
                <w:p w14:paraId="3AE99A5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14:paraId="7EC946F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右侧支流</w:t>
                  </w:r>
                </w:p>
              </w:tc>
              <w:tc>
                <w:tcPr>
                  <w:tcW w:w="580" w:type="pct"/>
                  <w:tcBorders>
                    <w:tl2br w:val="nil"/>
                    <w:tr2bl w:val="nil"/>
                  </w:tcBorders>
                  <w:noWrap w:val="0"/>
                  <w:vAlign w:val="center"/>
                </w:tcPr>
                <w:p w14:paraId="64C053A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72" w:type="pct"/>
                  <w:vMerge w:val="continue"/>
                  <w:tcBorders>
                    <w:tl2br w:val="nil"/>
                    <w:tr2bl w:val="nil"/>
                  </w:tcBorders>
                  <w:noWrap w:val="0"/>
                  <w:vAlign w:val="center"/>
                </w:tcPr>
                <w:p w14:paraId="43678B1D">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2A6D3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1EFD1A16">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399" w:type="pct"/>
                  <w:tcBorders>
                    <w:tl2br w:val="nil"/>
                    <w:tr2bl w:val="nil"/>
                  </w:tcBorders>
                  <w:noWrap w:val="0"/>
                  <w:vAlign w:val="center"/>
                </w:tcPr>
                <w:p w14:paraId="4B23CF3A">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龙门沟</w:t>
                  </w:r>
                </w:p>
              </w:tc>
              <w:tc>
                <w:tcPr>
                  <w:tcW w:w="936" w:type="pct"/>
                  <w:tcBorders>
                    <w:tl2br w:val="nil"/>
                    <w:tr2bl w:val="nil"/>
                  </w:tcBorders>
                  <w:noWrap w:val="0"/>
                  <w:vAlign w:val="center"/>
                </w:tcPr>
                <w:p w14:paraId="2CD0861B">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941" w:type="pct"/>
                  <w:tcBorders>
                    <w:tl2br w:val="nil"/>
                    <w:tr2bl w:val="nil"/>
                  </w:tcBorders>
                  <w:noWrap w:val="0"/>
                  <w:vAlign w:val="center"/>
                </w:tcPr>
                <w:p w14:paraId="6502F5A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647" w:type="pct"/>
                  <w:tcBorders>
                    <w:tl2br w:val="nil"/>
                    <w:tr2bl w:val="nil"/>
                  </w:tcBorders>
                  <w:noWrap w:val="0"/>
                  <w:vAlign w:val="center"/>
                </w:tcPr>
                <w:p w14:paraId="1C943993">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项目区</w:t>
                  </w:r>
                </w:p>
              </w:tc>
              <w:tc>
                <w:tcPr>
                  <w:tcW w:w="580" w:type="pct"/>
                  <w:tcBorders>
                    <w:tl2br w:val="nil"/>
                    <w:tr2bl w:val="nil"/>
                  </w:tcBorders>
                  <w:noWrap w:val="0"/>
                  <w:vAlign w:val="center"/>
                </w:tcPr>
                <w:p w14:paraId="7ED0B352">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1172" w:type="pct"/>
                  <w:vMerge w:val="continue"/>
                  <w:tcBorders>
                    <w:tl2br w:val="nil"/>
                    <w:tr2bl w:val="nil"/>
                  </w:tcBorders>
                  <w:noWrap w:val="0"/>
                  <w:vAlign w:val="center"/>
                </w:tcPr>
                <w:p w14:paraId="58570EFC">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0F79A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restart"/>
                  <w:tcBorders>
                    <w:tl2br w:val="nil"/>
                    <w:tr2bl w:val="nil"/>
                  </w:tcBorders>
                  <w:noWrap w:val="0"/>
                  <w:vAlign w:val="center"/>
                </w:tcPr>
                <w:p w14:paraId="14920A6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生态环境</w:t>
                  </w:r>
                </w:p>
              </w:tc>
              <w:tc>
                <w:tcPr>
                  <w:tcW w:w="4679" w:type="pct"/>
                  <w:gridSpan w:val="6"/>
                  <w:tcBorders>
                    <w:tl2br w:val="nil"/>
                    <w:tr2bl w:val="nil"/>
                  </w:tcBorders>
                  <w:noWrap w:val="0"/>
                  <w:vAlign w:val="center"/>
                </w:tcPr>
                <w:p w14:paraId="1D0F8905">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保护评价范围内的水生生物不受项目建设而产生不良影响</w:t>
                  </w:r>
                </w:p>
              </w:tc>
            </w:tr>
            <w:tr w14:paraId="7A0FE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0" w:type="pct"/>
                  <w:vMerge w:val="continue"/>
                  <w:tcBorders>
                    <w:tl2br w:val="nil"/>
                    <w:tr2bl w:val="nil"/>
                  </w:tcBorders>
                  <w:noWrap w:val="0"/>
                  <w:vAlign w:val="center"/>
                </w:tcPr>
                <w:p w14:paraId="7CE3CD21">
                  <w:pPr>
                    <w:pStyle w:val="7"/>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4679" w:type="pct"/>
                  <w:gridSpan w:val="6"/>
                  <w:tcBorders>
                    <w:tl2br w:val="nil"/>
                    <w:tr2bl w:val="nil"/>
                  </w:tcBorders>
                  <w:noWrap w:val="0"/>
                  <w:vAlign w:val="center"/>
                </w:tcPr>
                <w:p w14:paraId="45B87E5F">
                  <w:pPr>
                    <w:pStyle w:val="7"/>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保护生态评价范围内周边植被植物、野生动物、水土流失、景观，不得随意破坏和降低当地的生态环境质量，尽量减小对生态环境的影响</w:t>
                  </w:r>
                </w:p>
              </w:tc>
            </w:tr>
          </w:tbl>
          <w:p w14:paraId="5D5A465B">
            <w:pPr>
              <w:pStyle w:val="32"/>
              <w:bidi w:val="0"/>
              <w:rPr>
                <w:rFonts w:hint="default"/>
                <w:color w:val="auto"/>
                <w:lang w:val="en-US" w:eastAsia="zh-CN"/>
              </w:rPr>
            </w:pPr>
          </w:p>
        </w:tc>
      </w:tr>
      <w:tr w14:paraId="17EDE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vAlign w:val="center"/>
          </w:tcPr>
          <w:p w14:paraId="5BFA8892">
            <w:pPr>
              <w:bidi w:val="0"/>
              <w:ind w:left="0" w:leftChars="0" w:firstLine="0" w:firstLineChars="0"/>
              <w:jc w:val="center"/>
              <w:rPr>
                <w:rFonts w:hint="default"/>
                <w:color w:val="auto"/>
              </w:rPr>
            </w:pPr>
            <w:r>
              <w:rPr>
                <w:rFonts w:hint="default"/>
                <w:color w:val="auto"/>
              </w:rPr>
              <w:t>评价</w:t>
            </w:r>
          </w:p>
          <w:p w14:paraId="5DBD135E">
            <w:pPr>
              <w:bidi w:val="0"/>
              <w:ind w:left="0" w:leftChars="0" w:firstLine="0" w:firstLineChars="0"/>
              <w:jc w:val="center"/>
              <w:rPr>
                <w:rFonts w:hint="default" w:ascii="Times New Roman" w:hAnsi="Times New Roman" w:cs="Times New Roman"/>
                <w:color w:val="auto"/>
                <w:kern w:val="0"/>
              </w:rPr>
            </w:pPr>
            <w:r>
              <w:rPr>
                <w:rFonts w:hint="default"/>
                <w:color w:val="auto"/>
              </w:rPr>
              <w:t>标准</w:t>
            </w:r>
          </w:p>
        </w:tc>
        <w:tc>
          <w:tcPr>
            <w:tcW w:w="4647" w:type="pct"/>
            <w:vAlign w:val="center"/>
          </w:tcPr>
          <w:p w14:paraId="1159BC12">
            <w:pPr>
              <w:pStyle w:val="37"/>
              <w:bidi w:val="0"/>
              <w:rPr>
                <w:rFonts w:hint="default"/>
                <w:color w:val="auto"/>
              </w:rPr>
            </w:pPr>
            <w:r>
              <w:rPr>
                <w:rFonts w:hint="default"/>
                <w:color w:val="auto"/>
              </w:rPr>
              <w:t>根据项目区功能区划以及对照各标准要求确定本项目环境影响评价执行以下标准：</w:t>
            </w:r>
          </w:p>
          <w:p w14:paraId="736CF881">
            <w:pPr>
              <w:pStyle w:val="37"/>
              <w:bidi w:val="0"/>
              <w:rPr>
                <w:rFonts w:hint="default"/>
                <w:b/>
                <w:bCs/>
                <w:color w:val="auto"/>
              </w:rPr>
            </w:pPr>
            <w:r>
              <w:rPr>
                <w:rFonts w:hint="eastAsia"/>
                <w:b/>
                <w:bCs/>
                <w:color w:val="auto"/>
                <w:lang w:val="en-US" w:eastAsia="zh-CN"/>
              </w:rPr>
              <w:t>一、</w:t>
            </w:r>
            <w:r>
              <w:rPr>
                <w:rFonts w:hint="default"/>
                <w:b/>
                <w:bCs/>
                <w:color w:val="auto"/>
              </w:rPr>
              <w:t>环境质量标准</w:t>
            </w:r>
          </w:p>
          <w:p w14:paraId="4ED2294E">
            <w:pPr>
              <w:pStyle w:val="37"/>
              <w:bidi w:val="0"/>
              <w:rPr>
                <w:b/>
                <w:bCs/>
                <w:color w:val="auto"/>
              </w:rPr>
            </w:pPr>
            <w:r>
              <w:rPr>
                <w:rFonts w:hint="eastAsia"/>
                <w:b/>
                <w:bCs/>
                <w:color w:val="auto"/>
                <w:lang w:val="en-US" w:eastAsia="zh-CN"/>
              </w:rPr>
              <w:t>1、</w:t>
            </w:r>
            <w:r>
              <w:rPr>
                <w:rFonts w:hint="default"/>
                <w:b/>
                <w:bCs/>
                <w:color w:val="auto"/>
              </w:rPr>
              <w:t>环境空气质量标准</w:t>
            </w:r>
          </w:p>
          <w:p w14:paraId="06FB06F0">
            <w:pPr>
              <w:pStyle w:val="37"/>
              <w:bidi w:val="0"/>
              <w:rPr>
                <w:rFonts w:hint="default"/>
                <w:color w:val="auto"/>
              </w:rPr>
            </w:pPr>
            <w:r>
              <w:rPr>
                <w:color w:val="auto"/>
              </w:rPr>
              <w:t>本工程建设涉及的区域</w:t>
            </w:r>
            <w:r>
              <w:rPr>
                <w:rFonts w:hint="eastAsia"/>
                <w:color w:val="auto"/>
              </w:rPr>
              <w:t>为乡镇</w:t>
            </w:r>
            <w:r>
              <w:rPr>
                <w:color w:val="auto"/>
              </w:rPr>
              <w:t>属于居住区，按照《环境空气质量标准》（GB3095-2012）的要求，本工程建设区域空气环境质量执行二级标准</w:t>
            </w:r>
            <w:r>
              <w:rPr>
                <w:rFonts w:hint="default"/>
                <w:color w:val="auto"/>
              </w:rPr>
              <w:t>。具体标准限值如下：</w:t>
            </w:r>
          </w:p>
          <w:p w14:paraId="2E7DA9E5">
            <w:pPr>
              <w:pStyle w:val="32"/>
              <w:bidi w:val="0"/>
              <w:spacing w:line="240" w:lineRule="auto"/>
              <w:rPr>
                <w:rFonts w:hint="default"/>
                <w:color w:val="auto"/>
              </w:rPr>
            </w:pPr>
            <w:r>
              <w:rPr>
                <w:rFonts w:hint="default"/>
                <w:color w:val="auto"/>
              </w:rPr>
              <w:t>表3-</w:t>
            </w:r>
            <w:r>
              <w:rPr>
                <w:rFonts w:hint="eastAsia"/>
                <w:color w:val="auto"/>
                <w:lang w:val="en-US" w:eastAsia="zh-CN"/>
              </w:rPr>
              <w:t>9</w:t>
            </w:r>
            <w:r>
              <w:rPr>
                <w:rFonts w:hint="default"/>
                <w:color w:val="auto"/>
              </w:rPr>
              <w:t xml:space="preserve"> 环境空气质量标准限值</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838"/>
              <w:gridCol w:w="623"/>
              <w:gridCol w:w="994"/>
              <w:gridCol w:w="882"/>
              <w:gridCol w:w="863"/>
              <w:gridCol w:w="827"/>
              <w:gridCol w:w="840"/>
            </w:tblGrid>
            <w:tr w14:paraId="1C62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restart"/>
                  <w:tcBorders>
                    <w:tl2br w:val="nil"/>
                    <w:tr2bl w:val="nil"/>
                  </w:tcBorders>
                  <w:vAlign w:val="center"/>
                </w:tcPr>
                <w:p w14:paraId="031AC68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区域名称</w:t>
                  </w:r>
                </w:p>
              </w:tc>
              <w:tc>
                <w:tcPr>
                  <w:tcW w:w="852" w:type="pct"/>
                  <w:vMerge w:val="restart"/>
                  <w:tcBorders>
                    <w:tl2br w:val="nil"/>
                    <w:tr2bl w:val="nil"/>
                  </w:tcBorders>
                  <w:vAlign w:val="center"/>
                </w:tcPr>
                <w:p w14:paraId="251399E9">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执行标准</w:t>
                  </w:r>
                </w:p>
              </w:tc>
              <w:tc>
                <w:tcPr>
                  <w:tcW w:w="448" w:type="pct"/>
                  <w:vMerge w:val="restart"/>
                  <w:tcBorders>
                    <w:tl2br w:val="nil"/>
                    <w:tr2bl w:val="nil"/>
                  </w:tcBorders>
                  <w:vAlign w:val="center"/>
                </w:tcPr>
                <w:p w14:paraId="50989968">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级别</w:t>
                  </w:r>
                </w:p>
              </w:tc>
              <w:tc>
                <w:tcPr>
                  <w:tcW w:w="686" w:type="pct"/>
                  <w:vMerge w:val="restart"/>
                  <w:tcBorders>
                    <w:tl2br w:val="nil"/>
                    <w:tr2bl w:val="nil"/>
                  </w:tcBorders>
                  <w:vAlign w:val="center"/>
                </w:tcPr>
                <w:p w14:paraId="1F824BAC">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污染物指标</w:t>
                  </w:r>
                </w:p>
              </w:tc>
              <w:tc>
                <w:tcPr>
                  <w:tcW w:w="614" w:type="pct"/>
                  <w:vMerge w:val="restart"/>
                  <w:tcBorders>
                    <w:tl2br w:val="nil"/>
                    <w:tr2bl w:val="nil"/>
                  </w:tcBorders>
                  <w:vAlign w:val="center"/>
                </w:tcPr>
                <w:p w14:paraId="3C3718FC">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单位</w:t>
                  </w:r>
                </w:p>
              </w:tc>
              <w:tc>
                <w:tcPr>
                  <w:tcW w:w="1768" w:type="pct"/>
                  <w:gridSpan w:val="3"/>
                  <w:tcBorders>
                    <w:tl2br w:val="nil"/>
                    <w:tr2bl w:val="nil"/>
                  </w:tcBorders>
                  <w:vAlign w:val="center"/>
                </w:tcPr>
                <w:p w14:paraId="4BD9215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标准限值</w:t>
                  </w:r>
                </w:p>
              </w:tc>
            </w:tr>
            <w:tr w14:paraId="36D9C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2858F43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p>
              </w:tc>
              <w:tc>
                <w:tcPr>
                  <w:tcW w:w="852" w:type="pct"/>
                  <w:vMerge w:val="continue"/>
                  <w:tcBorders>
                    <w:tl2br w:val="nil"/>
                    <w:tr2bl w:val="nil"/>
                  </w:tcBorders>
                  <w:vAlign w:val="center"/>
                </w:tcPr>
                <w:p w14:paraId="46540C35">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p>
              </w:tc>
              <w:tc>
                <w:tcPr>
                  <w:tcW w:w="448" w:type="pct"/>
                  <w:vMerge w:val="continue"/>
                  <w:tcBorders>
                    <w:tl2br w:val="nil"/>
                    <w:tr2bl w:val="nil"/>
                  </w:tcBorders>
                  <w:vAlign w:val="center"/>
                </w:tcPr>
                <w:p w14:paraId="7E1D400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p>
              </w:tc>
              <w:tc>
                <w:tcPr>
                  <w:tcW w:w="686" w:type="pct"/>
                  <w:vMerge w:val="continue"/>
                  <w:tcBorders>
                    <w:tl2br w:val="nil"/>
                    <w:tr2bl w:val="nil"/>
                  </w:tcBorders>
                  <w:vAlign w:val="center"/>
                </w:tcPr>
                <w:p w14:paraId="330CCA4F">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p>
              </w:tc>
              <w:tc>
                <w:tcPr>
                  <w:tcW w:w="614" w:type="pct"/>
                  <w:vMerge w:val="continue"/>
                  <w:tcBorders>
                    <w:tl2br w:val="nil"/>
                    <w:tr2bl w:val="nil"/>
                  </w:tcBorders>
                  <w:vAlign w:val="center"/>
                </w:tcPr>
                <w:p w14:paraId="56360600">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p>
              </w:tc>
              <w:tc>
                <w:tcPr>
                  <w:tcW w:w="602" w:type="pct"/>
                  <w:tcBorders>
                    <w:tl2br w:val="nil"/>
                    <w:tr2bl w:val="nil"/>
                  </w:tcBorders>
                  <w:vAlign w:val="center"/>
                </w:tcPr>
                <w:p w14:paraId="0D3F2BC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1小时平均</w:t>
                  </w:r>
                </w:p>
              </w:tc>
              <w:tc>
                <w:tcPr>
                  <w:tcW w:w="579" w:type="pct"/>
                  <w:tcBorders>
                    <w:tl2br w:val="nil"/>
                    <w:tr2bl w:val="nil"/>
                  </w:tcBorders>
                  <w:vAlign w:val="center"/>
                </w:tcPr>
                <w:p w14:paraId="56ECCEF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24小时平均</w:t>
                  </w:r>
                </w:p>
              </w:tc>
              <w:tc>
                <w:tcPr>
                  <w:tcW w:w="587" w:type="pct"/>
                  <w:tcBorders>
                    <w:tl2br w:val="nil"/>
                    <w:tr2bl w:val="nil"/>
                  </w:tcBorders>
                  <w:vAlign w:val="center"/>
                </w:tcPr>
                <w:p w14:paraId="0CB34140">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color w:val="auto"/>
                    </w:rPr>
                  </w:pPr>
                  <w:r>
                    <w:rPr>
                      <w:rFonts w:hint="default"/>
                      <w:b/>
                      <w:bCs/>
                      <w:color w:val="auto"/>
                    </w:rPr>
                    <w:t>年平均</w:t>
                  </w:r>
                </w:p>
              </w:tc>
            </w:tr>
            <w:tr w14:paraId="66914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restart"/>
                  <w:tcBorders>
                    <w:tl2br w:val="nil"/>
                    <w:tr2bl w:val="nil"/>
                  </w:tcBorders>
                  <w:vAlign w:val="center"/>
                </w:tcPr>
                <w:p w14:paraId="06F993A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项目所在区域</w:t>
                  </w:r>
                </w:p>
              </w:tc>
              <w:tc>
                <w:tcPr>
                  <w:tcW w:w="852" w:type="pct"/>
                  <w:vMerge w:val="restart"/>
                  <w:tcBorders>
                    <w:tl2br w:val="nil"/>
                    <w:tr2bl w:val="nil"/>
                  </w:tcBorders>
                  <w:vAlign w:val="center"/>
                </w:tcPr>
                <w:p w14:paraId="23D30F0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《环境空气质量标准》（GB3095-2012）</w:t>
                  </w:r>
                </w:p>
              </w:tc>
              <w:tc>
                <w:tcPr>
                  <w:tcW w:w="448" w:type="pct"/>
                  <w:vMerge w:val="restart"/>
                  <w:tcBorders>
                    <w:tl2br w:val="nil"/>
                    <w:tr2bl w:val="nil"/>
                  </w:tcBorders>
                  <w:vAlign w:val="center"/>
                </w:tcPr>
                <w:p w14:paraId="29FEFAE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二级标准</w:t>
                  </w:r>
                </w:p>
              </w:tc>
              <w:tc>
                <w:tcPr>
                  <w:tcW w:w="686" w:type="pct"/>
                  <w:tcBorders>
                    <w:tl2br w:val="nil"/>
                    <w:tr2bl w:val="nil"/>
                  </w:tcBorders>
                  <w:vAlign w:val="center"/>
                </w:tcPr>
                <w:p w14:paraId="1FE1964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SO</w:t>
                  </w:r>
                  <w:r>
                    <w:rPr>
                      <w:rFonts w:hint="default"/>
                      <w:color w:val="auto"/>
                      <w:vertAlign w:val="subscript"/>
                    </w:rPr>
                    <w:t>2</w:t>
                  </w:r>
                </w:p>
              </w:tc>
              <w:tc>
                <w:tcPr>
                  <w:tcW w:w="614" w:type="pct"/>
                  <w:vMerge w:val="restart"/>
                  <w:tcBorders>
                    <w:tl2br w:val="nil"/>
                    <w:tr2bl w:val="nil"/>
                  </w:tcBorders>
                  <w:vAlign w:val="center"/>
                </w:tcPr>
                <w:p w14:paraId="1DB6248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ug/m³</w:t>
                  </w:r>
                </w:p>
              </w:tc>
              <w:tc>
                <w:tcPr>
                  <w:tcW w:w="602" w:type="pct"/>
                  <w:tcBorders>
                    <w:tl2br w:val="nil"/>
                    <w:tr2bl w:val="nil"/>
                  </w:tcBorders>
                  <w:vAlign w:val="center"/>
                </w:tcPr>
                <w:p w14:paraId="17B3D08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500</w:t>
                  </w:r>
                </w:p>
              </w:tc>
              <w:tc>
                <w:tcPr>
                  <w:tcW w:w="579" w:type="pct"/>
                  <w:tcBorders>
                    <w:tl2br w:val="nil"/>
                    <w:tr2bl w:val="nil"/>
                  </w:tcBorders>
                  <w:vAlign w:val="center"/>
                </w:tcPr>
                <w:p w14:paraId="662FACD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150</w:t>
                  </w:r>
                </w:p>
              </w:tc>
              <w:tc>
                <w:tcPr>
                  <w:tcW w:w="587" w:type="pct"/>
                  <w:tcBorders>
                    <w:tl2br w:val="nil"/>
                    <w:tr2bl w:val="nil"/>
                  </w:tcBorders>
                  <w:vAlign w:val="center"/>
                </w:tcPr>
                <w:p w14:paraId="3FCC7F08">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60</w:t>
                  </w:r>
                </w:p>
              </w:tc>
            </w:tr>
            <w:tr w14:paraId="0150E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199C4341">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12F3DAD1">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4C3716D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339BDDB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PM10</w:t>
                  </w:r>
                </w:p>
              </w:tc>
              <w:tc>
                <w:tcPr>
                  <w:tcW w:w="614" w:type="pct"/>
                  <w:vMerge w:val="continue"/>
                  <w:tcBorders>
                    <w:tl2br w:val="nil"/>
                    <w:tr2bl w:val="nil"/>
                  </w:tcBorders>
                  <w:vAlign w:val="center"/>
                </w:tcPr>
                <w:p w14:paraId="3D310711">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0EDBF1D0">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c>
                <w:tcPr>
                  <w:tcW w:w="579" w:type="pct"/>
                  <w:tcBorders>
                    <w:tl2br w:val="nil"/>
                    <w:tr2bl w:val="nil"/>
                  </w:tcBorders>
                  <w:vAlign w:val="center"/>
                </w:tcPr>
                <w:p w14:paraId="7AF39EF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150</w:t>
                  </w:r>
                </w:p>
              </w:tc>
              <w:tc>
                <w:tcPr>
                  <w:tcW w:w="587" w:type="pct"/>
                  <w:tcBorders>
                    <w:tl2br w:val="nil"/>
                    <w:tr2bl w:val="nil"/>
                  </w:tcBorders>
                  <w:vAlign w:val="center"/>
                </w:tcPr>
                <w:p w14:paraId="08A4B38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70</w:t>
                  </w:r>
                </w:p>
              </w:tc>
            </w:tr>
            <w:tr w14:paraId="6C326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6E63C2E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0EA308D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2EB949A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3DAEDE9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P</w:t>
                  </w:r>
                  <w:r>
                    <w:rPr>
                      <w:rFonts w:hint="eastAsia"/>
                      <w:color w:val="auto"/>
                      <w:lang w:eastAsia="zh-CN"/>
                    </w:rPr>
                    <w:t>m2</w:t>
                  </w:r>
                  <w:r>
                    <w:rPr>
                      <w:rFonts w:hint="default"/>
                      <w:color w:val="auto"/>
                    </w:rPr>
                    <w:t>.5</w:t>
                  </w:r>
                </w:p>
              </w:tc>
              <w:tc>
                <w:tcPr>
                  <w:tcW w:w="614" w:type="pct"/>
                  <w:vMerge w:val="continue"/>
                  <w:tcBorders>
                    <w:tl2br w:val="nil"/>
                    <w:tr2bl w:val="nil"/>
                  </w:tcBorders>
                  <w:vAlign w:val="center"/>
                </w:tcPr>
                <w:p w14:paraId="765491AC">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363F7C0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c>
                <w:tcPr>
                  <w:tcW w:w="579" w:type="pct"/>
                  <w:tcBorders>
                    <w:tl2br w:val="nil"/>
                    <w:tr2bl w:val="nil"/>
                  </w:tcBorders>
                  <w:vAlign w:val="center"/>
                </w:tcPr>
                <w:p w14:paraId="1333F57F">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75</w:t>
                  </w:r>
                </w:p>
              </w:tc>
              <w:tc>
                <w:tcPr>
                  <w:tcW w:w="587" w:type="pct"/>
                  <w:tcBorders>
                    <w:tl2br w:val="nil"/>
                    <w:tr2bl w:val="nil"/>
                  </w:tcBorders>
                  <w:vAlign w:val="center"/>
                </w:tcPr>
                <w:p w14:paraId="2279109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35</w:t>
                  </w:r>
                </w:p>
              </w:tc>
            </w:tr>
            <w:tr w14:paraId="56A77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7DFBFD4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12FCB76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4D3A693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2D43444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NO</w:t>
                  </w:r>
                  <w:r>
                    <w:rPr>
                      <w:rFonts w:hint="default"/>
                      <w:color w:val="auto"/>
                      <w:vertAlign w:val="subscript"/>
                    </w:rPr>
                    <w:t>2</w:t>
                  </w:r>
                </w:p>
              </w:tc>
              <w:tc>
                <w:tcPr>
                  <w:tcW w:w="614" w:type="pct"/>
                  <w:vMerge w:val="continue"/>
                  <w:tcBorders>
                    <w:tl2br w:val="nil"/>
                    <w:tr2bl w:val="nil"/>
                  </w:tcBorders>
                  <w:vAlign w:val="center"/>
                </w:tcPr>
                <w:p w14:paraId="480F189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5B2A10D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200</w:t>
                  </w:r>
                </w:p>
              </w:tc>
              <w:tc>
                <w:tcPr>
                  <w:tcW w:w="579" w:type="pct"/>
                  <w:tcBorders>
                    <w:tl2br w:val="nil"/>
                    <w:tr2bl w:val="nil"/>
                  </w:tcBorders>
                  <w:vAlign w:val="center"/>
                </w:tcPr>
                <w:p w14:paraId="54E735C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80</w:t>
                  </w:r>
                </w:p>
              </w:tc>
              <w:tc>
                <w:tcPr>
                  <w:tcW w:w="587" w:type="pct"/>
                  <w:tcBorders>
                    <w:tl2br w:val="nil"/>
                    <w:tr2bl w:val="nil"/>
                  </w:tcBorders>
                  <w:vAlign w:val="center"/>
                </w:tcPr>
                <w:p w14:paraId="6CC45A3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40</w:t>
                  </w:r>
                </w:p>
              </w:tc>
            </w:tr>
            <w:tr w14:paraId="624C6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23044EC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159D4DA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02780E6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4AB4328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TSP</w:t>
                  </w:r>
                </w:p>
              </w:tc>
              <w:tc>
                <w:tcPr>
                  <w:tcW w:w="614" w:type="pct"/>
                  <w:vMerge w:val="continue"/>
                  <w:tcBorders>
                    <w:tl2br w:val="nil"/>
                    <w:tr2bl w:val="nil"/>
                  </w:tcBorders>
                  <w:vAlign w:val="center"/>
                </w:tcPr>
                <w:p w14:paraId="0CD4950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3FF6149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c>
                <w:tcPr>
                  <w:tcW w:w="579" w:type="pct"/>
                  <w:tcBorders>
                    <w:tl2br w:val="nil"/>
                    <w:tr2bl w:val="nil"/>
                  </w:tcBorders>
                  <w:vAlign w:val="center"/>
                </w:tcPr>
                <w:p w14:paraId="01CA1A11">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300</w:t>
                  </w:r>
                </w:p>
              </w:tc>
              <w:tc>
                <w:tcPr>
                  <w:tcW w:w="587" w:type="pct"/>
                  <w:tcBorders>
                    <w:tl2br w:val="nil"/>
                    <w:tr2bl w:val="nil"/>
                  </w:tcBorders>
                  <w:vAlign w:val="center"/>
                </w:tcPr>
                <w:p w14:paraId="0B8DB42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200</w:t>
                  </w:r>
                </w:p>
              </w:tc>
            </w:tr>
            <w:tr w14:paraId="5CC30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438A5C2F">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2CD735AA">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112999E5">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0122ACA4">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NO</w:t>
                  </w:r>
                  <w:r>
                    <w:rPr>
                      <w:rFonts w:hint="default"/>
                      <w:color w:val="auto"/>
                      <w:vertAlign w:val="subscript"/>
                    </w:rPr>
                    <w:t>X</w:t>
                  </w:r>
                </w:p>
              </w:tc>
              <w:tc>
                <w:tcPr>
                  <w:tcW w:w="614" w:type="pct"/>
                  <w:vMerge w:val="continue"/>
                  <w:tcBorders>
                    <w:tl2br w:val="nil"/>
                    <w:tr2bl w:val="nil"/>
                  </w:tcBorders>
                  <w:vAlign w:val="center"/>
                </w:tcPr>
                <w:p w14:paraId="64115B3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47F1635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250</w:t>
                  </w:r>
                </w:p>
              </w:tc>
              <w:tc>
                <w:tcPr>
                  <w:tcW w:w="579" w:type="pct"/>
                  <w:tcBorders>
                    <w:tl2br w:val="nil"/>
                    <w:tr2bl w:val="nil"/>
                  </w:tcBorders>
                  <w:vAlign w:val="center"/>
                </w:tcPr>
                <w:p w14:paraId="0495263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100</w:t>
                  </w:r>
                </w:p>
              </w:tc>
              <w:tc>
                <w:tcPr>
                  <w:tcW w:w="587" w:type="pct"/>
                  <w:tcBorders>
                    <w:tl2br w:val="nil"/>
                    <w:tr2bl w:val="nil"/>
                  </w:tcBorders>
                  <w:vAlign w:val="center"/>
                </w:tcPr>
                <w:p w14:paraId="0EB8048F">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50</w:t>
                  </w:r>
                </w:p>
              </w:tc>
            </w:tr>
            <w:tr w14:paraId="0A3AF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5C6FFCF9">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4DD154C5">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7E5FA9A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38C7A60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O</w:t>
                  </w:r>
                  <w:r>
                    <w:rPr>
                      <w:rFonts w:hint="default"/>
                      <w:color w:val="auto"/>
                      <w:vertAlign w:val="subscript"/>
                    </w:rPr>
                    <w:t>3</w:t>
                  </w:r>
                </w:p>
              </w:tc>
              <w:tc>
                <w:tcPr>
                  <w:tcW w:w="614" w:type="pct"/>
                  <w:vMerge w:val="continue"/>
                  <w:tcBorders>
                    <w:tl2br w:val="nil"/>
                    <w:tr2bl w:val="nil"/>
                  </w:tcBorders>
                  <w:vAlign w:val="center"/>
                </w:tcPr>
                <w:p w14:paraId="1D034883">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02" w:type="pct"/>
                  <w:tcBorders>
                    <w:tl2br w:val="nil"/>
                    <w:tr2bl w:val="nil"/>
                  </w:tcBorders>
                  <w:vAlign w:val="center"/>
                </w:tcPr>
                <w:p w14:paraId="5E62D15C">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200</w:t>
                  </w:r>
                </w:p>
              </w:tc>
              <w:tc>
                <w:tcPr>
                  <w:tcW w:w="579" w:type="pct"/>
                  <w:tcBorders>
                    <w:tl2br w:val="nil"/>
                    <w:tr2bl w:val="nil"/>
                  </w:tcBorders>
                  <w:vAlign w:val="center"/>
                </w:tcPr>
                <w:p w14:paraId="0396300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c>
                <w:tcPr>
                  <w:tcW w:w="587" w:type="pct"/>
                  <w:tcBorders>
                    <w:tl2br w:val="nil"/>
                    <w:tr2bl w:val="nil"/>
                  </w:tcBorders>
                  <w:vAlign w:val="center"/>
                </w:tcPr>
                <w:p w14:paraId="60AE7CDB">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r>
            <w:tr w14:paraId="75B4E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0" w:type="pct"/>
                  <w:vMerge w:val="continue"/>
                  <w:tcBorders>
                    <w:tl2br w:val="nil"/>
                    <w:tr2bl w:val="nil"/>
                  </w:tcBorders>
                  <w:vAlign w:val="center"/>
                </w:tcPr>
                <w:p w14:paraId="6C8E227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852" w:type="pct"/>
                  <w:vMerge w:val="continue"/>
                  <w:tcBorders>
                    <w:tl2br w:val="nil"/>
                    <w:tr2bl w:val="nil"/>
                  </w:tcBorders>
                  <w:vAlign w:val="center"/>
                </w:tcPr>
                <w:p w14:paraId="59986769">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448" w:type="pct"/>
                  <w:vMerge w:val="continue"/>
                  <w:tcBorders>
                    <w:tl2br w:val="nil"/>
                    <w:tr2bl w:val="nil"/>
                  </w:tcBorders>
                  <w:vAlign w:val="center"/>
                </w:tcPr>
                <w:p w14:paraId="7A9E97D6">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6" w:type="pct"/>
                  <w:tcBorders>
                    <w:tl2br w:val="nil"/>
                    <w:tr2bl w:val="nil"/>
                  </w:tcBorders>
                  <w:vAlign w:val="center"/>
                </w:tcPr>
                <w:p w14:paraId="3357F002">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CO</w:t>
                  </w:r>
                </w:p>
              </w:tc>
              <w:tc>
                <w:tcPr>
                  <w:tcW w:w="614" w:type="pct"/>
                  <w:tcBorders>
                    <w:tl2br w:val="nil"/>
                    <w:tr2bl w:val="nil"/>
                  </w:tcBorders>
                  <w:vAlign w:val="center"/>
                </w:tcPr>
                <w:p w14:paraId="74E5B66D">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mg/m³</w:t>
                  </w:r>
                </w:p>
              </w:tc>
              <w:tc>
                <w:tcPr>
                  <w:tcW w:w="602" w:type="pct"/>
                  <w:tcBorders>
                    <w:tl2br w:val="nil"/>
                    <w:tr2bl w:val="nil"/>
                  </w:tcBorders>
                  <w:vAlign w:val="center"/>
                </w:tcPr>
                <w:p w14:paraId="49AC81CE">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10</w:t>
                  </w:r>
                </w:p>
              </w:tc>
              <w:tc>
                <w:tcPr>
                  <w:tcW w:w="579" w:type="pct"/>
                  <w:tcBorders>
                    <w:tl2br w:val="nil"/>
                    <w:tr2bl w:val="nil"/>
                  </w:tcBorders>
                  <w:vAlign w:val="center"/>
                </w:tcPr>
                <w:p w14:paraId="5D415B39">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4</w:t>
                  </w:r>
                </w:p>
              </w:tc>
              <w:tc>
                <w:tcPr>
                  <w:tcW w:w="587" w:type="pct"/>
                  <w:tcBorders>
                    <w:tl2br w:val="nil"/>
                    <w:tr2bl w:val="nil"/>
                  </w:tcBorders>
                  <w:vAlign w:val="center"/>
                </w:tcPr>
                <w:p w14:paraId="22854947">
                  <w:pPr>
                    <w:pStyle w:val="3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w:t>
                  </w:r>
                </w:p>
              </w:tc>
            </w:tr>
          </w:tbl>
          <w:p w14:paraId="7789D0A6">
            <w:pPr>
              <w:pStyle w:val="37"/>
              <w:bidi w:val="0"/>
              <w:rPr>
                <w:rFonts w:hint="default"/>
                <w:b/>
                <w:bCs/>
                <w:color w:val="auto"/>
              </w:rPr>
            </w:pPr>
            <w:r>
              <w:rPr>
                <w:rFonts w:hint="eastAsia"/>
                <w:b/>
                <w:bCs/>
                <w:color w:val="auto"/>
                <w:lang w:val="en-US" w:eastAsia="zh-CN"/>
              </w:rPr>
              <w:t>2、</w:t>
            </w:r>
            <w:r>
              <w:rPr>
                <w:rFonts w:hint="default"/>
                <w:b/>
                <w:bCs/>
                <w:color w:val="auto"/>
              </w:rPr>
              <w:t>声环境质量标准</w:t>
            </w:r>
          </w:p>
          <w:p w14:paraId="6E897544">
            <w:pPr>
              <w:pStyle w:val="37"/>
              <w:bidi w:val="0"/>
              <w:rPr>
                <w:rFonts w:hint="default"/>
                <w:color w:val="auto"/>
              </w:rPr>
            </w:pPr>
            <w:r>
              <w:rPr>
                <w:color w:val="auto"/>
              </w:rPr>
              <w:t>本工程建设区域</w:t>
            </w:r>
            <w:r>
              <w:rPr>
                <w:rFonts w:hint="eastAsia"/>
                <w:color w:val="auto"/>
                <w:lang w:eastAsia="zh-CN"/>
              </w:rPr>
              <w:t>主要为村庄、耕地，</w:t>
            </w:r>
            <w:r>
              <w:rPr>
                <w:rFonts w:hint="default"/>
                <w:color w:val="auto"/>
                <w:lang w:val="en-US" w:eastAsia="zh-CN"/>
              </w:rPr>
              <w:t>项目区</w:t>
            </w:r>
            <w:r>
              <w:rPr>
                <w:rFonts w:hint="default" w:ascii="Times New Roman" w:hAnsi="Times New Roman" w:cs="Times New Roman"/>
                <w:color w:val="auto"/>
                <w:lang w:val="en-US" w:eastAsia="zh-CN"/>
              </w:rPr>
              <w:t>为2类声环境功能区，</w:t>
            </w:r>
            <w:r>
              <w:rPr>
                <w:color w:val="auto"/>
              </w:rPr>
              <w:t>声环境执行《声环境质量标准》（GB3096-2008）中的2类声环境功能区噪声限值</w:t>
            </w:r>
            <w:r>
              <w:rPr>
                <w:rFonts w:hint="eastAsia"/>
                <w:color w:val="auto"/>
                <w:lang w:eastAsia="zh-CN"/>
              </w:rPr>
              <w:t>。</w:t>
            </w:r>
            <w:r>
              <w:rPr>
                <w:rFonts w:hint="default"/>
                <w:color w:val="auto"/>
              </w:rPr>
              <w:t>具体限值如下：</w:t>
            </w:r>
          </w:p>
          <w:p w14:paraId="7299B82B">
            <w:pPr>
              <w:pStyle w:val="32"/>
              <w:bidi w:val="0"/>
              <w:spacing w:line="240" w:lineRule="auto"/>
              <w:rPr>
                <w:rFonts w:hint="default"/>
                <w:color w:val="auto"/>
              </w:rPr>
            </w:pPr>
            <w:r>
              <w:rPr>
                <w:rFonts w:hint="default"/>
                <w:color w:val="auto"/>
              </w:rPr>
              <w:t>表3-</w:t>
            </w:r>
            <w:r>
              <w:rPr>
                <w:rFonts w:hint="eastAsia"/>
                <w:color w:val="auto"/>
                <w:lang w:val="en-US" w:eastAsia="zh-CN"/>
              </w:rPr>
              <w:t>10</w:t>
            </w:r>
            <w:r>
              <w:rPr>
                <w:rFonts w:hint="default"/>
                <w:color w:val="auto"/>
              </w:rPr>
              <w:t>环境噪声限值  等效声级LeqdB（A）</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519"/>
              <w:gridCol w:w="2462"/>
            </w:tblGrid>
            <w:tr w14:paraId="6858A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95" w:type="pct"/>
                  <w:tcBorders>
                    <w:tl2br w:val="nil"/>
                    <w:tr2bl w:val="nil"/>
                  </w:tcBorders>
                  <w:vAlign w:val="center"/>
                </w:tcPr>
                <w:p w14:paraId="7EB1E52C">
                  <w:pPr>
                    <w:pStyle w:val="35"/>
                    <w:bidi w:val="0"/>
                    <w:rPr>
                      <w:rFonts w:hint="default"/>
                      <w:b/>
                      <w:bCs/>
                      <w:color w:val="auto"/>
                    </w:rPr>
                  </w:pPr>
                  <w:r>
                    <w:rPr>
                      <w:rFonts w:hint="default"/>
                      <w:b/>
                      <w:bCs/>
                      <w:color w:val="auto"/>
                    </w:rPr>
                    <w:t>类别</w:t>
                  </w:r>
                </w:p>
              </w:tc>
              <w:tc>
                <w:tcPr>
                  <w:tcW w:w="1620" w:type="pct"/>
                  <w:tcBorders>
                    <w:tl2br w:val="nil"/>
                    <w:tr2bl w:val="nil"/>
                  </w:tcBorders>
                  <w:vAlign w:val="center"/>
                </w:tcPr>
                <w:p w14:paraId="6025CC7E">
                  <w:pPr>
                    <w:pStyle w:val="35"/>
                    <w:bidi w:val="0"/>
                    <w:rPr>
                      <w:rFonts w:hint="default"/>
                      <w:b/>
                      <w:bCs/>
                      <w:color w:val="auto"/>
                    </w:rPr>
                  </w:pPr>
                  <w:r>
                    <w:rPr>
                      <w:rFonts w:hint="default"/>
                      <w:b/>
                      <w:bCs/>
                      <w:color w:val="auto"/>
                    </w:rPr>
                    <w:t>昼间</w:t>
                  </w:r>
                </w:p>
              </w:tc>
              <w:tc>
                <w:tcPr>
                  <w:tcW w:w="1583" w:type="pct"/>
                  <w:tcBorders>
                    <w:tl2br w:val="nil"/>
                    <w:tr2bl w:val="nil"/>
                  </w:tcBorders>
                  <w:vAlign w:val="center"/>
                </w:tcPr>
                <w:p w14:paraId="56287EAA">
                  <w:pPr>
                    <w:pStyle w:val="35"/>
                    <w:bidi w:val="0"/>
                    <w:rPr>
                      <w:rFonts w:hint="default"/>
                      <w:b/>
                      <w:bCs/>
                      <w:color w:val="auto"/>
                    </w:rPr>
                  </w:pPr>
                  <w:r>
                    <w:rPr>
                      <w:rFonts w:hint="default"/>
                      <w:b/>
                      <w:bCs/>
                      <w:color w:val="auto"/>
                    </w:rPr>
                    <w:t>夜间</w:t>
                  </w:r>
                </w:p>
              </w:tc>
            </w:tr>
            <w:tr w14:paraId="63C9D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95" w:type="pct"/>
                  <w:tcBorders>
                    <w:tl2br w:val="nil"/>
                    <w:tr2bl w:val="nil"/>
                  </w:tcBorders>
                  <w:vAlign w:val="center"/>
                </w:tcPr>
                <w:p w14:paraId="2F90CC62">
                  <w:pPr>
                    <w:pStyle w:val="35"/>
                    <w:bidi w:val="0"/>
                    <w:rPr>
                      <w:rFonts w:hint="default"/>
                      <w:color w:val="auto"/>
                    </w:rPr>
                  </w:pPr>
                  <w:r>
                    <w:rPr>
                      <w:rFonts w:hint="eastAsia"/>
                      <w:color w:val="auto"/>
                      <w:lang w:val="en-US" w:eastAsia="zh-CN"/>
                    </w:rPr>
                    <w:t>2类</w:t>
                  </w:r>
                  <w:r>
                    <w:rPr>
                      <w:rFonts w:hint="default"/>
                      <w:color w:val="auto"/>
                    </w:rPr>
                    <w:t>标准</w:t>
                  </w:r>
                </w:p>
              </w:tc>
              <w:tc>
                <w:tcPr>
                  <w:tcW w:w="1620" w:type="pct"/>
                  <w:tcBorders>
                    <w:tl2br w:val="nil"/>
                    <w:tr2bl w:val="nil"/>
                  </w:tcBorders>
                  <w:vAlign w:val="center"/>
                </w:tcPr>
                <w:p w14:paraId="0D62A0BF">
                  <w:pPr>
                    <w:pStyle w:val="35"/>
                    <w:bidi w:val="0"/>
                    <w:rPr>
                      <w:rFonts w:hint="default"/>
                      <w:color w:val="auto"/>
                      <w:lang w:val="en-US" w:eastAsia="zh-CN"/>
                    </w:rPr>
                  </w:pPr>
                  <w:r>
                    <w:rPr>
                      <w:rFonts w:hint="eastAsia"/>
                      <w:color w:val="auto"/>
                      <w:lang w:val="en-US" w:eastAsia="zh-CN"/>
                    </w:rPr>
                    <w:t>60</w:t>
                  </w:r>
                </w:p>
              </w:tc>
              <w:tc>
                <w:tcPr>
                  <w:tcW w:w="1583" w:type="pct"/>
                  <w:tcBorders>
                    <w:tl2br w:val="nil"/>
                    <w:tr2bl w:val="nil"/>
                  </w:tcBorders>
                  <w:vAlign w:val="center"/>
                </w:tcPr>
                <w:p w14:paraId="522DD5AE">
                  <w:pPr>
                    <w:pStyle w:val="35"/>
                    <w:bidi w:val="0"/>
                    <w:rPr>
                      <w:rFonts w:hint="default"/>
                      <w:color w:val="auto"/>
                      <w:lang w:val="en-US" w:eastAsia="zh-CN"/>
                    </w:rPr>
                  </w:pPr>
                  <w:r>
                    <w:rPr>
                      <w:rFonts w:hint="eastAsia"/>
                      <w:color w:val="auto"/>
                      <w:lang w:val="en-US" w:eastAsia="zh-CN"/>
                    </w:rPr>
                    <w:t>50</w:t>
                  </w:r>
                </w:p>
              </w:tc>
            </w:tr>
          </w:tbl>
          <w:p w14:paraId="5B473047">
            <w:pPr>
              <w:pStyle w:val="37"/>
              <w:bidi w:val="0"/>
              <w:rPr>
                <w:rFonts w:hint="default"/>
                <w:b/>
                <w:bCs/>
                <w:color w:val="auto"/>
              </w:rPr>
            </w:pPr>
            <w:r>
              <w:rPr>
                <w:rFonts w:hint="eastAsia"/>
                <w:b/>
                <w:bCs/>
                <w:color w:val="auto"/>
                <w:lang w:val="en-US" w:eastAsia="zh-CN"/>
              </w:rPr>
              <w:t>3、</w:t>
            </w:r>
            <w:r>
              <w:rPr>
                <w:rFonts w:hint="default"/>
                <w:b/>
                <w:bCs/>
                <w:color w:val="auto"/>
              </w:rPr>
              <w:t>地表水环境质量标准</w:t>
            </w:r>
          </w:p>
          <w:p w14:paraId="4FCDACB3">
            <w:pPr>
              <w:pStyle w:val="37"/>
              <w:bidi w:val="0"/>
              <w:rPr>
                <w:rFonts w:hint="default"/>
                <w:color w:val="auto"/>
              </w:rPr>
            </w:pPr>
            <w:r>
              <w:rPr>
                <w:rFonts w:hint="default" w:ascii="Times New Roman" w:hAnsi="Times New Roman" w:cs="Times New Roman"/>
                <w:color w:val="000000"/>
                <w:lang w:eastAsia="zh-CN"/>
              </w:rPr>
              <w:t>本次河道治理工程地表水主要为</w:t>
            </w:r>
            <w:r>
              <w:rPr>
                <w:rFonts w:hint="default" w:ascii="Times New Roman" w:hAnsi="Times New Roman" w:cs="Times New Roman"/>
                <w:color w:val="000000"/>
                <w:lang w:val="en-US" w:eastAsia="zh-CN"/>
              </w:rPr>
              <w:t>芒市大河</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aps w:val="0"/>
                <w:smallCaps w:val="0"/>
                <w:color w:val="auto"/>
              </w:rPr>
              <w:t>根据《云南省</w:t>
            </w:r>
            <w:r>
              <w:rPr>
                <w:rFonts w:hint="default" w:ascii="Times New Roman" w:hAnsi="Times New Roman" w:eastAsia="宋体" w:cs="Times New Roman"/>
                <w:caps w:val="0"/>
                <w:smallCaps w:val="0"/>
                <w:color w:val="auto"/>
                <w:lang w:eastAsia="zh-CN"/>
              </w:rPr>
              <w:t>水</w:t>
            </w:r>
            <w:r>
              <w:rPr>
                <w:rFonts w:hint="default" w:ascii="Times New Roman" w:hAnsi="Times New Roman" w:eastAsia="宋体" w:cs="Times New Roman"/>
                <w:caps w:val="0"/>
                <w:smallCaps w:val="0"/>
                <w:color w:val="auto"/>
              </w:rPr>
              <w:t>功能区划（</w:t>
            </w:r>
            <w:r>
              <w:rPr>
                <w:rFonts w:hint="default" w:ascii="Times New Roman" w:hAnsi="Times New Roman" w:eastAsia="宋体" w:cs="Times New Roman"/>
                <w:caps w:val="0"/>
                <w:smallCaps w:val="0"/>
                <w:color w:val="auto"/>
                <w:lang w:val="en-US" w:eastAsia="zh-CN"/>
              </w:rPr>
              <w:t>2014年修订</w:t>
            </w:r>
            <w:r>
              <w:rPr>
                <w:rFonts w:hint="default" w:ascii="Times New Roman" w:hAnsi="Times New Roman" w:eastAsia="宋体" w:cs="Times New Roman"/>
                <w:caps w:val="0"/>
                <w:smallCaps w:val="0"/>
                <w:color w:val="auto"/>
              </w:rPr>
              <w:t>）》</w:t>
            </w:r>
            <w:r>
              <w:rPr>
                <w:rFonts w:hint="default" w:ascii="Times New Roman" w:hAnsi="Times New Roman" w:eastAsia="宋体" w:cs="Times New Roman"/>
                <w:caps w:val="0"/>
                <w:smallCaps w:val="0"/>
                <w:color w:val="auto"/>
                <w:lang w:val="en-US" w:eastAsia="zh-CN"/>
              </w:rPr>
              <w:t>及《德宏州水功能区划复核和调整报告》（德政复〔2014〕257号）</w:t>
            </w:r>
            <w:r>
              <w:rPr>
                <w:rFonts w:hint="default" w:ascii="Times New Roman" w:hAnsi="Times New Roman" w:eastAsia="宋体" w:cs="Times New Roman"/>
                <w:caps w:val="0"/>
                <w:smallCaps w:val="0"/>
                <w:color w:val="auto"/>
              </w:rPr>
              <w:t>，</w:t>
            </w:r>
            <w:r>
              <w:rPr>
                <w:rFonts w:hint="eastAsia" w:cs="Times New Roman"/>
                <w:caps w:val="0"/>
                <w:smallCaps w:val="0"/>
                <w:color w:val="auto"/>
                <w:lang w:eastAsia="zh-CN"/>
              </w:rPr>
              <w:t>芒市大河</w:t>
            </w:r>
            <w:r>
              <w:rPr>
                <w:rFonts w:hint="default" w:ascii="Times New Roman" w:hAnsi="Times New Roman" w:eastAsia="宋体" w:cs="Times New Roman"/>
                <w:caps w:val="0"/>
                <w:smallCaps w:val="0"/>
                <w:color w:val="auto"/>
                <w:lang w:eastAsia="zh-CN"/>
              </w:rPr>
              <w:t>该河段属“芒市河芒市保留区”段，主要</w:t>
            </w:r>
            <w:r>
              <w:rPr>
                <w:rFonts w:hint="default" w:ascii="Times New Roman" w:hAnsi="Times New Roman" w:eastAsia="宋体" w:cs="Times New Roman"/>
                <w:caps w:val="0"/>
                <w:smallCaps w:val="0"/>
                <w:color w:val="auto"/>
                <w:lang w:val="en-US" w:eastAsia="zh-CN"/>
              </w:rPr>
              <w:t>水环境功能为</w:t>
            </w:r>
            <w:r>
              <w:rPr>
                <w:rFonts w:hint="default" w:ascii="Times New Roman" w:hAnsi="Times New Roman" w:eastAsia="宋体" w:cs="Times New Roman"/>
                <w:caps w:val="0"/>
                <w:smallCaps w:val="0"/>
                <w:color w:val="auto"/>
                <w:lang w:eastAsia="zh-CN"/>
              </w:rPr>
              <w:t>农业用水和工业用水，现状水质为Ⅲ类。</w:t>
            </w:r>
            <w:r>
              <w:rPr>
                <w:rFonts w:hint="eastAsia" w:cs="Times New Roman"/>
                <w:caps w:val="0"/>
                <w:smallCaps w:val="0"/>
                <w:color w:val="auto"/>
                <w:lang w:val="en-US" w:eastAsia="zh-CN"/>
              </w:rPr>
              <w:t>项目</w:t>
            </w:r>
            <w:r>
              <w:rPr>
                <w:rFonts w:hint="default" w:ascii="Times New Roman" w:hAnsi="Times New Roman" w:eastAsia="宋体" w:cs="Times New Roman"/>
                <w:caps w:val="0"/>
                <w:smallCaps w:val="0"/>
                <w:color w:val="auto"/>
                <w:lang w:val="en-US" w:eastAsia="zh-CN"/>
              </w:rPr>
              <w:t>区域地表水体均</w:t>
            </w:r>
            <w:r>
              <w:rPr>
                <w:rFonts w:hint="default" w:ascii="Times New Roman" w:hAnsi="Times New Roman" w:eastAsia="宋体" w:cs="Times New Roman"/>
                <w:caps w:val="0"/>
                <w:smallCaps w:val="0"/>
                <w:color w:val="auto"/>
              </w:rPr>
              <w:t>执行《地表水环境质量标准》（GB3838-2002）</w:t>
            </w:r>
            <w:r>
              <w:rPr>
                <w:rFonts w:hint="default" w:ascii="Times New Roman" w:hAnsi="Times New Roman" w:eastAsia="宋体" w:cs="Times New Roman"/>
                <w:caps w:val="0"/>
                <w:smallCaps w:val="0"/>
                <w:color w:val="auto"/>
              </w:rPr>
              <w:fldChar w:fldCharType="begin"/>
            </w:r>
            <w:r>
              <w:rPr>
                <w:rFonts w:hint="default" w:ascii="Times New Roman" w:hAnsi="Times New Roman" w:eastAsia="宋体" w:cs="Times New Roman"/>
                <w:caps w:val="0"/>
                <w:smallCaps w:val="0"/>
                <w:color w:val="auto"/>
              </w:rPr>
              <w:instrText xml:space="preserve"> = 3 \* ROMAN \* MERGEFORMAT </w:instrText>
            </w:r>
            <w:r>
              <w:rPr>
                <w:rFonts w:hint="default" w:ascii="Times New Roman" w:hAnsi="Times New Roman" w:eastAsia="宋体" w:cs="Times New Roman"/>
                <w:caps w:val="0"/>
                <w:smallCaps w:val="0"/>
                <w:color w:val="auto"/>
              </w:rPr>
              <w:fldChar w:fldCharType="separate"/>
            </w:r>
            <w:r>
              <w:rPr>
                <w:rFonts w:hint="default" w:ascii="Times New Roman" w:hAnsi="Times New Roman" w:eastAsia="宋体" w:cs="Times New Roman"/>
                <w:caps w:val="0"/>
                <w:smallCaps w:val="0"/>
                <w:color w:val="auto"/>
              </w:rPr>
              <w:t>III</w:t>
            </w:r>
            <w:r>
              <w:rPr>
                <w:rFonts w:hint="default" w:ascii="Times New Roman" w:hAnsi="Times New Roman" w:eastAsia="宋体" w:cs="Times New Roman"/>
                <w:caps w:val="0"/>
                <w:smallCaps w:val="0"/>
                <w:color w:val="auto"/>
              </w:rPr>
              <w:fldChar w:fldCharType="end"/>
            </w:r>
            <w:r>
              <w:rPr>
                <w:rFonts w:hint="default" w:ascii="Times New Roman" w:hAnsi="Times New Roman" w:eastAsia="宋体" w:cs="Times New Roman"/>
                <w:caps w:val="0"/>
                <w:smallCaps w:val="0"/>
                <w:color w:val="auto"/>
              </w:rPr>
              <w:t>类标准</w:t>
            </w:r>
            <w:r>
              <w:rPr>
                <w:rFonts w:hint="eastAsia"/>
                <w:color w:val="auto"/>
              </w:rPr>
              <w:t>。</w:t>
            </w:r>
            <w:r>
              <w:rPr>
                <w:rFonts w:hint="default"/>
                <w:color w:val="auto"/>
              </w:rPr>
              <w:t>具体标准限值如下：</w:t>
            </w:r>
          </w:p>
          <w:p w14:paraId="51A15E9D">
            <w:pPr>
              <w:pStyle w:val="32"/>
              <w:bidi w:val="0"/>
              <w:spacing w:line="240" w:lineRule="auto"/>
              <w:rPr>
                <w:rFonts w:hint="default"/>
                <w:color w:val="auto"/>
              </w:rPr>
            </w:pPr>
            <w:r>
              <w:rPr>
                <w:rFonts w:hint="default"/>
                <w:color w:val="auto"/>
              </w:rPr>
              <w:t>表3-</w:t>
            </w:r>
            <w:r>
              <w:rPr>
                <w:rFonts w:hint="eastAsia"/>
                <w:color w:val="auto"/>
                <w:lang w:val="en-US" w:eastAsia="zh-CN"/>
              </w:rPr>
              <w:t>11</w:t>
            </w:r>
            <w:r>
              <w:rPr>
                <w:rFonts w:hint="default"/>
                <w:color w:val="auto"/>
              </w:rPr>
              <w:t xml:space="preserve"> 地表水环境质量标准 单位：mg/L ，pH</w:t>
            </w:r>
            <w:r>
              <w:rPr>
                <w:rFonts w:hint="eastAsia"/>
                <w:color w:val="auto"/>
                <w:lang w:eastAsia="zh-CN"/>
              </w:rPr>
              <w:t>（</w:t>
            </w:r>
            <w:r>
              <w:rPr>
                <w:rFonts w:hint="default"/>
                <w:color w:val="auto"/>
              </w:rPr>
              <w:t>无量纲</w:t>
            </w:r>
            <w:r>
              <w:rPr>
                <w:rFonts w:hint="eastAsia"/>
                <w:color w:val="auto"/>
                <w:lang w:eastAsia="zh-CN"/>
              </w:rPr>
              <w:t>）</w:t>
            </w:r>
          </w:p>
          <w:tbl>
            <w:tblPr>
              <w:tblStyle w:val="23"/>
              <w:tblW w:w="76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17"/>
              <w:gridCol w:w="2635"/>
              <w:gridCol w:w="1947"/>
            </w:tblGrid>
            <w:tr w14:paraId="7AF55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32DEE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rPr>
                  </w:pPr>
                  <w:r>
                    <w:rPr>
                      <w:rFonts w:hint="default" w:ascii="Times New Roman" w:hAnsi="Times New Roman" w:eastAsia="宋体" w:cs="Times New Roman"/>
                      <w:b/>
                      <w:bCs/>
                      <w:caps w:val="0"/>
                      <w:smallCaps w:val="0"/>
                      <w:color w:val="auto"/>
                      <w:sz w:val="21"/>
                      <w:szCs w:val="21"/>
                    </w:rPr>
                    <w:t>指标</w:t>
                  </w:r>
                </w:p>
              </w:tc>
              <w:tc>
                <w:tcPr>
                  <w:tcW w:w="2635" w:type="dxa"/>
                  <w:tcBorders>
                    <w:tl2br w:val="nil"/>
                    <w:tr2bl w:val="nil"/>
                  </w:tcBorders>
                  <w:noWrap w:val="0"/>
                  <w:vAlign w:val="center"/>
                </w:tcPr>
                <w:p w14:paraId="76DA7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lang w:eastAsia="zh-CN"/>
                    </w:rPr>
                  </w:pPr>
                  <w:r>
                    <w:rPr>
                      <w:rFonts w:hint="default" w:ascii="Times New Roman" w:hAnsi="Times New Roman" w:eastAsia="宋体" w:cs="Times New Roman"/>
                      <w:b/>
                      <w:bCs/>
                      <w:caps w:val="0"/>
                      <w:smallCaps w:val="0"/>
                      <w:color w:val="auto"/>
                      <w:sz w:val="21"/>
                      <w:szCs w:val="21"/>
                    </w:rPr>
                    <w:t>准值</w:t>
                  </w:r>
                  <w:r>
                    <w:rPr>
                      <w:rFonts w:hint="default" w:ascii="Times New Roman" w:hAnsi="Times New Roman" w:eastAsia="宋体" w:cs="Times New Roman"/>
                      <w:b/>
                      <w:bCs/>
                      <w:caps w:val="0"/>
                      <w:smallCaps w:val="0"/>
                      <w:color w:val="auto"/>
                      <w:sz w:val="21"/>
                      <w:szCs w:val="21"/>
                      <w:lang w:eastAsia="zh-CN"/>
                    </w:rPr>
                    <w:t>限值</w:t>
                  </w:r>
                </w:p>
              </w:tc>
              <w:tc>
                <w:tcPr>
                  <w:tcW w:w="1947" w:type="dxa"/>
                  <w:tcBorders>
                    <w:tl2br w:val="nil"/>
                    <w:tr2bl w:val="nil"/>
                  </w:tcBorders>
                  <w:noWrap w:val="0"/>
                  <w:vAlign w:val="center"/>
                </w:tcPr>
                <w:p w14:paraId="243F9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aps w:val="0"/>
                      <w:smallCaps w:val="0"/>
                      <w:color w:val="auto"/>
                      <w:sz w:val="21"/>
                      <w:szCs w:val="21"/>
                      <w:lang w:eastAsia="zh-CN"/>
                    </w:rPr>
                  </w:pPr>
                  <w:r>
                    <w:rPr>
                      <w:rFonts w:hint="default" w:ascii="Times New Roman" w:hAnsi="Times New Roman" w:eastAsia="宋体" w:cs="Times New Roman"/>
                      <w:b/>
                      <w:bCs/>
                      <w:caps w:val="0"/>
                      <w:smallCaps w:val="0"/>
                      <w:color w:val="auto"/>
                      <w:sz w:val="21"/>
                      <w:szCs w:val="21"/>
                    </w:rPr>
                    <w:t>标准</w:t>
                  </w:r>
                  <w:r>
                    <w:rPr>
                      <w:rFonts w:hint="default" w:ascii="Times New Roman" w:hAnsi="Times New Roman" w:eastAsia="宋体" w:cs="Times New Roman"/>
                      <w:b/>
                      <w:bCs/>
                      <w:caps w:val="0"/>
                      <w:smallCaps w:val="0"/>
                      <w:color w:val="auto"/>
                      <w:sz w:val="21"/>
                      <w:szCs w:val="21"/>
                      <w:lang w:eastAsia="zh-CN"/>
                    </w:rPr>
                    <w:t>来源</w:t>
                  </w:r>
                </w:p>
              </w:tc>
            </w:tr>
            <w:tr w14:paraId="07BD6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039CD6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pH</w:t>
                  </w:r>
                </w:p>
              </w:tc>
              <w:tc>
                <w:tcPr>
                  <w:tcW w:w="2635" w:type="dxa"/>
                  <w:tcBorders>
                    <w:tl2br w:val="nil"/>
                    <w:tr2bl w:val="nil"/>
                  </w:tcBorders>
                  <w:noWrap w:val="0"/>
                  <w:vAlign w:val="center"/>
                </w:tcPr>
                <w:p w14:paraId="56B872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eastAsia="zh-CN"/>
                    </w:rPr>
                  </w:pPr>
                  <w:r>
                    <w:rPr>
                      <w:rFonts w:hint="default" w:ascii="Times New Roman" w:hAnsi="Times New Roman" w:eastAsia="宋体" w:cs="Times New Roman"/>
                      <w:caps w:val="0"/>
                      <w:smallCaps w:val="0"/>
                      <w:color w:val="auto"/>
                      <w:sz w:val="21"/>
                      <w:szCs w:val="21"/>
                    </w:rPr>
                    <w:t>6～9</w:t>
                  </w:r>
                  <w:r>
                    <w:rPr>
                      <w:rFonts w:hint="default" w:ascii="Times New Roman" w:hAnsi="Times New Roman" w:eastAsia="宋体" w:cs="Times New Roman"/>
                      <w:caps w:val="0"/>
                      <w:smallCaps w:val="0"/>
                      <w:color w:val="auto"/>
                      <w:sz w:val="21"/>
                      <w:szCs w:val="21"/>
                      <w:lang w:eastAsia="zh-CN"/>
                    </w:rPr>
                    <w:t>（无量纲）</w:t>
                  </w:r>
                </w:p>
              </w:tc>
              <w:tc>
                <w:tcPr>
                  <w:tcW w:w="1947" w:type="dxa"/>
                  <w:vMerge w:val="restart"/>
                  <w:tcBorders>
                    <w:tl2br w:val="nil"/>
                    <w:tr2bl w:val="nil"/>
                  </w:tcBorders>
                  <w:noWrap w:val="0"/>
                  <w:vAlign w:val="center"/>
                </w:tcPr>
                <w:p w14:paraId="2D6865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《地表水环境质量标准》(GB3838—2002)</w:t>
                  </w:r>
                  <w:r>
                    <w:rPr>
                      <w:rFonts w:hint="default" w:ascii="Times New Roman" w:hAnsi="Times New Roman" w:eastAsia="宋体" w:cs="Times New Roman"/>
                      <w:caps w:val="0"/>
                      <w:smallCaps w:val="0"/>
                      <w:color w:val="auto"/>
                      <w:sz w:val="21"/>
                      <w:szCs w:val="21"/>
                    </w:rPr>
                    <w:fldChar w:fldCharType="begin"/>
                  </w:r>
                  <w:r>
                    <w:rPr>
                      <w:rFonts w:hint="default" w:ascii="Times New Roman" w:hAnsi="Times New Roman" w:eastAsia="宋体" w:cs="Times New Roman"/>
                      <w:caps w:val="0"/>
                      <w:smallCaps w:val="0"/>
                      <w:color w:val="auto"/>
                      <w:sz w:val="21"/>
                      <w:szCs w:val="21"/>
                    </w:rPr>
                    <w:instrText xml:space="preserve"> = 3 \* ROMAN \* MERGEFORMAT </w:instrText>
                  </w:r>
                  <w:r>
                    <w:rPr>
                      <w:rFonts w:hint="default" w:ascii="Times New Roman" w:hAnsi="Times New Roman" w:eastAsia="宋体" w:cs="Times New Roman"/>
                      <w:caps w:val="0"/>
                      <w:smallCaps w:val="0"/>
                      <w:color w:val="auto"/>
                      <w:sz w:val="21"/>
                      <w:szCs w:val="21"/>
                    </w:rPr>
                    <w:fldChar w:fldCharType="separate"/>
                  </w:r>
                  <w:r>
                    <w:rPr>
                      <w:rFonts w:hint="default" w:ascii="Times New Roman" w:hAnsi="Times New Roman" w:eastAsia="宋体" w:cs="Times New Roman"/>
                      <w:caps w:val="0"/>
                      <w:smallCaps w:val="0"/>
                      <w:color w:val="auto"/>
                      <w:sz w:val="21"/>
                      <w:szCs w:val="21"/>
                    </w:rPr>
                    <w:t>III</w:t>
                  </w:r>
                  <w:r>
                    <w:rPr>
                      <w:rFonts w:hint="default" w:ascii="Times New Roman" w:hAnsi="Times New Roman" w:eastAsia="宋体" w:cs="Times New Roman"/>
                      <w:caps w:val="0"/>
                      <w:smallCaps w:val="0"/>
                      <w:color w:val="auto"/>
                      <w:sz w:val="21"/>
                      <w:szCs w:val="21"/>
                    </w:rPr>
                    <w:fldChar w:fldCharType="end"/>
                  </w:r>
                  <w:r>
                    <w:rPr>
                      <w:rFonts w:hint="default" w:ascii="Times New Roman" w:hAnsi="Times New Roman" w:eastAsia="宋体" w:cs="Times New Roman"/>
                      <w:caps w:val="0"/>
                      <w:smallCaps w:val="0"/>
                      <w:color w:val="auto"/>
                      <w:sz w:val="21"/>
                      <w:szCs w:val="21"/>
                    </w:rPr>
                    <w:t>类标准</w:t>
                  </w:r>
                </w:p>
              </w:tc>
            </w:tr>
            <w:tr w14:paraId="698F5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F919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COD</w:t>
                  </w:r>
                </w:p>
              </w:tc>
              <w:tc>
                <w:tcPr>
                  <w:tcW w:w="2635" w:type="dxa"/>
                  <w:tcBorders>
                    <w:tl2br w:val="nil"/>
                    <w:tr2bl w:val="nil"/>
                  </w:tcBorders>
                  <w:noWrap w:val="0"/>
                  <w:vAlign w:val="center"/>
                </w:tcPr>
                <w:p w14:paraId="195E66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20</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0D1D5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69F9D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3D880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BOD</w:t>
                  </w:r>
                  <w:r>
                    <w:rPr>
                      <w:rFonts w:hint="default" w:ascii="Times New Roman" w:hAnsi="Times New Roman" w:eastAsia="宋体" w:cs="Times New Roman"/>
                      <w:caps w:val="0"/>
                      <w:smallCaps w:val="0"/>
                      <w:color w:val="auto"/>
                      <w:sz w:val="21"/>
                      <w:szCs w:val="21"/>
                      <w:vertAlign w:val="subscript"/>
                    </w:rPr>
                    <w:t>5</w:t>
                  </w:r>
                </w:p>
              </w:tc>
              <w:tc>
                <w:tcPr>
                  <w:tcW w:w="2635" w:type="dxa"/>
                  <w:tcBorders>
                    <w:tl2br w:val="nil"/>
                    <w:tr2bl w:val="nil"/>
                  </w:tcBorders>
                  <w:noWrap w:val="0"/>
                  <w:vAlign w:val="center"/>
                </w:tcPr>
                <w:p w14:paraId="412D1D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4</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1A61C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716A4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F86D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DO</w:t>
                  </w:r>
                </w:p>
              </w:tc>
              <w:tc>
                <w:tcPr>
                  <w:tcW w:w="2635" w:type="dxa"/>
                  <w:tcBorders>
                    <w:tl2br w:val="nil"/>
                    <w:tr2bl w:val="nil"/>
                  </w:tcBorders>
                  <w:noWrap w:val="0"/>
                  <w:vAlign w:val="center"/>
                </w:tcPr>
                <w:p w14:paraId="5580C4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67627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3E694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5442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石油类</w:t>
                  </w:r>
                </w:p>
              </w:tc>
              <w:tc>
                <w:tcPr>
                  <w:tcW w:w="2635" w:type="dxa"/>
                  <w:tcBorders>
                    <w:tl2br w:val="nil"/>
                    <w:tr2bl w:val="nil"/>
                  </w:tcBorders>
                  <w:noWrap w:val="0"/>
                  <w:vAlign w:val="center"/>
                </w:tcPr>
                <w:p w14:paraId="640C14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≤0.</w:t>
                  </w:r>
                  <w:r>
                    <w:rPr>
                      <w:rFonts w:hint="default" w:ascii="Times New Roman" w:hAnsi="Times New Roman" w:eastAsia="宋体" w:cs="Times New Roman"/>
                      <w:caps w:val="0"/>
                      <w:smallCaps w:val="0"/>
                      <w:color w:val="auto"/>
                      <w:sz w:val="21"/>
                      <w:szCs w:val="21"/>
                      <w:lang w:val="en-US" w:eastAsia="zh-CN"/>
                    </w:rPr>
                    <w:t>0</w:t>
                  </w:r>
                  <w:r>
                    <w:rPr>
                      <w:rFonts w:hint="default" w:ascii="Times New Roman" w:hAnsi="Times New Roman" w:eastAsia="宋体" w:cs="Times New Roman"/>
                      <w:caps w:val="0"/>
                      <w:smallCaps w:val="0"/>
                      <w:color w:val="auto"/>
                      <w:sz w:val="21"/>
                      <w:szCs w:val="21"/>
                    </w:rPr>
                    <w:t>5mg/L</w:t>
                  </w:r>
                </w:p>
              </w:tc>
              <w:tc>
                <w:tcPr>
                  <w:tcW w:w="1947" w:type="dxa"/>
                  <w:vMerge w:val="continue"/>
                  <w:tcBorders>
                    <w:tl2br w:val="nil"/>
                    <w:tr2bl w:val="nil"/>
                  </w:tcBorders>
                  <w:noWrap w:val="0"/>
                  <w:vAlign w:val="center"/>
                </w:tcPr>
                <w:p w14:paraId="63C0C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1BACC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2F3E6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NH</w:t>
                  </w:r>
                  <w:r>
                    <w:rPr>
                      <w:rFonts w:hint="default" w:ascii="Times New Roman" w:hAnsi="Times New Roman" w:eastAsia="宋体" w:cs="Times New Roman"/>
                      <w:caps w:val="0"/>
                      <w:smallCaps w:val="0"/>
                      <w:color w:val="auto"/>
                      <w:sz w:val="21"/>
                      <w:szCs w:val="21"/>
                      <w:vertAlign w:val="subscript"/>
                    </w:rPr>
                    <w:t>3</w:t>
                  </w:r>
                  <w:r>
                    <w:rPr>
                      <w:rFonts w:hint="default" w:ascii="Times New Roman" w:hAnsi="Times New Roman" w:eastAsia="宋体" w:cs="Times New Roman"/>
                      <w:caps w:val="0"/>
                      <w:smallCaps w:val="0"/>
                      <w:color w:val="auto"/>
                      <w:sz w:val="21"/>
                      <w:szCs w:val="21"/>
                    </w:rPr>
                    <w:t>-N</w:t>
                  </w:r>
                </w:p>
              </w:tc>
              <w:tc>
                <w:tcPr>
                  <w:tcW w:w="2635" w:type="dxa"/>
                  <w:tcBorders>
                    <w:tl2br w:val="nil"/>
                    <w:tr2bl w:val="nil"/>
                  </w:tcBorders>
                  <w:noWrap w:val="0"/>
                  <w:vAlign w:val="center"/>
                </w:tcPr>
                <w:p w14:paraId="55514F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w:t>
                  </w:r>
                  <w:r>
                    <w:rPr>
                      <w:rFonts w:hint="default" w:ascii="Times New Roman" w:hAnsi="Times New Roman" w:eastAsia="宋体" w:cs="Times New Roman"/>
                      <w:caps w:val="0"/>
                      <w:smallCaps w:val="0"/>
                      <w:color w:val="auto"/>
                      <w:sz w:val="21"/>
                      <w:szCs w:val="21"/>
                      <w:lang w:val="en-US" w:eastAsia="zh-CN"/>
                    </w:rPr>
                    <w:t>0</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6255B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0B807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12ABA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TP</w:t>
                  </w:r>
                </w:p>
              </w:tc>
              <w:tc>
                <w:tcPr>
                  <w:tcW w:w="2635" w:type="dxa"/>
                  <w:tcBorders>
                    <w:tl2br w:val="nil"/>
                    <w:tr2bl w:val="nil"/>
                  </w:tcBorders>
                  <w:noWrap w:val="0"/>
                  <w:vAlign w:val="center"/>
                </w:tcPr>
                <w:p w14:paraId="19E63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≤0.</w:t>
                  </w:r>
                  <w:r>
                    <w:rPr>
                      <w:rFonts w:hint="default" w:ascii="Times New Roman" w:hAnsi="Times New Roman" w:eastAsia="宋体" w:cs="Times New Roman"/>
                      <w:caps w:val="0"/>
                      <w:smallCaps w:val="0"/>
                      <w:color w:val="auto"/>
                      <w:sz w:val="21"/>
                      <w:szCs w:val="21"/>
                      <w:lang w:val="en-US" w:eastAsia="zh-CN"/>
                    </w:rPr>
                    <w:t>2</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1E2A3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239C4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77ED1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粪大肠菌群</w:t>
                  </w:r>
                </w:p>
              </w:tc>
              <w:tc>
                <w:tcPr>
                  <w:tcW w:w="2635" w:type="dxa"/>
                  <w:tcBorders>
                    <w:tl2br w:val="nil"/>
                    <w:tr2bl w:val="nil"/>
                  </w:tcBorders>
                  <w:noWrap w:val="0"/>
                  <w:vAlign w:val="center"/>
                </w:tcPr>
                <w:p w14:paraId="0938A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1</w:t>
                  </w:r>
                  <w:r>
                    <w:rPr>
                      <w:rFonts w:hint="default" w:ascii="Times New Roman" w:hAnsi="Times New Roman" w:eastAsia="宋体" w:cs="Times New Roman"/>
                      <w:caps w:val="0"/>
                      <w:smallCaps w:val="0"/>
                      <w:color w:val="auto"/>
                      <w:sz w:val="21"/>
                      <w:szCs w:val="21"/>
                    </w:rPr>
                    <w:t>0000个/L</w:t>
                  </w:r>
                </w:p>
              </w:tc>
              <w:tc>
                <w:tcPr>
                  <w:tcW w:w="1947" w:type="dxa"/>
                  <w:vMerge w:val="continue"/>
                  <w:tcBorders>
                    <w:tl2br w:val="nil"/>
                    <w:tr2bl w:val="nil"/>
                  </w:tcBorders>
                  <w:noWrap w:val="0"/>
                  <w:vAlign w:val="center"/>
                </w:tcPr>
                <w:p w14:paraId="4736A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6358F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35E82A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铜</w:t>
                  </w:r>
                </w:p>
              </w:tc>
              <w:tc>
                <w:tcPr>
                  <w:tcW w:w="2635" w:type="dxa"/>
                  <w:tcBorders>
                    <w:tl2br w:val="nil"/>
                    <w:tr2bl w:val="nil"/>
                  </w:tcBorders>
                  <w:noWrap w:val="0"/>
                  <w:vAlign w:val="center"/>
                </w:tcPr>
                <w:p w14:paraId="44A1E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1.0</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57FBF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70972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1F038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锌</w:t>
                  </w:r>
                </w:p>
              </w:tc>
              <w:tc>
                <w:tcPr>
                  <w:tcW w:w="2635" w:type="dxa"/>
                  <w:tcBorders>
                    <w:tl2br w:val="nil"/>
                    <w:tr2bl w:val="nil"/>
                  </w:tcBorders>
                  <w:noWrap w:val="0"/>
                  <w:vAlign w:val="center"/>
                </w:tcPr>
                <w:p w14:paraId="6B0D6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1.0</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44765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660FC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3F766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氟化物</w:t>
                  </w:r>
                </w:p>
              </w:tc>
              <w:tc>
                <w:tcPr>
                  <w:tcW w:w="2635" w:type="dxa"/>
                  <w:tcBorders>
                    <w:tl2br w:val="nil"/>
                    <w:tr2bl w:val="nil"/>
                  </w:tcBorders>
                  <w:noWrap w:val="0"/>
                  <w:vAlign w:val="center"/>
                </w:tcPr>
                <w:p w14:paraId="2975BC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1.0</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5083A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6A4F8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0391A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硒</w:t>
                  </w:r>
                </w:p>
              </w:tc>
              <w:tc>
                <w:tcPr>
                  <w:tcW w:w="2635" w:type="dxa"/>
                  <w:tcBorders>
                    <w:tl2br w:val="nil"/>
                    <w:tr2bl w:val="nil"/>
                  </w:tcBorders>
                  <w:noWrap w:val="0"/>
                  <w:vAlign w:val="center"/>
                </w:tcPr>
                <w:p w14:paraId="1C8228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0.01</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0F902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46977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34A3A7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砷</w:t>
                  </w:r>
                </w:p>
              </w:tc>
              <w:tc>
                <w:tcPr>
                  <w:tcW w:w="2635" w:type="dxa"/>
                  <w:tcBorders>
                    <w:tl2br w:val="nil"/>
                    <w:tr2bl w:val="nil"/>
                  </w:tcBorders>
                  <w:noWrap w:val="0"/>
                  <w:vAlign w:val="center"/>
                </w:tcPr>
                <w:p w14:paraId="3AA04A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1B56C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3D0C8A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5BC0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汞</w:t>
                  </w:r>
                </w:p>
              </w:tc>
              <w:tc>
                <w:tcPr>
                  <w:tcW w:w="2635" w:type="dxa"/>
                  <w:tcBorders>
                    <w:tl2br w:val="nil"/>
                    <w:tr2bl w:val="nil"/>
                  </w:tcBorders>
                  <w:noWrap w:val="0"/>
                  <w:vAlign w:val="center"/>
                </w:tcPr>
                <w:p w14:paraId="3677B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01</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35D0E2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3FC0E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79C32D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镉</w:t>
                  </w:r>
                </w:p>
              </w:tc>
              <w:tc>
                <w:tcPr>
                  <w:tcW w:w="2635" w:type="dxa"/>
                  <w:tcBorders>
                    <w:tl2br w:val="nil"/>
                    <w:tr2bl w:val="nil"/>
                  </w:tcBorders>
                  <w:noWrap w:val="0"/>
                  <w:vAlign w:val="center"/>
                </w:tcPr>
                <w:p w14:paraId="6E29B0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0.005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16C560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2B65E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55987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铬（六价）</w:t>
                  </w:r>
                </w:p>
              </w:tc>
              <w:tc>
                <w:tcPr>
                  <w:tcW w:w="2635" w:type="dxa"/>
                  <w:tcBorders>
                    <w:tl2br w:val="nil"/>
                    <w:tr2bl w:val="nil"/>
                  </w:tcBorders>
                  <w:noWrap w:val="0"/>
                  <w:vAlign w:val="center"/>
                </w:tcPr>
                <w:p w14:paraId="166E0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5E176C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5D7B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234F8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阴离子</w:t>
                  </w:r>
                  <w:r>
                    <w:rPr>
                      <w:rFonts w:hint="default" w:ascii="Times New Roman" w:hAnsi="Times New Roman" w:eastAsia="宋体" w:cs="Times New Roman"/>
                      <w:caps w:val="0"/>
                      <w:smallCaps w:val="0"/>
                      <w:color w:val="auto"/>
                      <w:sz w:val="21"/>
                      <w:szCs w:val="21"/>
                      <w:lang w:eastAsia="zh-CN"/>
                    </w:rPr>
                    <w:t>活性剂</w:t>
                  </w:r>
                </w:p>
              </w:tc>
              <w:tc>
                <w:tcPr>
                  <w:tcW w:w="2635" w:type="dxa"/>
                  <w:tcBorders>
                    <w:tl2br w:val="nil"/>
                    <w:tr2bl w:val="nil"/>
                  </w:tcBorders>
                  <w:noWrap w:val="0"/>
                  <w:vAlign w:val="center"/>
                </w:tcPr>
                <w:p w14:paraId="3D17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0.2</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70F684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39C2E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2A216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lang w:val="en-US" w:eastAsia="zh-CN"/>
                    </w:rPr>
                    <w:t>氰化物</w:t>
                  </w:r>
                </w:p>
              </w:tc>
              <w:tc>
                <w:tcPr>
                  <w:tcW w:w="2635" w:type="dxa"/>
                  <w:tcBorders>
                    <w:tl2br w:val="nil"/>
                    <w:tr2bl w:val="nil"/>
                  </w:tcBorders>
                  <w:noWrap w:val="0"/>
                  <w:vAlign w:val="center"/>
                </w:tcPr>
                <w:p w14:paraId="026391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0.2</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611DE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p>
              </w:tc>
            </w:tr>
            <w:tr w14:paraId="1084D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17" w:type="dxa"/>
                  <w:tcBorders>
                    <w:tl2br w:val="nil"/>
                    <w:tr2bl w:val="nil"/>
                  </w:tcBorders>
                  <w:noWrap w:val="0"/>
                  <w:vAlign w:val="center"/>
                </w:tcPr>
                <w:p w14:paraId="744CA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lang w:val="en-US" w:eastAsia="zh-CN"/>
                    </w:rPr>
                    <w:t>高锰酸盐指数</w:t>
                  </w:r>
                </w:p>
              </w:tc>
              <w:tc>
                <w:tcPr>
                  <w:tcW w:w="2635" w:type="dxa"/>
                  <w:tcBorders>
                    <w:tl2br w:val="nil"/>
                    <w:tr2bl w:val="nil"/>
                  </w:tcBorders>
                  <w:noWrap w:val="0"/>
                  <w:vAlign w:val="center"/>
                </w:tcPr>
                <w:p w14:paraId="1C795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6</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00922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p>
              </w:tc>
            </w:tr>
            <w:tr w14:paraId="3C41E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17" w:type="dxa"/>
                  <w:tcBorders>
                    <w:tl2br w:val="nil"/>
                    <w:tr2bl w:val="nil"/>
                  </w:tcBorders>
                  <w:noWrap w:val="0"/>
                  <w:vAlign w:val="center"/>
                </w:tcPr>
                <w:p w14:paraId="2C789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lang w:val="en-US" w:eastAsia="zh-CN"/>
                    </w:rPr>
                    <w:t>挥发酚</w:t>
                  </w:r>
                </w:p>
              </w:tc>
              <w:tc>
                <w:tcPr>
                  <w:tcW w:w="2635" w:type="dxa"/>
                  <w:tcBorders>
                    <w:tl2br w:val="nil"/>
                    <w:tr2bl w:val="nil"/>
                  </w:tcBorders>
                  <w:noWrap w:val="0"/>
                  <w:vAlign w:val="center"/>
                </w:tcPr>
                <w:p w14:paraId="45E12E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0.005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153513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p>
              </w:tc>
            </w:tr>
            <w:tr w14:paraId="67503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117" w:type="dxa"/>
                  <w:tcBorders>
                    <w:tl2br w:val="nil"/>
                    <w:tr2bl w:val="nil"/>
                  </w:tcBorders>
                  <w:noWrap w:val="0"/>
                  <w:vAlign w:val="center"/>
                </w:tcPr>
                <w:p w14:paraId="0E4E11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default" w:ascii="Times New Roman" w:hAnsi="Times New Roman" w:eastAsia="宋体" w:cs="Times New Roman"/>
                      <w:caps w:val="0"/>
                      <w:smallCaps w:val="0"/>
                      <w:color w:val="auto"/>
                      <w:sz w:val="21"/>
                      <w:szCs w:val="21"/>
                      <w:lang w:val="en-US" w:eastAsia="zh-CN"/>
                    </w:rPr>
                    <w:t>铅</w:t>
                  </w:r>
                </w:p>
              </w:tc>
              <w:tc>
                <w:tcPr>
                  <w:tcW w:w="2635" w:type="dxa"/>
                  <w:tcBorders>
                    <w:tl2br w:val="nil"/>
                    <w:tr2bl w:val="nil"/>
                  </w:tcBorders>
                  <w:noWrap w:val="0"/>
                  <w:vAlign w:val="center"/>
                </w:tcPr>
                <w:p w14:paraId="457931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w:t>
                  </w:r>
                  <w:r>
                    <w:rPr>
                      <w:rFonts w:hint="default" w:ascii="Times New Roman" w:hAnsi="Times New Roman" w:eastAsia="宋体" w:cs="Times New Roman"/>
                      <w:caps w:val="0"/>
                      <w:smallCaps w:val="0"/>
                      <w:color w:val="auto"/>
                      <w:sz w:val="21"/>
                      <w:szCs w:val="21"/>
                      <w:lang w:val="en-US" w:eastAsia="zh-CN"/>
                    </w:rPr>
                    <w:t>0.05</w:t>
                  </w:r>
                  <w:r>
                    <w:rPr>
                      <w:rFonts w:hint="default" w:ascii="Times New Roman" w:hAnsi="Times New Roman" w:eastAsia="宋体" w:cs="Times New Roman"/>
                      <w:caps w:val="0"/>
                      <w:smallCaps w:val="0"/>
                      <w:color w:val="auto"/>
                      <w:sz w:val="21"/>
                      <w:szCs w:val="21"/>
                    </w:rPr>
                    <w:t>mg/L</w:t>
                  </w:r>
                </w:p>
              </w:tc>
              <w:tc>
                <w:tcPr>
                  <w:tcW w:w="1947" w:type="dxa"/>
                  <w:vMerge w:val="continue"/>
                  <w:tcBorders>
                    <w:tl2br w:val="nil"/>
                    <w:tr2bl w:val="nil"/>
                  </w:tcBorders>
                  <w:noWrap w:val="0"/>
                  <w:vAlign w:val="center"/>
                </w:tcPr>
                <w:p w14:paraId="6C99D3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p>
              </w:tc>
            </w:tr>
          </w:tbl>
          <w:p w14:paraId="24AFF145">
            <w:pPr>
              <w:pStyle w:val="37"/>
              <w:bidi w:val="0"/>
              <w:rPr>
                <w:rFonts w:hint="default"/>
                <w:b/>
                <w:bCs/>
                <w:color w:val="auto"/>
              </w:rPr>
            </w:pPr>
            <w:r>
              <w:rPr>
                <w:rFonts w:hint="eastAsia"/>
                <w:b/>
                <w:bCs/>
                <w:color w:val="auto"/>
                <w:lang w:val="en-US" w:eastAsia="zh-CN"/>
              </w:rPr>
              <w:t>二、</w:t>
            </w:r>
            <w:r>
              <w:rPr>
                <w:rFonts w:hint="default"/>
                <w:b/>
                <w:bCs/>
                <w:color w:val="auto"/>
              </w:rPr>
              <w:t>污染物排放标准</w:t>
            </w:r>
          </w:p>
          <w:p w14:paraId="2AF8B30B">
            <w:pPr>
              <w:pStyle w:val="37"/>
              <w:bidi w:val="0"/>
              <w:rPr>
                <w:rFonts w:hint="default"/>
                <w:b/>
                <w:bCs/>
                <w:color w:val="auto"/>
              </w:rPr>
            </w:pPr>
            <w:r>
              <w:rPr>
                <w:rFonts w:hint="eastAsia"/>
                <w:b/>
                <w:bCs/>
                <w:color w:val="auto"/>
                <w:lang w:val="en-US" w:eastAsia="zh-CN"/>
              </w:rPr>
              <w:t>1、</w:t>
            </w:r>
            <w:r>
              <w:rPr>
                <w:rFonts w:hint="default"/>
                <w:b/>
                <w:bCs/>
                <w:color w:val="auto"/>
              </w:rPr>
              <w:t>大气污染物排放标准</w:t>
            </w:r>
          </w:p>
          <w:p w14:paraId="011C6CFA">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施工期</w:t>
            </w:r>
            <w:r>
              <w:rPr>
                <w:rFonts w:hint="default" w:ascii="Times New Roman" w:hAnsi="Times New Roman" w:cs="Times New Roman"/>
                <w:color w:val="auto"/>
                <w:sz w:val="24"/>
                <w:szCs w:val="24"/>
              </w:rPr>
              <w:t>产生的无组织粉尘排放执行GB16297－1996《大气污染物综合排放标准》表2中无组织排放监控浓度限值，</w:t>
            </w:r>
            <w:r>
              <w:rPr>
                <w:rFonts w:hint="default" w:ascii="Times New Roman" w:hAnsi="Times New Roman" w:cs="Times New Roman"/>
                <w:snapToGrid w:val="0"/>
                <w:color w:val="auto"/>
                <w:kern w:val="0"/>
                <w:sz w:val="24"/>
              </w:rPr>
              <w:t>具体见表</w:t>
            </w:r>
            <w:r>
              <w:rPr>
                <w:rFonts w:hint="eastAsia" w:ascii="Times New Roman" w:hAnsi="Times New Roman" w:cs="Times New Roman"/>
                <w:color w:val="auto"/>
                <w:sz w:val="24"/>
                <w:szCs w:val="24"/>
                <w:lang w:val="en-US" w:eastAsia="zh-CN"/>
              </w:rPr>
              <w:t>3-12。</w:t>
            </w:r>
          </w:p>
          <w:p w14:paraId="34241E25">
            <w:pPr>
              <w:spacing w:line="240" w:lineRule="auto"/>
              <w:jc w:val="center"/>
              <w:rPr>
                <w:rFonts w:hint="default" w:ascii="Times New Roman" w:hAnsi="Times New Roman" w:cs="Times New Roman"/>
                <w:b/>
                <w:bCs/>
                <w:color w:val="auto"/>
                <w:sz w:val="21"/>
                <w:szCs w:val="21"/>
                <w:lang w:val="en-US" w:eastAsia="zh-CN"/>
              </w:rPr>
            </w:pPr>
            <w:bookmarkStart w:id="33" w:name="_Toc203272495"/>
            <w:bookmarkStart w:id="34" w:name="_Toc203274961"/>
            <w:bookmarkStart w:id="35" w:name="_Toc203273730"/>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3-12</w:t>
            </w:r>
            <w:r>
              <w:rPr>
                <w:rFonts w:hint="default" w:ascii="Times New Roman" w:hAnsi="Times New Roman" w:cs="Times New Roman"/>
                <w:b/>
                <w:bCs/>
                <w:color w:val="auto"/>
                <w:sz w:val="21"/>
                <w:szCs w:val="21"/>
                <w:lang w:val="en-US" w:eastAsia="zh-CN"/>
              </w:rPr>
              <w:t>大气污染物综合排放标准</w:t>
            </w:r>
            <w:bookmarkEnd w:id="33"/>
            <w:bookmarkEnd w:id="34"/>
            <w:bookmarkEnd w:id="35"/>
          </w:p>
          <w:tbl>
            <w:tblPr>
              <w:tblStyle w:val="23"/>
              <w:tblW w:w="7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3"/>
              <w:gridCol w:w="2407"/>
              <w:gridCol w:w="2687"/>
            </w:tblGrid>
            <w:tr w14:paraId="372B2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restart"/>
                  <w:vAlign w:val="center"/>
                </w:tcPr>
                <w:p w14:paraId="4915A6A0">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094" w:type="dxa"/>
                  <w:gridSpan w:val="2"/>
                  <w:vAlign w:val="center"/>
                </w:tcPr>
                <w:p w14:paraId="56FB70AB">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2D7071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continue"/>
                  <w:vAlign w:val="center"/>
                </w:tcPr>
                <w:p w14:paraId="4A83809B">
                  <w:pPr>
                    <w:widowControl/>
                    <w:spacing w:line="240" w:lineRule="auto"/>
                    <w:jc w:val="left"/>
                    <w:rPr>
                      <w:rFonts w:hint="default" w:ascii="Times New Roman" w:hAnsi="Times New Roman" w:cs="Times New Roman"/>
                      <w:b/>
                      <w:bCs/>
                      <w:color w:val="auto"/>
                      <w:sz w:val="21"/>
                      <w:szCs w:val="21"/>
                    </w:rPr>
                  </w:pPr>
                </w:p>
              </w:tc>
              <w:tc>
                <w:tcPr>
                  <w:tcW w:w="2407" w:type="dxa"/>
                  <w:vAlign w:val="center"/>
                </w:tcPr>
                <w:p w14:paraId="435DDCF8">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687" w:type="dxa"/>
                  <w:vAlign w:val="center"/>
                </w:tcPr>
                <w:p w14:paraId="6872AE52">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14:paraId="718A3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Align w:val="center"/>
                </w:tcPr>
                <w:p w14:paraId="1BB5BD9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407" w:type="dxa"/>
                  <w:vAlign w:val="center"/>
                </w:tcPr>
                <w:p w14:paraId="73F7B1BA">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687" w:type="dxa"/>
                  <w:vAlign w:val="center"/>
                </w:tcPr>
                <w:p w14:paraId="40842509">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14:paraId="44AE2644">
            <w:pPr>
              <w:pStyle w:val="37"/>
              <w:bidi w:val="0"/>
              <w:rPr>
                <w:rFonts w:hint="default"/>
                <w:b/>
                <w:bCs/>
                <w:color w:val="auto"/>
              </w:rPr>
            </w:pPr>
            <w:r>
              <w:rPr>
                <w:rFonts w:hint="eastAsia"/>
                <w:b/>
                <w:bCs/>
                <w:color w:val="auto"/>
                <w:lang w:val="en-US" w:eastAsia="zh-CN"/>
              </w:rPr>
              <w:t>2、</w:t>
            </w:r>
            <w:r>
              <w:rPr>
                <w:rFonts w:hint="default"/>
                <w:b/>
                <w:bCs/>
                <w:color w:val="auto"/>
              </w:rPr>
              <w:t>噪声排放标准</w:t>
            </w:r>
          </w:p>
          <w:p w14:paraId="0C79AE83">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项目施工期噪声执行《建筑施工场界环境噪声排放标准》（GB 12523-2011）见表3-</w:t>
            </w:r>
            <w:r>
              <w:rPr>
                <w:rFonts w:hint="eastAsia" w:ascii="Times New Roman" w:hAnsi="Times New Roman" w:cs="Times New Roman"/>
                <w:color w:val="auto"/>
                <w:kern w:val="0"/>
                <w:sz w:val="24"/>
                <w:lang w:val="en-US" w:eastAsia="zh-CN"/>
              </w:rPr>
              <w:t>13</w:t>
            </w:r>
            <w:r>
              <w:rPr>
                <w:rFonts w:hint="default" w:ascii="Times New Roman" w:hAnsi="Times New Roman" w:cs="Times New Roman"/>
                <w:color w:val="auto"/>
                <w:kern w:val="0"/>
                <w:sz w:val="24"/>
              </w:rPr>
              <w:t>。</w:t>
            </w:r>
          </w:p>
          <w:p w14:paraId="499EACD1">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建筑施工噪声执行标准限值 单位：dB（A）</w:t>
            </w:r>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25"/>
              <w:gridCol w:w="2562"/>
              <w:gridCol w:w="2787"/>
            </w:tblGrid>
            <w:tr w14:paraId="61BBE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 w:hRule="atLeast"/>
                <w:jc w:val="center"/>
              </w:trPr>
              <w:tc>
                <w:tcPr>
                  <w:tcW w:w="1559" w:type="pct"/>
                  <w:vAlign w:val="center"/>
                </w:tcPr>
                <w:p w14:paraId="5FD805A7">
                  <w:pPr>
                    <w:adjustRightInd w:val="0"/>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1647" w:type="pct"/>
                  <w:vAlign w:val="center"/>
                </w:tcPr>
                <w:p w14:paraId="2E26ED1C">
                  <w:pPr>
                    <w:adjustRightInd w:val="0"/>
                    <w:snapToGrid w:val="0"/>
                    <w:spacing w:line="24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1792" w:type="pct"/>
                  <w:vAlign w:val="center"/>
                </w:tcPr>
                <w:p w14:paraId="1A1561EE">
                  <w:pPr>
                    <w:adjustRightInd w:val="0"/>
                    <w:snapToGrid w:val="0"/>
                    <w:spacing w:line="24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04F86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1559" w:type="pct"/>
                  <w:vAlign w:val="center"/>
                </w:tcPr>
                <w:p w14:paraId="1B3205B2">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单位dB(A)</w:t>
                  </w:r>
                </w:p>
              </w:tc>
              <w:tc>
                <w:tcPr>
                  <w:tcW w:w="1647" w:type="pct"/>
                  <w:vAlign w:val="center"/>
                </w:tcPr>
                <w:p w14:paraId="65C1ACEE">
                  <w:pPr>
                    <w:adjustRightInd w:val="0"/>
                    <w:snapToGrid w:val="0"/>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792" w:type="pct"/>
                  <w:vAlign w:val="center"/>
                </w:tcPr>
                <w:p w14:paraId="024345D8">
                  <w:pPr>
                    <w:adjustRightInd w:val="0"/>
                    <w:snapToGrid w:val="0"/>
                    <w:spacing w:line="240" w:lineRule="auto"/>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7A944D82">
            <w:pPr>
              <w:pStyle w:val="37"/>
              <w:bidi w:val="0"/>
              <w:rPr>
                <w:rFonts w:hint="default"/>
                <w:b/>
                <w:bCs/>
                <w:color w:val="auto"/>
              </w:rPr>
            </w:pPr>
            <w:r>
              <w:rPr>
                <w:rFonts w:hint="eastAsia"/>
                <w:b/>
                <w:bCs/>
                <w:color w:val="auto"/>
                <w:lang w:val="en-US" w:eastAsia="zh-CN"/>
              </w:rPr>
              <w:t>3、</w:t>
            </w:r>
            <w:r>
              <w:rPr>
                <w:rFonts w:hint="default"/>
                <w:b/>
                <w:bCs/>
                <w:color w:val="auto"/>
              </w:rPr>
              <w:t>废水排放标准</w:t>
            </w:r>
          </w:p>
          <w:p w14:paraId="25F98959">
            <w:pPr>
              <w:pStyle w:val="11"/>
              <w:adjustRightInd w:val="0"/>
              <w:snapToGri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本项目施工期施工人员不在项目区内食宿，</w:t>
            </w:r>
            <w:r>
              <w:rPr>
                <w:rFonts w:hint="default" w:ascii="Times New Roman" w:hAnsi="Times New Roman" w:cs="Times New Roman"/>
                <w:color w:val="auto"/>
                <w:kern w:val="0"/>
                <w:sz w:val="24"/>
              </w:rPr>
              <w:t>项目施工期</w:t>
            </w:r>
            <w:r>
              <w:rPr>
                <w:rFonts w:hint="eastAsia" w:cs="Times New Roman"/>
                <w:color w:val="auto"/>
                <w:kern w:val="0"/>
                <w:sz w:val="24"/>
                <w:lang w:eastAsia="zh-CN"/>
              </w:rPr>
              <w:t>生活污水</w:t>
            </w:r>
            <w:r>
              <w:rPr>
                <w:rFonts w:hint="default" w:ascii="Times New Roman" w:hAnsi="Times New Roman" w:cs="Times New Roman"/>
                <w:color w:val="auto"/>
                <w:kern w:val="0"/>
                <w:sz w:val="24"/>
              </w:rPr>
              <w:t>产生量较小</w:t>
            </w:r>
            <w:r>
              <w:rPr>
                <w:rFonts w:hint="default" w:ascii="Times New Roman" w:hAnsi="Times New Roman" w:cs="Times New Roman"/>
                <w:color w:val="auto"/>
              </w:rPr>
              <w:t>，</w:t>
            </w:r>
            <w:r>
              <w:rPr>
                <w:rFonts w:hint="eastAsia" w:cs="Times New Roman"/>
                <w:color w:val="auto"/>
                <w:lang w:eastAsia="zh-CN"/>
              </w:rPr>
              <w:t>生活污水</w:t>
            </w:r>
            <w:r>
              <w:rPr>
                <w:rFonts w:hint="default" w:ascii="Times New Roman" w:hAnsi="Times New Roman" w:cs="Times New Roman"/>
                <w:color w:val="auto"/>
                <w:sz w:val="24"/>
              </w:rPr>
              <w:t>依托周边居民点卫生间，对环境影响较小。</w:t>
            </w:r>
          </w:p>
          <w:p w14:paraId="0297381D">
            <w:pPr>
              <w:tabs>
                <w:tab w:val="left" w:pos="5142"/>
              </w:tabs>
              <w:snapToGrid w:val="0"/>
              <w:spacing w:line="360" w:lineRule="auto"/>
              <w:ind w:firstLine="470" w:firstLineChars="196"/>
              <w:rPr>
                <w:rFonts w:hint="default"/>
                <w:color w:val="auto"/>
              </w:rPr>
            </w:pPr>
            <w:r>
              <w:rPr>
                <w:rFonts w:hint="default" w:ascii="Times New Roman" w:hAnsi="Times New Roman" w:cs="Times New Roman"/>
                <w:color w:val="auto"/>
                <w:sz w:val="24"/>
              </w:rPr>
              <w:t>项目运营过程中无废水产生，施工废水经沉淀处理后回用，不外排；本项目不设废水排放标准。</w:t>
            </w:r>
          </w:p>
          <w:p w14:paraId="24835746">
            <w:pPr>
              <w:pStyle w:val="37"/>
              <w:bidi w:val="0"/>
              <w:rPr>
                <w:rFonts w:hint="default"/>
                <w:b/>
                <w:bCs/>
                <w:color w:val="auto"/>
              </w:rPr>
            </w:pPr>
            <w:r>
              <w:rPr>
                <w:rFonts w:hint="eastAsia"/>
                <w:b/>
                <w:bCs/>
                <w:color w:val="auto"/>
                <w:lang w:val="en-US" w:eastAsia="zh-CN"/>
              </w:rPr>
              <w:t>4、</w:t>
            </w:r>
            <w:r>
              <w:rPr>
                <w:rFonts w:hint="default"/>
                <w:b/>
                <w:bCs/>
                <w:color w:val="auto"/>
              </w:rPr>
              <w:t>固体废物</w:t>
            </w:r>
          </w:p>
          <w:p w14:paraId="19C120B9">
            <w:pPr>
              <w:spacing w:line="360" w:lineRule="auto"/>
              <w:rPr>
                <w:rFonts w:hint="eastAsia" w:ascii="Times New Roman" w:hAnsi="Times New Roman" w:eastAsia="宋体" w:cs="Times New Roman"/>
                <w:color w:val="auto"/>
                <w:sz w:val="24"/>
                <w:szCs w:val="24"/>
                <w:lang w:val="en-US" w:eastAsia="zh-CN"/>
              </w:rPr>
            </w:pPr>
            <w:r>
              <w:rPr>
                <w:color w:val="auto"/>
              </w:rPr>
              <w:t>项目施工期间产生的生活垃圾、表土、废渣等一般工业固体执行《一般工业固体废物贮存和填埋污染物控制标准》（GB18599-2020）</w:t>
            </w:r>
            <w:r>
              <w:rPr>
                <w:rFonts w:hint="eastAsia"/>
                <w:color w:val="auto"/>
                <w:lang w:val="en-US" w:eastAsia="zh-CN"/>
              </w:rPr>
              <w:t>，</w:t>
            </w:r>
            <w:r>
              <w:rPr>
                <w:rFonts w:hint="default" w:ascii="Times New Roman" w:hAnsi="Times New Roman" w:eastAsia="宋体" w:cs="Times New Roman"/>
                <w:color w:val="auto"/>
                <w:lang w:val="en-US" w:eastAsia="zh-CN"/>
              </w:rPr>
              <w:t>施工机械不在施工场地维修，车辆维修，施工机械设备开往附近修理厂维修，维修过程产生的废矿物油处置责任由修理厂承担，施工场地不涉及废矿物油的产生及储存</w:t>
            </w:r>
            <w:r>
              <w:rPr>
                <w:rFonts w:hint="eastAsia" w:ascii="Times New Roman" w:hAnsi="Times New Roman" w:eastAsia="宋体" w:cs="Times New Roman"/>
                <w:color w:val="auto"/>
                <w:lang w:val="en-US" w:eastAsia="zh-CN"/>
              </w:rPr>
              <w:t>,项目不设</w:t>
            </w:r>
            <w:r>
              <w:rPr>
                <w:rFonts w:hint="default" w:ascii="Times New Roman" w:hAnsi="Times New Roman" w:cs="Times New Roman"/>
                <w:bCs/>
                <w:color w:val="auto"/>
                <w:sz w:val="24"/>
              </w:rPr>
              <w:t>危险废物执行《危险废物贮存污染控制标准》（GB18597-20</w:t>
            </w:r>
            <w:r>
              <w:rPr>
                <w:rFonts w:hint="default" w:ascii="Times New Roman" w:hAnsi="Times New Roman" w:cs="Times New Roman"/>
                <w:bCs/>
                <w:color w:val="auto"/>
                <w:sz w:val="24"/>
                <w:lang w:val="en-US" w:eastAsia="zh-CN"/>
              </w:rPr>
              <w:t>23</w:t>
            </w:r>
            <w:r>
              <w:rPr>
                <w:rFonts w:hint="default" w:ascii="Times New Roman" w:hAnsi="Times New Roman" w:cs="Times New Roman"/>
                <w:bCs/>
                <w:color w:val="auto"/>
                <w:sz w:val="24"/>
              </w:rPr>
              <w:t>）</w:t>
            </w:r>
            <w:r>
              <w:rPr>
                <w:rFonts w:hint="eastAsia" w:ascii="Times New Roman" w:hAnsi="Times New Roman" w:cs="Times New Roman"/>
                <w:bCs/>
                <w:color w:val="auto"/>
                <w:sz w:val="24"/>
                <w:lang w:eastAsia="zh-CN"/>
              </w:rPr>
              <w:t>。</w:t>
            </w:r>
          </w:p>
        </w:tc>
      </w:tr>
      <w:tr w14:paraId="06A40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6" w:hRule="atLeast"/>
          <w:jc w:val="center"/>
        </w:trPr>
        <w:tc>
          <w:tcPr>
            <w:tcW w:w="352" w:type="pct"/>
            <w:vAlign w:val="center"/>
          </w:tcPr>
          <w:p w14:paraId="45942C28">
            <w:pPr>
              <w:adjustRightInd w:val="0"/>
              <w:snapToGrid w:val="0"/>
              <w:spacing w:line="360" w:lineRule="auto"/>
              <w:ind w:left="0" w:leftChars="0"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w:t>
            </w:r>
          </w:p>
        </w:tc>
        <w:tc>
          <w:tcPr>
            <w:tcW w:w="4647" w:type="pct"/>
            <w:vAlign w:val="center"/>
          </w:tcPr>
          <w:p w14:paraId="1066331C">
            <w:pPr>
              <w:keepNext w:val="0"/>
              <w:keepLines w:val="0"/>
              <w:pageBreakBefore w:val="0"/>
              <w:widowControl w:val="0"/>
              <w:kinsoku/>
              <w:wordWrap/>
              <w:overflowPunct/>
              <w:topLinePunct w:val="0"/>
              <w:autoSpaceDE/>
              <w:autoSpaceDN/>
              <w:bidi w:val="0"/>
              <w:adjustRightInd/>
              <w:snapToGrid w:val="0"/>
              <w:spacing w:line="360" w:lineRule="auto"/>
              <w:ind w:right="0" w:rightChars="0"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根据</w:t>
            </w:r>
            <w:r>
              <w:rPr>
                <w:rFonts w:hint="default" w:ascii="Times New Roman" w:hAnsi="Times New Roman" w:cs="Times New Roman"/>
                <w:snapToGrid w:val="0"/>
                <w:color w:val="auto"/>
                <w:kern w:val="0"/>
                <w:sz w:val="24"/>
                <w:lang w:val="en"/>
              </w:rPr>
              <w:t>《“十四五”节能减排综合工作方案》，污染物总量控制指标为：化学需氧量、氨氮、氮氧化物及挥发性有机物。</w:t>
            </w:r>
          </w:p>
          <w:p w14:paraId="5F54EFEB">
            <w:pPr>
              <w:pStyle w:val="45"/>
              <w:bidi w:val="0"/>
              <w:ind w:left="0" w:leftChars="0" w:firstLine="480" w:firstLineChars="200"/>
              <w:rPr>
                <w:rFonts w:hint="default"/>
                <w:color w:val="auto"/>
              </w:rPr>
            </w:pPr>
            <w:r>
              <w:rPr>
                <w:rFonts w:hint="default" w:ascii="Times New Roman" w:hAnsi="Times New Roman" w:eastAsia="宋体" w:cs="Times New Roman"/>
                <w:snapToGrid w:val="0"/>
                <w:color w:val="auto"/>
                <w:kern w:val="0"/>
                <w:sz w:val="24"/>
              </w:rPr>
              <w:t>本项目运行期间无废气、废水的产生，不涉及SO</w:t>
            </w:r>
            <w:r>
              <w:rPr>
                <w:rFonts w:hint="default" w:ascii="Times New Roman" w:hAnsi="Times New Roman" w:eastAsia="宋体" w:cs="Times New Roman"/>
                <w:snapToGrid w:val="0"/>
                <w:color w:val="auto"/>
                <w:kern w:val="0"/>
                <w:sz w:val="24"/>
                <w:vertAlign w:val="subscript"/>
              </w:rPr>
              <w:t>2</w:t>
            </w:r>
            <w:r>
              <w:rPr>
                <w:rFonts w:hint="default" w:ascii="Times New Roman" w:hAnsi="Times New Roman" w:eastAsia="宋体" w:cs="Times New Roman"/>
                <w:snapToGrid w:val="0"/>
                <w:color w:val="auto"/>
                <w:kern w:val="0"/>
                <w:sz w:val="24"/>
              </w:rPr>
              <w:t>、NOx、COD、NH</w:t>
            </w:r>
            <w:r>
              <w:rPr>
                <w:rFonts w:hint="default" w:ascii="Times New Roman" w:hAnsi="Times New Roman" w:eastAsia="宋体" w:cs="Times New Roman"/>
                <w:snapToGrid w:val="0"/>
                <w:color w:val="auto"/>
                <w:kern w:val="0"/>
                <w:sz w:val="24"/>
                <w:vertAlign w:val="subscript"/>
              </w:rPr>
              <w:t>3</w:t>
            </w:r>
            <w:r>
              <w:rPr>
                <w:rFonts w:hint="default" w:ascii="Times New Roman" w:hAnsi="Times New Roman" w:eastAsia="宋体" w:cs="Times New Roman"/>
                <w:snapToGrid w:val="0"/>
                <w:color w:val="auto"/>
                <w:kern w:val="0"/>
                <w:sz w:val="24"/>
              </w:rPr>
              <w:t>-N等，因此，本项目不设总量控制指标。</w:t>
            </w:r>
          </w:p>
        </w:tc>
      </w:tr>
    </w:tbl>
    <w:p w14:paraId="7A4CED3C">
      <w:pPr>
        <w:pStyle w:val="13"/>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D6F8D8">
      <w:pPr>
        <w:pStyle w:val="4"/>
        <w:keepNext w:val="0"/>
        <w:keepLines w:val="0"/>
        <w:pageBreakBefore/>
        <w:widowControl w:val="0"/>
        <w:kinsoku/>
        <w:wordWrap/>
        <w:overflowPunct/>
        <w:topLinePunct w:val="0"/>
        <w:autoSpaceDE/>
        <w:autoSpaceDN/>
        <w:bidi w:val="0"/>
        <w:adjustRightInd/>
        <w:snapToGrid w:val="0"/>
        <w:ind w:firstLine="0" w:firstLineChars="0"/>
        <w:textAlignment w:val="auto"/>
        <w:rPr>
          <w:rFonts w:hint="default"/>
          <w:color w:val="auto"/>
        </w:rPr>
      </w:pPr>
      <w:bookmarkStart w:id="36" w:name="_Toc16529"/>
      <w:r>
        <w:rPr>
          <w:rFonts w:hint="default"/>
          <w:color w:val="auto"/>
        </w:rPr>
        <w:t>四、生态环境影响分析</w:t>
      </w:r>
      <w:bookmarkEnd w:id="36"/>
    </w:p>
    <w:tbl>
      <w:tblPr>
        <w:tblStyle w:val="23"/>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258"/>
      </w:tblGrid>
      <w:tr w14:paraId="25F7A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Mar>
              <w:left w:w="28" w:type="dxa"/>
              <w:right w:w="28" w:type="dxa"/>
            </w:tcMar>
            <w:vAlign w:val="center"/>
          </w:tcPr>
          <w:p w14:paraId="7890F857">
            <w:pPr>
              <w:pStyle w:val="20"/>
              <w:adjustRightInd w:val="0"/>
              <w:snapToGrid w:val="0"/>
              <w:spacing w:before="0" w:beforeAutospacing="0" w:after="0" w:afterAutospacing="0"/>
              <w:ind w:left="0" w:leftChars="0" w:firstLine="0" w:firstLineChars="0"/>
              <w:jc w:val="center"/>
              <w:rPr>
                <w:rFonts w:hint="default" w:ascii="Times New Roman" w:hAnsi="Times New Roman" w:cs="Times New Roman"/>
                <w:bCs/>
                <w:color w:val="auto"/>
                <w:kern w:val="2"/>
              </w:rPr>
            </w:pPr>
            <w:bookmarkStart w:id="37" w:name="_Hlk49796138"/>
            <w:r>
              <w:rPr>
                <w:rFonts w:hint="default" w:ascii="Times New Roman" w:hAnsi="Times New Roman" w:cs="Times New Roman"/>
                <w:bCs/>
                <w:color w:val="auto"/>
                <w:spacing w:val="10"/>
                <w:kern w:val="2"/>
              </w:rPr>
              <w:t>施工期生态环境影响分析</w:t>
            </w:r>
            <w:bookmarkEnd w:id="37"/>
          </w:p>
        </w:tc>
        <w:tc>
          <w:tcPr>
            <w:tcW w:w="4755" w:type="pct"/>
          </w:tcPr>
          <w:p w14:paraId="419FAE17">
            <w:pPr>
              <w:pStyle w:val="37"/>
              <w:bidi w:val="0"/>
              <w:rPr>
                <w:b/>
                <w:bCs/>
                <w:color w:val="auto"/>
              </w:rPr>
            </w:pPr>
            <w:r>
              <w:rPr>
                <w:rFonts w:hint="default" w:ascii="Times New Roman" w:hAnsi="Times New Roman" w:eastAsia="宋体" w:cs="Times New Roman"/>
                <w:color w:val="auto"/>
                <w:sz w:val="24"/>
              </w:rPr>
              <w:t>本项目为防洪除涝工程，</w:t>
            </w:r>
            <w:r>
              <w:rPr>
                <w:rFonts w:hint="eastAsia" w:ascii="Times New Roman" w:hAnsi="Times New Roman" w:eastAsia="宋体" w:cs="Times New Roman"/>
                <w:color w:val="auto"/>
                <w:sz w:val="24"/>
                <w:lang w:eastAsia="zh-CN"/>
              </w:rPr>
              <w:t>项目对环境的影响主要集中在项目施工期</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对区域生态的影响及污染影响。施工过程中对区域植被、动物的扰动，工程占地对土地利用的影响以及施工过程中产生的</w:t>
            </w:r>
            <w:r>
              <w:rPr>
                <w:rFonts w:hint="default" w:ascii="Times New Roman" w:hAnsi="Times New Roman" w:eastAsia="宋体" w:cs="Times New Roman"/>
                <w:color w:val="auto"/>
                <w:sz w:val="24"/>
              </w:rPr>
              <w:t>噪声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废水、</w:t>
            </w:r>
            <w:r>
              <w:rPr>
                <w:rFonts w:hint="eastAsia" w:ascii="Times New Roman" w:hAnsi="Times New Roman" w:eastAsia="宋体" w:cs="Times New Roman"/>
                <w:color w:val="auto"/>
                <w:sz w:val="24"/>
                <w:lang w:eastAsia="zh-CN"/>
              </w:rPr>
              <w:t>固废</w:t>
            </w:r>
            <w:r>
              <w:rPr>
                <w:rFonts w:hint="default" w:ascii="Times New Roman" w:hAnsi="Times New Roman" w:eastAsia="宋体" w:cs="Times New Roman"/>
                <w:color w:val="auto"/>
                <w:sz w:val="24"/>
              </w:rPr>
              <w:t>等。具体影响分析如下</w:t>
            </w:r>
          </w:p>
          <w:p w14:paraId="05388ED6">
            <w:pPr>
              <w:pStyle w:val="37"/>
              <w:bidi w:val="0"/>
              <w:rPr>
                <w:b/>
                <w:bCs/>
                <w:color w:val="auto"/>
              </w:rPr>
            </w:pPr>
            <w:r>
              <w:rPr>
                <w:b/>
                <w:bCs/>
                <w:color w:val="auto"/>
              </w:rPr>
              <w:t>一、生态环境影响分析</w:t>
            </w:r>
          </w:p>
          <w:p w14:paraId="375747AE">
            <w:pPr>
              <w:pStyle w:val="37"/>
              <w:bidi w:val="0"/>
              <w:rPr>
                <w:b/>
                <w:bCs/>
                <w:color w:val="auto"/>
              </w:rPr>
            </w:pPr>
            <w:r>
              <w:rPr>
                <w:b/>
                <w:bCs/>
                <w:color w:val="auto"/>
              </w:rPr>
              <w:t>1、土地利用影响分析</w:t>
            </w:r>
          </w:p>
          <w:p w14:paraId="54D25777">
            <w:pPr>
              <w:pStyle w:val="37"/>
              <w:bidi w:val="0"/>
              <w:rPr>
                <w:rFonts w:hint="default"/>
                <w:color w:val="auto"/>
                <w:lang w:val="en-US"/>
              </w:rPr>
            </w:pPr>
            <w:r>
              <w:rPr>
                <w:rFonts w:hint="eastAsia"/>
                <w:color w:val="auto"/>
                <w:lang w:val="en-US" w:eastAsia="zh-CN"/>
              </w:rPr>
              <w:t>项目不涉及新增永久占地，仅涉及临时占地。临时占地主要是施工工程中临时占用的工程建设施工区、施工临时道路区等，临时占地2.14hm</w:t>
            </w:r>
            <w:r>
              <w:rPr>
                <w:rFonts w:hint="eastAsia"/>
                <w:color w:val="auto"/>
                <w:vertAlign w:val="superscript"/>
                <w:lang w:val="en-US" w:eastAsia="zh-CN"/>
              </w:rPr>
              <w:t>2</w:t>
            </w:r>
            <w:r>
              <w:rPr>
                <w:rFonts w:hint="eastAsia"/>
                <w:color w:val="auto"/>
                <w:lang w:val="en-US" w:eastAsia="zh-CN"/>
              </w:rPr>
              <w:t>（包括水田0.78hm</w:t>
            </w:r>
            <w:r>
              <w:rPr>
                <w:rFonts w:hint="eastAsia"/>
                <w:color w:val="auto"/>
                <w:vertAlign w:val="superscript"/>
                <w:lang w:val="en-US" w:eastAsia="zh-CN"/>
              </w:rPr>
              <w:t>2</w:t>
            </w:r>
            <w:r>
              <w:rPr>
                <w:rFonts w:hint="eastAsia"/>
                <w:color w:val="auto"/>
                <w:lang w:val="en-US" w:eastAsia="zh-CN"/>
              </w:rPr>
              <w:t>，旱地0.94hm</w:t>
            </w:r>
            <w:r>
              <w:rPr>
                <w:rFonts w:hint="eastAsia"/>
                <w:color w:val="auto"/>
                <w:vertAlign w:val="superscript"/>
                <w:lang w:val="en-US" w:eastAsia="zh-CN"/>
              </w:rPr>
              <w:t>2</w:t>
            </w:r>
            <w:r>
              <w:rPr>
                <w:rFonts w:hint="eastAsia"/>
                <w:color w:val="auto"/>
                <w:lang w:val="en-US" w:eastAsia="zh-CN"/>
              </w:rPr>
              <w:t>，园地0.42hm</w:t>
            </w:r>
            <w:r>
              <w:rPr>
                <w:rFonts w:hint="eastAsia"/>
                <w:color w:val="auto"/>
                <w:vertAlign w:val="superscript"/>
                <w:lang w:val="en-US" w:eastAsia="zh-CN"/>
              </w:rPr>
              <w:t>2</w:t>
            </w:r>
            <w:r>
              <w:rPr>
                <w:rFonts w:hint="eastAsia"/>
                <w:color w:val="auto"/>
                <w:lang w:val="en-US" w:eastAsia="zh-CN"/>
              </w:rPr>
              <w:t>）</w:t>
            </w:r>
            <w:r>
              <w:rPr>
                <w:rFonts w:hint="eastAsia"/>
                <w:color w:val="auto"/>
              </w:rPr>
              <w:t>。工程征占地</w:t>
            </w:r>
            <w:r>
              <w:rPr>
                <w:rFonts w:hint="eastAsia"/>
                <w:color w:val="auto"/>
                <w:lang w:eastAsia="zh-CN"/>
              </w:rPr>
              <w:t>类型</w:t>
            </w:r>
            <w:r>
              <w:rPr>
                <w:rFonts w:hint="eastAsia"/>
                <w:color w:val="auto"/>
              </w:rPr>
              <w:t>表</w:t>
            </w:r>
            <w:r>
              <w:rPr>
                <w:rFonts w:hint="eastAsia"/>
                <w:color w:val="auto"/>
                <w:lang w:val="en-US" w:eastAsia="zh-CN"/>
              </w:rPr>
              <w:t>4-1。</w:t>
            </w:r>
          </w:p>
          <w:p w14:paraId="37D1F3D8">
            <w:pPr>
              <w:pStyle w:val="37"/>
              <w:bidi w:val="0"/>
              <w:spacing w:line="240" w:lineRule="auto"/>
              <w:ind w:left="0" w:leftChars="0" w:firstLine="0" w:firstLineChars="0"/>
              <w:jc w:val="center"/>
              <w:rPr>
                <w:rStyle w:val="69"/>
                <w:rFonts w:hint="eastAsia" w:eastAsia="宋体"/>
                <w:b/>
                <w:bCs/>
                <w:sz w:val="21"/>
                <w:szCs w:val="21"/>
                <w:lang w:val="en-US" w:eastAsia="zh-CN"/>
              </w:rPr>
            </w:pPr>
            <w:r>
              <w:rPr>
                <w:rFonts w:hint="eastAsia"/>
                <w:b/>
                <w:bCs/>
                <w:color w:val="auto"/>
                <w:sz w:val="21"/>
                <w:szCs w:val="21"/>
                <w:lang w:val="en-US" w:eastAsia="zh-CN"/>
              </w:rPr>
              <w:t xml:space="preserve">   </w:t>
            </w:r>
            <w:r>
              <w:rPr>
                <w:rFonts w:hint="eastAsia"/>
                <w:b/>
                <w:bCs/>
                <w:color w:val="auto"/>
                <w:sz w:val="21"/>
                <w:szCs w:val="21"/>
              </w:rPr>
              <w:t xml:space="preserve">表 </w:t>
            </w:r>
            <w:r>
              <w:rPr>
                <w:rFonts w:hint="eastAsia"/>
                <w:b/>
                <w:bCs/>
                <w:color w:val="auto"/>
                <w:sz w:val="21"/>
                <w:szCs w:val="21"/>
                <w:lang w:val="en-US" w:eastAsia="zh-CN"/>
              </w:rPr>
              <w:t>4-1</w:t>
            </w:r>
            <w:r>
              <w:rPr>
                <w:rFonts w:hint="eastAsia"/>
                <w:b/>
                <w:bCs/>
                <w:color w:val="auto"/>
                <w:sz w:val="21"/>
                <w:szCs w:val="21"/>
              </w:rPr>
              <w:t>工程占地</w:t>
            </w:r>
            <w:r>
              <w:rPr>
                <w:rFonts w:hint="eastAsia"/>
                <w:b/>
                <w:bCs/>
                <w:color w:val="auto"/>
                <w:sz w:val="21"/>
                <w:szCs w:val="21"/>
                <w:lang w:eastAsia="zh-CN"/>
              </w:rPr>
              <w:t>类型</w:t>
            </w:r>
            <w:r>
              <w:rPr>
                <w:rFonts w:hint="eastAsia"/>
                <w:b/>
                <w:bCs/>
                <w:color w:val="auto"/>
                <w:sz w:val="21"/>
                <w:szCs w:val="21"/>
              </w:rPr>
              <w:t>统计汇总表    单位：hm</w:t>
            </w:r>
            <w:r>
              <w:rPr>
                <w:rFonts w:hint="eastAsia"/>
                <w:b/>
                <w:bCs/>
                <w:color w:val="auto"/>
                <w:sz w:val="21"/>
                <w:szCs w:val="21"/>
                <w:vertAlign w:val="superscript"/>
              </w:rPr>
              <w:t>2</w:t>
            </w:r>
          </w:p>
          <w:tbl>
            <w:tblPr>
              <w:tblStyle w:val="47"/>
              <w:tblW w:w="4990" w:type="pct"/>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41"/>
              <w:gridCol w:w="2978"/>
              <w:gridCol w:w="976"/>
              <w:gridCol w:w="1022"/>
              <w:gridCol w:w="987"/>
              <w:gridCol w:w="1192"/>
            </w:tblGrid>
            <w:tr w14:paraId="33E7F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526" w:type="pct"/>
                  <w:tcBorders>
                    <w:tl2br w:val="nil"/>
                    <w:tr2bl w:val="nil"/>
                  </w:tcBorders>
                  <w:vAlign w:val="center"/>
                </w:tcPr>
                <w:p w14:paraId="4CC8123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序号</w:t>
                  </w:r>
                </w:p>
              </w:tc>
              <w:tc>
                <w:tcPr>
                  <w:tcW w:w="1861" w:type="pct"/>
                  <w:tcBorders>
                    <w:tl2br w:val="nil"/>
                    <w:tr2bl w:val="nil"/>
                  </w:tcBorders>
                  <w:vAlign w:val="center"/>
                </w:tcPr>
                <w:p w14:paraId="6C9095A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5"/>
                      <w:sz w:val="21"/>
                      <w:szCs w:val="21"/>
                    </w:rPr>
                    <w:t>项目区</w:t>
                  </w:r>
                </w:p>
              </w:tc>
              <w:tc>
                <w:tcPr>
                  <w:tcW w:w="610" w:type="pct"/>
                  <w:tcBorders>
                    <w:tl2br w:val="nil"/>
                    <w:tr2bl w:val="nil"/>
                  </w:tcBorders>
                  <w:vAlign w:val="center"/>
                </w:tcPr>
                <w:p w14:paraId="418530E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水田</w:t>
                  </w:r>
                </w:p>
              </w:tc>
              <w:tc>
                <w:tcPr>
                  <w:tcW w:w="639" w:type="pct"/>
                  <w:tcBorders>
                    <w:tl2br w:val="nil"/>
                    <w:tr2bl w:val="nil"/>
                  </w:tcBorders>
                  <w:vAlign w:val="center"/>
                </w:tcPr>
                <w:p w14:paraId="595E9113">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3"/>
                      <w:sz w:val="21"/>
                      <w:szCs w:val="21"/>
                    </w:rPr>
                    <w:t>旱地</w:t>
                  </w:r>
                </w:p>
              </w:tc>
              <w:tc>
                <w:tcPr>
                  <w:tcW w:w="617" w:type="pct"/>
                  <w:tcBorders>
                    <w:tl2br w:val="nil"/>
                    <w:tr2bl w:val="nil"/>
                  </w:tcBorders>
                  <w:vAlign w:val="center"/>
                </w:tcPr>
                <w:p w14:paraId="741A5B6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4"/>
                      <w:sz w:val="21"/>
                      <w:szCs w:val="21"/>
                    </w:rPr>
                    <w:t>园地</w:t>
                  </w:r>
                </w:p>
              </w:tc>
              <w:tc>
                <w:tcPr>
                  <w:tcW w:w="745" w:type="pct"/>
                  <w:tcBorders>
                    <w:tl2br w:val="nil"/>
                    <w:tr2bl w:val="nil"/>
                  </w:tcBorders>
                  <w:vAlign w:val="center"/>
                </w:tcPr>
                <w:p w14:paraId="7E9F652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z w:val="21"/>
                      <w:szCs w:val="21"/>
                      <w:lang w:eastAsia="zh-CN"/>
                    </w:rPr>
                  </w:pPr>
                  <w:r>
                    <w:rPr>
                      <w:rFonts w:hint="eastAsia"/>
                      <w:sz w:val="21"/>
                      <w:szCs w:val="21"/>
                      <w:lang w:eastAsia="zh-CN"/>
                    </w:rPr>
                    <w:t>小计</w:t>
                  </w:r>
                </w:p>
              </w:tc>
            </w:tr>
            <w:tr w14:paraId="4199E0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526" w:type="pct"/>
                  <w:tcBorders>
                    <w:tl2br w:val="nil"/>
                    <w:tr2bl w:val="nil"/>
                  </w:tcBorders>
                  <w:vAlign w:val="center"/>
                </w:tcPr>
                <w:p w14:paraId="1DE27BB1">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position w:val="-4"/>
                      <w:sz w:val="21"/>
                      <w:szCs w:val="21"/>
                    </w:rPr>
                    <w:t>一</w:t>
                  </w:r>
                </w:p>
              </w:tc>
              <w:tc>
                <w:tcPr>
                  <w:tcW w:w="1861" w:type="pct"/>
                  <w:tcBorders>
                    <w:tl2br w:val="nil"/>
                    <w:tr2bl w:val="nil"/>
                  </w:tcBorders>
                  <w:vAlign w:val="center"/>
                </w:tcPr>
                <w:p w14:paraId="68B1D0F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rPr>
                  </w:pPr>
                  <w:r>
                    <w:rPr>
                      <w:spacing w:val="6"/>
                      <w:sz w:val="21"/>
                      <w:szCs w:val="21"/>
                    </w:rPr>
                    <w:t>永久占地</w:t>
                  </w:r>
                </w:p>
              </w:tc>
              <w:tc>
                <w:tcPr>
                  <w:tcW w:w="610" w:type="pct"/>
                  <w:tcBorders>
                    <w:tl2br w:val="nil"/>
                    <w:tr2bl w:val="nil"/>
                  </w:tcBorders>
                  <w:vAlign w:val="center"/>
                </w:tcPr>
                <w:p w14:paraId="4B4AA63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Arial" w:eastAsia="宋体"/>
                      <w:b w:val="0"/>
                      <w:bCs w:val="0"/>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39" w:type="pct"/>
                  <w:tcBorders>
                    <w:tl2br w:val="nil"/>
                    <w:tr2bl w:val="nil"/>
                  </w:tcBorders>
                  <w:vAlign w:val="center"/>
                </w:tcPr>
                <w:p w14:paraId="365A4E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Arial" w:eastAsia="宋体"/>
                      <w:b w:val="0"/>
                      <w:bCs w:val="0"/>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17" w:type="pct"/>
                  <w:tcBorders>
                    <w:tl2br w:val="nil"/>
                    <w:tr2bl w:val="nil"/>
                  </w:tcBorders>
                  <w:vAlign w:val="center"/>
                </w:tcPr>
                <w:p w14:paraId="43A462A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Arial" w:eastAsia="宋体"/>
                      <w:b w:val="0"/>
                      <w:bCs w:val="0"/>
                      <w:sz w:val="21"/>
                      <w:szCs w:val="21"/>
                      <w:lang w:val="en-US" w:eastAsia="zh-CN"/>
                    </w:rPr>
                  </w:pPr>
                  <w:r>
                    <w:rPr>
                      <w:rFonts w:hint="eastAsia" w:ascii="Times New Roman" w:hAnsi="Times New Roman" w:eastAsia="宋体" w:cs="Times New Roman"/>
                      <w:spacing w:val="6"/>
                      <w:sz w:val="21"/>
                      <w:szCs w:val="21"/>
                      <w:lang w:val="en-US" w:eastAsia="zh-CN"/>
                    </w:rPr>
                    <w:t>0</w:t>
                  </w:r>
                </w:p>
              </w:tc>
              <w:tc>
                <w:tcPr>
                  <w:tcW w:w="745" w:type="pct"/>
                  <w:tcBorders>
                    <w:tl2br w:val="nil"/>
                    <w:tr2bl w:val="nil"/>
                  </w:tcBorders>
                  <w:vAlign w:val="center"/>
                </w:tcPr>
                <w:p w14:paraId="4367C1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z w:val="21"/>
                      <w:szCs w:val="21"/>
                      <w:lang w:eastAsia="zh-CN"/>
                    </w:rPr>
                  </w:pPr>
                  <w:r>
                    <w:rPr>
                      <w:rFonts w:hint="eastAsia" w:eastAsia="宋体" w:cs="Times New Roman"/>
                      <w:b w:val="0"/>
                      <w:bCs w:val="0"/>
                      <w:spacing w:val="3"/>
                      <w:sz w:val="21"/>
                      <w:szCs w:val="21"/>
                      <w:lang w:val="en-US" w:eastAsia="zh-CN"/>
                    </w:rPr>
                    <w:t>0</w:t>
                  </w:r>
                </w:p>
              </w:tc>
            </w:tr>
            <w:tr w14:paraId="2E731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449C4C2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0663533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堤防建设区</w:t>
                  </w:r>
                </w:p>
              </w:tc>
              <w:tc>
                <w:tcPr>
                  <w:tcW w:w="610" w:type="pct"/>
                  <w:tcBorders>
                    <w:tl2br w:val="nil"/>
                    <w:tr2bl w:val="nil"/>
                  </w:tcBorders>
                  <w:vAlign w:val="center"/>
                </w:tcPr>
                <w:p w14:paraId="369DFCE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39" w:type="pct"/>
                  <w:tcBorders>
                    <w:tl2br w:val="nil"/>
                    <w:tr2bl w:val="nil"/>
                  </w:tcBorders>
                  <w:vAlign w:val="center"/>
                </w:tcPr>
                <w:p w14:paraId="30477EC4">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617" w:type="pct"/>
                  <w:tcBorders>
                    <w:tl2br w:val="nil"/>
                    <w:tr2bl w:val="nil"/>
                  </w:tcBorders>
                  <w:vAlign w:val="center"/>
                </w:tcPr>
                <w:p w14:paraId="1520927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eastAsia" w:ascii="Times New Roman" w:hAnsi="Times New Roman" w:eastAsia="宋体" w:cs="Times New Roman"/>
                      <w:spacing w:val="6"/>
                      <w:sz w:val="21"/>
                      <w:szCs w:val="21"/>
                      <w:lang w:val="en-US" w:eastAsia="zh-CN"/>
                    </w:rPr>
                    <w:t>0</w:t>
                  </w:r>
                </w:p>
              </w:tc>
              <w:tc>
                <w:tcPr>
                  <w:tcW w:w="745" w:type="pct"/>
                  <w:tcBorders>
                    <w:tl2br w:val="nil"/>
                    <w:tr2bl w:val="nil"/>
                  </w:tcBorders>
                  <w:vAlign w:val="center"/>
                </w:tcPr>
                <w:p w14:paraId="5ABD3AC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eastAsia" w:ascii="Times New Roman" w:hAnsi="Times New Roman" w:eastAsia="宋体" w:cs="Times New Roman"/>
                      <w:spacing w:val="6"/>
                      <w:sz w:val="21"/>
                      <w:szCs w:val="21"/>
                      <w:lang w:val="en-US" w:eastAsia="zh-CN"/>
                    </w:rPr>
                    <w:t>0</w:t>
                  </w:r>
                </w:p>
              </w:tc>
            </w:tr>
            <w:tr w14:paraId="611D0A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62896E7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二</w:t>
                  </w:r>
                </w:p>
              </w:tc>
              <w:tc>
                <w:tcPr>
                  <w:tcW w:w="1861" w:type="pct"/>
                  <w:tcBorders>
                    <w:tl2br w:val="nil"/>
                    <w:tr2bl w:val="nil"/>
                  </w:tcBorders>
                  <w:vAlign w:val="center"/>
                </w:tcPr>
                <w:p w14:paraId="7A628B6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临时占地</w:t>
                  </w:r>
                </w:p>
              </w:tc>
              <w:tc>
                <w:tcPr>
                  <w:tcW w:w="610" w:type="pct"/>
                  <w:tcBorders>
                    <w:tl2br w:val="nil"/>
                    <w:tr2bl w:val="nil"/>
                  </w:tcBorders>
                  <w:vAlign w:val="center"/>
                </w:tcPr>
                <w:p w14:paraId="3A42FFB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1061EEE9">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38046AF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11D9D71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2.14</w:t>
                  </w:r>
                </w:p>
              </w:tc>
            </w:tr>
            <w:tr w14:paraId="3E8681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26" w:type="pct"/>
                  <w:tcBorders>
                    <w:tl2br w:val="nil"/>
                    <w:tr2bl w:val="nil"/>
                  </w:tcBorders>
                  <w:vAlign w:val="center"/>
                </w:tcPr>
                <w:p w14:paraId="68FE472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861" w:type="pct"/>
                  <w:tcBorders>
                    <w:tl2br w:val="nil"/>
                    <w:tr2bl w:val="nil"/>
                  </w:tcBorders>
                  <w:vAlign w:val="center"/>
                </w:tcPr>
                <w:p w14:paraId="6AA312A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工程建设施工区</w:t>
                  </w:r>
                </w:p>
              </w:tc>
              <w:tc>
                <w:tcPr>
                  <w:tcW w:w="610" w:type="pct"/>
                  <w:tcBorders>
                    <w:tl2br w:val="nil"/>
                    <w:tr2bl w:val="nil"/>
                  </w:tcBorders>
                  <w:vAlign w:val="center"/>
                </w:tcPr>
                <w:p w14:paraId="12170F0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39" w:type="pct"/>
                  <w:tcBorders>
                    <w:tl2br w:val="nil"/>
                    <w:tr2bl w:val="nil"/>
                  </w:tcBorders>
                  <w:vAlign w:val="center"/>
                </w:tcPr>
                <w:p w14:paraId="0BBACDB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5F78EA7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2B4515C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r>
            <w:tr w14:paraId="0BE2EF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5A752E2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2</w:t>
                  </w:r>
                </w:p>
              </w:tc>
              <w:tc>
                <w:tcPr>
                  <w:tcW w:w="1861" w:type="pct"/>
                  <w:tcBorders>
                    <w:tl2br w:val="nil"/>
                    <w:tr2bl w:val="nil"/>
                  </w:tcBorders>
                  <w:vAlign w:val="center"/>
                </w:tcPr>
                <w:p w14:paraId="534B927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施工临时道路区</w:t>
                  </w:r>
                </w:p>
              </w:tc>
              <w:tc>
                <w:tcPr>
                  <w:tcW w:w="610" w:type="pct"/>
                  <w:tcBorders>
                    <w:tl2br w:val="nil"/>
                    <w:tr2bl w:val="nil"/>
                  </w:tcBorders>
                  <w:vAlign w:val="center"/>
                </w:tcPr>
                <w:p w14:paraId="4B24B08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4871F5F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44CD78A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5066A23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1.20</w:t>
                  </w:r>
                </w:p>
              </w:tc>
            </w:tr>
            <w:tr w14:paraId="16847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730D6DC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3</w:t>
                  </w:r>
                </w:p>
              </w:tc>
              <w:tc>
                <w:tcPr>
                  <w:tcW w:w="1861" w:type="pct"/>
                  <w:tcBorders>
                    <w:tl2br w:val="nil"/>
                    <w:tr2bl w:val="nil"/>
                  </w:tcBorders>
                  <w:vAlign w:val="center"/>
                </w:tcPr>
                <w:p w14:paraId="27F2F18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1#表土转存场（不计入总占地</w:t>
                  </w:r>
                  <w:r>
                    <w:rPr>
                      <w:rFonts w:hint="eastAsia" w:ascii="Times New Roman" w:hAnsi="Times New Roman" w:cs="Times New Roman"/>
                      <w:spacing w:val="6"/>
                      <w:sz w:val="21"/>
                      <w:szCs w:val="21"/>
                      <w:lang w:val="en-US" w:eastAsia="zh-CN"/>
                    </w:rPr>
                    <w:t>）</w:t>
                  </w:r>
                </w:p>
              </w:tc>
              <w:tc>
                <w:tcPr>
                  <w:tcW w:w="610" w:type="pct"/>
                  <w:tcBorders>
                    <w:tl2br w:val="nil"/>
                    <w:tr2bl w:val="nil"/>
                  </w:tcBorders>
                  <w:vAlign w:val="center"/>
                </w:tcPr>
                <w:p w14:paraId="71E8941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0.25</w:t>
                  </w:r>
                </w:p>
              </w:tc>
              <w:tc>
                <w:tcPr>
                  <w:tcW w:w="639" w:type="pct"/>
                  <w:tcBorders>
                    <w:tl2br w:val="nil"/>
                    <w:tr2bl w:val="nil"/>
                  </w:tcBorders>
                  <w:vAlign w:val="center"/>
                </w:tcPr>
                <w:p w14:paraId="497FE93C">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60C009C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5AC10DB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eastAsia="zh-CN"/>
                    </w:rPr>
                  </w:pPr>
                  <w:r>
                    <w:rPr>
                      <w:rFonts w:hint="default" w:ascii="Times New Roman" w:hAnsi="Times New Roman" w:eastAsia="宋体" w:cs="Times New Roman"/>
                      <w:spacing w:val="6"/>
                      <w:sz w:val="21"/>
                      <w:szCs w:val="21"/>
                    </w:rPr>
                    <w:t>0.2</w:t>
                  </w:r>
                  <w:r>
                    <w:rPr>
                      <w:rFonts w:hint="default" w:ascii="Times New Roman" w:hAnsi="Times New Roman" w:eastAsia="宋体" w:cs="Times New Roman"/>
                      <w:spacing w:val="6"/>
                      <w:sz w:val="21"/>
                      <w:szCs w:val="21"/>
                      <w:lang w:val="en-US" w:eastAsia="zh-CN"/>
                    </w:rPr>
                    <w:t>5</w:t>
                  </w:r>
                </w:p>
              </w:tc>
            </w:tr>
            <w:tr w14:paraId="7E455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526" w:type="pct"/>
                  <w:tcBorders>
                    <w:tl2br w:val="nil"/>
                    <w:tr2bl w:val="nil"/>
                  </w:tcBorders>
                  <w:vAlign w:val="center"/>
                </w:tcPr>
                <w:p w14:paraId="1CDEB64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pacing w:val="6"/>
                      <w:sz w:val="21"/>
                      <w:szCs w:val="21"/>
                      <w:lang w:val="en-US" w:eastAsia="zh-CN"/>
                    </w:rPr>
                  </w:pPr>
                  <w:r>
                    <w:rPr>
                      <w:rFonts w:hint="eastAsia" w:ascii="Times New Roman" w:hAnsi="Times New Roman" w:cs="Times New Roman"/>
                      <w:spacing w:val="6"/>
                      <w:sz w:val="21"/>
                      <w:szCs w:val="21"/>
                      <w:lang w:val="en-US" w:eastAsia="zh-CN"/>
                    </w:rPr>
                    <w:t>4</w:t>
                  </w:r>
                </w:p>
              </w:tc>
              <w:tc>
                <w:tcPr>
                  <w:tcW w:w="1861" w:type="pct"/>
                  <w:tcBorders>
                    <w:tl2br w:val="nil"/>
                    <w:tr2bl w:val="nil"/>
                  </w:tcBorders>
                  <w:vAlign w:val="center"/>
                </w:tcPr>
                <w:p w14:paraId="57FD1135">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2#表土转存场（不计入总占地）</w:t>
                  </w:r>
                </w:p>
              </w:tc>
              <w:tc>
                <w:tcPr>
                  <w:tcW w:w="610" w:type="pct"/>
                  <w:tcBorders>
                    <w:tl2br w:val="nil"/>
                    <w:tr2bl w:val="nil"/>
                  </w:tcBorders>
                  <w:vAlign w:val="center"/>
                </w:tcPr>
                <w:p w14:paraId="7089D2D6">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w:t>
                  </w:r>
                  <w:r>
                    <w:rPr>
                      <w:rFonts w:hint="eastAsia" w:ascii="Times New Roman" w:hAnsi="Times New Roman" w:eastAsia="宋体" w:cs="Times New Roman"/>
                      <w:spacing w:val="6"/>
                      <w:sz w:val="21"/>
                      <w:szCs w:val="21"/>
                      <w:lang w:val="en-US" w:eastAsia="zh-CN"/>
                    </w:rPr>
                    <w:t>6</w:t>
                  </w:r>
                </w:p>
              </w:tc>
              <w:tc>
                <w:tcPr>
                  <w:tcW w:w="639" w:type="pct"/>
                  <w:tcBorders>
                    <w:tl2br w:val="nil"/>
                    <w:tr2bl w:val="nil"/>
                  </w:tcBorders>
                  <w:vAlign w:val="center"/>
                </w:tcPr>
                <w:p w14:paraId="5D5A367B">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617" w:type="pct"/>
                  <w:tcBorders>
                    <w:tl2br w:val="nil"/>
                    <w:tr2bl w:val="nil"/>
                  </w:tcBorders>
                  <w:vAlign w:val="center"/>
                </w:tcPr>
                <w:p w14:paraId="57CECB3A">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w:t>
                  </w:r>
                </w:p>
              </w:tc>
              <w:tc>
                <w:tcPr>
                  <w:tcW w:w="745" w:type="pct"/>
                  <w:tcBorders>
                    <w:tl2br w:val="nil"/>
                    <w:tr2bl w:val="nil"/>
                  </w:tcBorders>
                  <w:vAlign w:val="center"/>
                </w:tcPr>
                <w:p w14:paraId="0F7262F0">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0.26</w:t>
                  </w:r>
                </w:p>
              </w:tc>
            </w:tr>
            <w:tr w14:paraId="3AB0F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388" w:type="pct"/>
                  <w:gridSpan w:val="2"/>
                  <w:tcBorders>
                    <w:tl2br w:val="nil"/>
                    <w:tr2bl w:val="nil"/>
                  </w:tcBorders>
                  <w:vAlign w:val="center"/>
                </w:tcPr>
                <w:p w14:paraId="20A61F27">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合   计</w:t>
                  </w:r>
                </w:p>
              </w:tc>
              <w:tc>
                <w:tcPr>
                  <w:tcW w:w="610" w:type="pct"/>
                  <w:tcBorders>
                    <w:tl2br w:val="nil"/>
                    <w:tr2bl w:val="nil"/>
                  </w:tcBorders>
                  <w:vAlign w:val="center"/>
                </w:tcPr>
                <w:p w14:paraId="2DA4798D">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0.78</w:t>
                  </w:r>
                </w:p>
              </w:tc>
              <w:tc>
                <w:tcPr>
                  <w:tcW w:w="639" w:type="pct"/>
                  <w:tcBorders>
                    <w:tl2br w:val="nil"/>
                    <w:tr2bl w:val="nil"/>
                  </w:tcBorders>
                  <w:vAlign w:val="center"/>
                </w:tcPr>
                <w:p w14:paraId="3B376148">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0.94</w:t>
                  </w:r>
                </w:p>
              </w:tc>
              <w:tc>
                <w:tcPr>
                  <w:tcW w:w="617" w:type="pct"/>
                  <w:tcBorders>
                    <w:tl2br w:val="nil"/>
                    <w:tr2bl w:val="nil"/>
                  </w:tcBorders>
                  <w:vAlign w:val="center"/>
                </w:tcPr>
                <w:p w14:paraId="4998144E">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0.42</w:t>
                  </w:r>
                </w:p>
              </w:tc>
              <w:tc>
                <w:tcPr>
                  <w:tcW w:w="745" w:type="pct"/>
                  <w:tcBorders>
                    <w:tl2br w:val="nil"/>
                    <w:tr2bl w:val="nil"/>
                  </w:tcBorders>
                  <w:vAlign w:val="center"/>
                </w:tcPr>
                <w:p w14:paraId="29DC24CF">
                  <w:pPr>
                    <w:pStyle w:val="6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lang w:val="en-US" w:eastAsia="zh-CN"/>
                    </w:rPr>
                    <w:t>2.14</w:t>
                  </w:r>
                </w:p>
              </w:tc>
            </w:tr>
          </w:tbl>
          <w:p w14:paraId="0A89C638">
            <w:pPr>
              <w:pStyle w:val="37"/>
              <w:bidi w:val="0"/>
              <w:rPr>
                <w:rFonts w:hint="eastAsia" w:eastAsia="宋体"/>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b/>
                <w:bCs/>
                <w:color w:val="auto"/>
              </w:rPr>
              <w:t>永久</w:t>
            </w:r>
            <w:r>
              <w:rPr>
                <w:rFonts w:hint="eastAsia"/>
                <w:b/>
                <w:bCs/>
                <w:color w:val="auto"/>
                <w:lang w:eastAsia="zh-CN"/>
              </w:rPr>
              <w:t>占地影响分析</w:t>
            </w:r>
          </w:p>
          <w:p w14:paraId="2A1F353C">
            <w:pPr>
              <w:pStyle w:val="37"/>
              <w:bidi w:val="0"/>
              <w:rPr>
                <w:rFonts w:hint="eastAsia"/>
                <w:color w:val="auto"/>
              </w:rPr>
            </w:pPr>
            <w:r>
              <w:rPr>
                <w:rFonts w:hint="eastAsia"/>
                <w:color w:val="auto"/>
                <w:lang w:eastAsia="zh-CN"/>
              </w:rPr>
              <w:t>根据工程涉及资料，项目不涉及新增永久占地</w:t>
            </w:r>
            <w:r>
              <w:rPr>
                <w:color w:val="auto"/>
              </w:rPr>
              <w:t>，</w:t>
            </w:r>
            <w:r>
              <w:rPr>
                <w:rFonts w:hint="eastAsia"/>
                <w:color w:val="auto"/>
                <w:lang w:eastAsia="zh-CN"/>
              </w:rPr>
              <w:t>仅涉及临时占地</w:t>
            </w:r>
            <w:r>
              <w:rPr>
                <w:rFonts w:hint="eastAsia"/>
                <w:color w:val="auto"/>
              </w:rPr>
              <w:t>。</w:t>
            </w:r>
            <w:r>
              <w:rPr>
                <w:rFonts w:hint="eastAsia" w:ascii="Times New Roman" w:hAnsi="Times New Roman" w:eastAsia="宋体" w:cs="Times New Roman"/>
                <w:color w:val="auto"/>
                <w:szCs w:val="24"/>
                <w:lang w:eastAsia="zh-CN"/>
              </w:rPr>
              <w:t>本项目</w:t>
            </w:r>
            <w:r>
              <w:rPr>
                <w:color w:val="auto"/>
                <w:szCs w:val="24"/>
                <w:lang w:eastAsia="zh-CN"/>
              </w:rPr>
              <w:t>工程占地不涉及省级下发的公开版生态保护红线</w:t>
            </w:r>
            <w:r>
              <w:rPr>
                <w:rFonts w:hint="eastAsia"/>
                <w:color w:val="auto"/>
                <w:szCs w:val="24"/>
                <w:lang w:eastAsia="zh-CN"/>
              </w:rPr>
              <w:t>，</w:t>
            </w:r>
            <w:r>
              <w:rPr>
                <w:rFonts w:hint="eastAsia" w:ascii="Times New Roman" w:hAnsi="Times New Roman" w:eastAsia="宋体" w:cs="Times New Roman"/>
                <w:color w:val="auto"/>
                <w:lang w:eastAsia="zh-CN" w:bidi="ar"/>
              </w:rPr>
              <w:t>不涉及自然保护区，工程建设不会改变项目区域土地利用现状，对周围环境影响较小。</w:t>
            </w:r>
          </w:p>
          <w:p w14:paraId="427EEF73">
            <w:pPr>
              <w:pStyle w:val="37"/>
              <w:bidi w:val="0"/>
              <w:rPr>
                <w:rFonts w:hint="eastAsia"/>
                <w:b/>
                <w:bCs/>
                <w:color w:val="auto"/>
                <w:lang w:val="en-US" w:eastAsia="zh-CN"/>
              </w:rPr>
            </w:pPr>
            <w:r>
              <w:rPr>
                <w:rFonts w:hint="eastAsia"/>
                <w:b/>
                <w:bCs/>
                <w:color w:val="auto"/>
                <w:lang w:val="en-US" w:eastAsia="zh-CN"/>
              </w:rPr>
              <w:t>（2）施工临时占地影响分析</w:t>
            </w:r>
          </w:p>
          <w:p w14:paraId="4857FCBD">
            <w:pPr>
              <w:pStyle w:val="45"/>
              <w:numPr>
                <w:ilvl w:val="0"/>
                <w:numId w:val="0"/>
              </w:numPr>
              <w:bidi w:val="0"/>
              <w:ind w:firstLine="480" w:firstLineChars="200"/>
              <w:rPr>
                <w:rFonts w:hint="eastAsia"/>
                <w:color w:val="auto"/>
                <w:lang w:val="en-US" w:eastAsia="zh-CN"/>
              </w:rPr>
            </w:pPr>
            <w:r>
              <w:rPr>
                <w:rFonts w:hint="eastAsia"/>
                <w:color w:val="auto"/>
                <w:lang w:val="en-US" w:eastAsia="zh-CN"/>
              </w:rPr>
              <w:t>临时占地主要是施工工程中临时占用的工程建设施工区、施工临时道路区等，临时占地2.14hm</w:t>
            </w:r>
            <w:r>
              <w:rPr>
                <w:rFonts w:hint="eastAsia"/>
                <w:color w:val="auto"/>
                <w:vertAlign w:val="superscript"/>
                <w:lang w:val="en-US" w:eastAsia="zh-CN"/>
              </w:rPr>
              <w:t>2</w:t>
            </w:r>
            <w:r>
              <w:rPr>
                <w:rFonts w:hint="eastAsia"/>
                <w:color w:val="auto"/>
                <w:lang w:val="en-US" w:eastAsia="zh-CN"/>
              </w:rPr>
              <w:t>（包括水田0.78hm</w:t>
            </w:r>
            <w:r>
              <w:rPr>
                <w:rFonts w:hint="eastAsia"/>
                <w:color w:val="auto"/>
                <w:vertAlign w:val="superscript"/>
                <w:lang w:val="en-US" w:eastAsia="zh-CN"/>
              </w:rPr>
              <w:t>2</w:t>
            </w:r>
            <w:r>
              <w:rPr>
                <w:rFonts w:hint="eastAsia"/>
                <w:color w:val="auto"/>
                <w:lang w:val="en-US" w:eastAsia="zh-CN"/>
              </w:rPr>
              <w:t>，旱地0.94hm</w:t>
            </w:r>
            <w:r>
              <w:rPr>
                <w:rFonts w:hint="eastAsia"/>
                <w:color w:val="auto"/>
                <w:vertAlign w:val="superscript"/>
                <w:lang w:val="en-US" w:eastAsia="zh-CN"/>
              </w:rPr>
              <w:t>2</w:t>
            </w:r>
            <w:r>
              <w:rPr>
                <w:rFonts w:hint="eastAsia"/>
                <w:color w:val="auto"/>
                <w:lang w:val="en-US" w:eastAsia="zh-CN"/>
              </w:rPr>
              <w:t>，园地0.42hm</w:t>
            </w:r>
            <w:r>
              <w:rPr>
                <w:rFonts w:hint="eastAsia"/>
                <w:color w:val="auto"/>
                <w:vertAlign w:val="superscript"/>
                <w:lang w:val="en-US" w:eastAsia="zh-CN"/>
              </w:rPr>
              <w:t>2</w:t>
            </w:r>
            <w:r>
              <w:rPr>
                <w:rFonts w:hint="eastAsia"/>
                <w:color w:val="auto"/>
                <w:lang w:val="en-US" w:eastAsia="zh-CN"/>
              </w:rPr>
              <w:t>），本项目对芒市大河工程段进行护岸施工，</w:t>
            </w:r>
            <w:r>
              <w:rPr>
                <w:rFonts w:hint="eastAsia" w:ascii="宋体" w:hAnsi="宋体" w:eastAsia="宋体" w:cs="宋体"/>
                <w:color w:val="auto"/>
                <w:kern w:val="0"/>
                <w:sz w:val="24"/>
                <w:szCs w:val="24"/>
                <w:lang w:val="en-US" w:eastAsia="zh-CN" w:bidi="ar"/>
              </w:rPr>
              <w:t>采用钢筋石笼护岸，根据工程施工方案</w:t>
            </w:r>
            <w:r>
              <w:rPr>
                <w:rFonts w:hint="eastAsia"/>
                <w:color w:val="auto"/>
                <w:szCs w:val="24"/>
                <w:lang w:eastAsia="zh-CN"/>
              </w:rPr>
              <w:t>项目不涉及永久占地，</w:t>
            </w:r>
            <w:r>
              <w:rPr>
                <w:color w:val="auto"/>
                <w:lang w:eastAsia="zh-CN"/>
              </w:rPr>
              <w:t>临时</w:t>
            </w:r>
            <w:r>
              <w:rPr>
                <w:rFonts w:hint="eastAsia"/>
                <w:color w:val="auto"/>
                <w:lang w:eastAsia="zh-CN"/>
              </w:rPr>
              <w:t>占地</w:t>
            </w:r>
            <w:r>
              <w:rPr>
                <w:color w:val="auto"/>
                <w:lang w:eastAsia="zh-CN"/>
              </w:rPr>
              <w:t>在施工结束后全部进行</w:t>
            </w:r>
            <w:r>
              <w:rPr>
                <w:rFonts w:hint="eastAsia"/>
                <w:color w:val="auto"/>
                <w:lang w:eastAsia="zh-CN"/>
              </w:rPr>
              <w:t>原貌恢复，不改变临时占地用地性质</w:t>
            </w:r>
          </w:p>
          <w:p w14:paraId="334A767C">
            <w:pPr>
              <w:pStyle w:val="45"/>
              <w:numPr>
                <w:ilvl w:val="0"/>
                <w:numId w:val="0"/>
              </w:numPr>
              <w:bidi w:val="0"/>
              <w:ind w:firstLine="482" w:firstLineChars="200"/>
              <w:rPr>
                <w:rFonts w:hint="eastAsia"/>
                <w:b/>
                <w:bCs/>
                <w:color w:val="auto"/>
                <w:lang w:eastAsia="zh-CN"/>
              </w:rPr>
            </w:pPr>
            <w:r>
              <w:rPr>
                <w:rFonts w:hint="eastAsia" w:ascii="Times New Roman" w:hAnsi="Times New Roman" w:eastAsia="宋体" w:cs="Times New Roman"/>
                <w:b/>
                <w:bCs/>
                <w:color w:val="auto"/>
                <w:kern w:val="2"/>
                <w:sz w:val="24"/>
                <w:szCs w:val="24"/>
                <w:lang w:val="en-US" w:eastAsia="zh-CN" w:bidi="ar-SA"/>
              </w:rPr>
              <w:t>（3）</w:t>
            </w:r>
            <w:r>
              <w:rPr>
                <w:rFonts w:hint="eastAsia"/>
                <w:b/>
                <w:bCs/>
                <w:color w:val="auto"/>
                <w:lang w:eastAsia="zh-CN"/>
              </w:rPr>
              <w:t>占地影响分析</w:t>
            </w:r>
          </w:p>
          <w:p w14:paraId="6CA065DE">
            <w:pPr>
              <w:pStyle w:val="37"/>
              <w:bidi w:val="0"/>
              <w:rPr>
                <w:rFonts w:hint="eastAsia"/>
                <w:color w:val="auto"/>
                <w:lang w:eastAsia="zh-CN"/>
              </w:rPr>
            </w:pPr>
            <w:r>
              <w:rPr>
                <w:rFonts w:hint="eastAsia"/>
                <w:color w:val="auto"/>
                <w:lang w:eastAsia="zh-CN"/>
              </w:rPr>
              <w:t>工程对评价区土地利用的影响主要表现为工程临时占地改变评价区土地的功能和性质，临时占地在施工结束后可通过植被恢复和土地复垦等措施使其原来土地的性质和功能得到一定程度的恢复。对于工程占用的土地，建设单位将按照国家有关规定进行补偿，在做好补偿工作并及时恢复植被、复垦的情况下，工程建设不会对该区域的土地利用造成明显的影响。</w:t>
            </w:r>
          </w:p>
          <w:p w14:paraId="3929B03D">
            <w:pPr>
              <w:pStyle w:val="37"/>
              <w:bidi w:val="0"/>
              <w:rPr>
                <w:b/>
                <w:bCs/>
                <w:color w:val="auto"/>
              </w:rPr>
            </w:pPr>
            <w:r>
              <w:rPr>
                <w:b/>
                <w:bCs/>
                <w:color w:val="auto"/>
              </w:rPr>
              <w:t>2、对植被的影响分析</w:t>
            </w:r>
          </w:p>
          <w:p w14:paraId="4C959913">
            <w:pPr>
              <w:pStyle w:val="37"/>
              <w:bidi w:val="0"/>
              <w:rPr>
                <w:color w:val="auto"/>
              </w:rPr>
            </w:pPr>
            <w:r>
              <w:rPr>
                <w:color w:val="auto"/>
              </w:rPr>
              <w:t>工程施工占地对陆生植被的影响主要是工程施工临时占地。临时占地造成的影响仅限于以施工期为主的一定时期内，对土地利用、植被及植物资源的影响均是暂时性的，在工程施工结束后会逐渐得到恢复。</w:t>
            </w:r>
          </w:p>
          <w:p w14:paraId="7FA6E311">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施工期间对植被和植物的影响主要表现为：</w:t>
            </w:r>
          </w:p>
          <w:p w14:paraId="0F35F4C8">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①土石方开挖、工程占地、物料堆存等环节损毁植物个体，破坏和占压植被。</w:t>
            </w:r>
          </w:p>
          <w:p w14:paraId="32A17CF4">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②地表扰动产生水土流失，致使土壤肥力下降，土壤有机质含量随着土壤侵蚀强度的加剧而降低，进而对植物生长和恢复不利；</w:t>
            </w:r>
          </w:p>
          <w:p w14:paraId="0C33D858">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③由暴雨冲刷形成的泥水由于含有高浓度的SS而严重影响纳污水体，或形成淤积，破坏植被。</w:t>
            </w:r>
          </w:p>
          <w:p w14:paraId="03E97BC4">
            <w:pPr>
              <w:adjustRightInd w:val="0"/>
              <w:snapToGrid w:val="0"/>
              <w:spacing w:line="360" w:lineRule="auto"/>
              <w:ind w:firstLine="480" w:firstLineChars="200"/>
              <w:jc w:val="left"/>
              <w:rPr>
                <w:color w:val="auto"/>
              </w:rPr>
            </w:pPr>
            <w:r>
              <w:rPr>
                <w:rFonts w:hint="default" w:ascii="Times New Roman" w:hAnsi="Times New Roman" w:eastAsia="仿宋" w:cs="Times New Roman"/>
                <w:color w:val="auto"/>
                <w:sz w:val="24"/>
              </w:rPr>
              <w:t>④</w:t>
            </w:r>
            <w:r>
              <w:rPr>
                <w:rFonts w:hint="default" w:ascii="Times New Roman" w:hAnsi="Times New Roman" w:eastAsia="宋体" w:cs="Times New Roman"/>
                <w:color w:val="auto"/>
                <w:sz w:val="24"/>
              </w:rPr>
              <w:t>施工期排放废气 对沿线植被生长环境产生不良影响</w:t>
            </w:r>
            <w:r>
              <w:rPr>
                <w:rFonts w:hint="default" w:ascii="Times New Roman" w:hAnsi="Times New Roman" w:eastAsia="宋体" w:cs="Times New Roman"/>
                <w:color w:val="auto"/>
                <w:sz w:val="24"/>
                <w:lang w:eastAsia="zh-CN"/>
              </w:rPr>
              <w:t>。</w:t>
            </w:r>
          </w:p>
          <w:p w14:paraId="0D466071">
            <w:pPr>
              <w:ind w:firstLine="480"/>
              <w:jc w:val="both"/>
              <w:rPr>
                <w:color w:val="auto"/>
                <w:lang w:eastAsia="zh-CN"/>
              </w:rPr>
            </w:pPr>
            <w:r>
              <w:rPr>
                <w:rFonts w:hint="eastAsia"/>
                <w:color w:val="auto"/>
                <w:lang w:eastAsia="zh-CN"/>
              </w:rPr>
              <w:t>施</w:t>
            </w:r>
            <w:r>
              <w:rPr>
                <w:color w:val="auto"/>
              </w:rPr>
              <w:t>工过程中，占用的地表植被将全部毁坏消失，但工程破坏自然植被面积较小</w:t>
            </w:r>
            <w:r>
              <w:rPr>
                <w:rFonts w:hint="eastAsia"/>
                <w:color w:val="auto"/>
                <w:lang w:eastAsia="zh-CN"/>
              </w:rPr>
              <w:t>，工程</w:t>
            </w:r>
            <w:r>
              <w:rPr>
                <w:color w:val="auto"/>
                <w:lang w:eastAsia="zh-CN"/>
              </w:rPr>
              <w:t>沿线区域主要为</w:t>
            </w:r>
            <w:r>
              <w:rPr>
                <w:rFonts w:hint="eastAsia"/>
                <w:color w:val="auto"/>
                <w:lang w:eastAsia="zh-CN"/>
              </w:rPr>
              <w:t>人工植被</w:t>
            </w:r>
            <w:r>
              <w:rPr>
                <w:color w:val="auto"/>
                <w:lang w:eastAsia="zh-CN"/>
              </w:rPr>
              <w:t>，受到影响的植物种类均不属于珍稀濒危的保护植物种类，而在周边地区这些植物种类也极为常见，不会导致区域物种数量减少，则本项目的施工对植被的影响程度较小</w:t>
            </w:r>
            <w:r>
              <w:rPr>
                <w:rFonts w:hint="eastAsia"/>
                <w:color w:val="auto"/>
                <w:lang w:eastAsia="zh-CN"/>
              </w:rPr>
              <w:t>，</w:t>
            </w:r>
            <w:r>
              <w:rPr>
                <w:color w:val="auto"/>
                <w:lang w:eastAsia="zh-CN"/>
              </w:rPr>
              <w:t>本项目建设</w:t>
            </w:r>
            <w:r>
              <w:rPr>
                <w:rFonts w:hint="eastAsia"/>
                <w:color w:val="auto"/>
                <w:lang w:eastAsia="zh-CN"/>
              </w:rPr>
              <w:t>不</w:t>
            </w:r>
            <w:r>
              <w:rPr>
                <w:color w:val="auto"/>
                <w:lang w:eastAsia="zh-CN"/>
              </w:rPr>
              <w:t>涉及永久占地</w:t>
            </w:r>
            <w:r>
              <w:rPr>
                <w:rFonts w:hint="eastAsia"/>
                <w:color w:val="auto"/>
                <w:lang w:eastAsia="zh-CN"/>
              </w:rPr>
              <w:t>，施工结束后对影响的植被进行恢复，</w:t>
            </w:r>
            <w:r>
              <w:rPr>
                <w:rFonts w:hint="eastAsia" w:ascii="仿宋" w:hAnsi="仿宋"/>
                <w:color w:val="auto"/>
                <w:lang w:eastAsia="zh-CN"/>
              </w:rPr>
              <w:t>对植被类型影响较小。</w:t>
            </w:r>
          </w:p>
          <w:p w14:paraId="79B68EA0">
            <w:pPr>
              <w:pStyle w:val="37"/>
              <w:bidi w:val="0"/>
              <w:rPr>
                <w:rFonts w:hint="eastAsia"/>
                <w:b/>
                <w:bCs/>
                <w:color w:val="auto"/>
                <w:lang w:eastAsia="zh-CN"/>
              </w:rPr>
            </w:pPr>
            <w:r>
              <w:rPr>
                <w:rFonts w:hint="default"/>
                <w:b/>
                <w:bCs/>
                <w:color w:val="auto"/>
                <w:lang w:val="en-US" w:eastAsia="zh-CN"/>
              </w:rPr>
              <w:t>3</w:t>
            </w:r>
            <w:r>
              <w:rPr>
                <w:rFonts w:hint="default"/>
                <w:b/>
                <w:bCs/>
                <w:color w:val="auto"/>
              </w:rPr>
              <w:t>、对植物的影响</w:t>
            </w:r>
            <w:r>
              <w:rPr>
                <w:rFonts w:hint="eastAsia"/>
                <w:b/>
                <w:bCs/>
                <w:color w:val="auto"/>
                <w:lang w:eastAsia="zh-CN"/>
              </w:rPr>
              <w:t>分析</w:t>
            </w:r>
          </w:p>
          <w:p w14:paraId="4B075F46">
            <w:pPr>
              <w:pStyle w:val="37"/>
              <w:bidi w:val="0"/>
              <w:rPr>
                <w:rFonts w:hint="eastAsia"/>
                <w:color w:val="auto"/>
                <w:lang w:eastAsia="zh-CN"/>
              </w:rPr>
            </w:pPr>
            <w:r>
              <w:rPr>
                <w:rFonts w:hint="eastAsia"/>
                <w:color w:val="auto"/>
              </w:rPr>
              <w:t>工程区陆生植物主要为灌木、乔木</w:t>
            </w:r>
            <w:r>
              <w:rPr>
                <w:rFonts w:hint="eastAsia"/>
                <w:color w:val="auto"/>
                <w:lang w:eastAsia="zh-CN"/>
              </w:rPr>
              <w:t>及草丛</w:t>
            </w:r>
            <w:r>
              <w:rPr>
                <w:rFonts w:hint="eastAsia"/>
                <w:color w:val="auto"/>
              </w:rPr>
              <w:t>，</w:t>
            </w:r>
            <w:r>
              <w:rPr>
                <w:rFonts w:hint="eastAsia"/>
                <w:color w:val="auto"/>
                <w:lang w:eastAsia="zh-CN"/>
              </w:rPr>
              <w:t>项目其中临时占用自然植被涉及植物主要为</w:t>
            </w:r>
            <w:r>
              <w:rPr>
                <w:rFonts w:hint="default" w:ascii="Times New Roman" w:hAnsi="Times New Roman" w:cs="Times New Roman"/>
                <w:color w:val="000000"/>
              </w:rPr>
              <w:t>西南桦、红木荷、合欢、重阳木</w:t>
            </w:r>
            <w:r>
              <w:rPr>
                <w:rFonts w:hint="eastAsia" w:ascii="Times New Roman" w:hAnsi="Times New Roman" w:cs="Times New Roman"/>
                <w:color w:val="000000"/>
                <w:lang w:eastAsia="zh-CN"/>
              </w:rPr>
              <w:t>、</w:t>
            </w:r>
            <w:r>
              <w:rPr>
                <w:rFonts w:hint="default" w:ascii="Times New Roman" w:hAnsi="Times New Roman" w:cs="Times New Roman"/>
                <w:color w:val="000000"/>
              </w:rPr>
              <w:t>单叶泡花树、米饭花、岗柃、银柴</w:t>
            </w:r>
            <w:r>
              <w:rPr>
                <w:rFonts w:hint="eastAsia"/>
                <w:color w:val="auto"/>
                <w:lang w:eastAsia="zh-CN"/>
              </w:rPr>
              <w:t>等</w:t>
            </w:r>
            <w:r>
              <w:rPr>
                <w:rFonts w:hint="eastAsia"/>
                <w:color w:val="auto"/>
              </w:rPr>
              <w:t>在评价范围内没有古树名木</w:t>
            </w:r>
            <w:r>
              <w:rPr>
                <w:rFonts w:hint="eastAsia"/>
                <w:color w:val="auto"/>
                <w:lang w:eastAsia="zh-CN"/>
              </w:rPr>
              <w:t>。项目不涉及永久占地，实施前后不改变其土地类型。项目施工结束后，临时占用的耕地可及时进行复垦，临时占用的自然植被结合水土保持中的工程措施进行区域植被恢复，因此对植物的影响较小。</w:t>
            </w:r>
          </w:p>
          <w:p w14:paraId="69E50B98">
            <w:pPr>
              <w:pStyle w:val="37"/>
              <w:bidi w:val="0"/>
              <w:rPr>
                <w:b/>
                <w:bCs/>
                <w:color w:val="auto"/>
              </w:rPr>
            </w:pPr>
            <w:r>
              <w:rPr>
                <w:rFonts w:hint="eastAsia"/>
                <w:b/>
                <w:bCs/>
                <w:color w:val="auto"/>
                <w:lang w:val="en-US" w:eastAsia="zh-CN"/>
              </w:rPr>
              <w:t>4</w:t>
            </w:r>
            <w:r>
              <w:rPr>
                <w:b/>
                <w:bCs/>
                <w:color w:val="auto"/>
              </w:rPr>
              <w:t>、对陆生脊椎动物的影响分析</w:t>
            </w:r>
          </w:p>
          <w:p w14:paraId="79F07A51">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本工程施工期对陆生野生动物的影响主要表现为施工扬尘、施工噪 声、汽车尾气以及施工人员的活动等会对生活在本区域内的动物产生一定的影响。施工占地使项目区内野生动物的活动范围部分缩小，施工噪声一定程度会影响其生境质量。</w:t>
            </w:r>
          </w:p>
          <w:p w14:paraId="16BB000E">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①对两栖爬行类的影响</w:t>
            </w:r>
          </w:p>
          <w:p w14:paraId="5657BE1C">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程施工机械、施工人员进入工地、原材料的堆放、开挖路堑和临时施工场地和便道造成部分生境破坏，这种影响主要是施工扰动迫使两栖爬行动物远离施工区，其次在新植被形成之前，这里没有动物的隐蔽场所，太阳光直射，蛇类可能显著减少。</w:t>
            </w:r>
          </w:p>
          <w:p w14:paraId="3D9F4D62">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②对鸟类的影响</w:t>
            </w:r>
          </w:p>
          <w:p w14:paraId="3905DBE8">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在施工区内由于多为灌丛、草地，生境较为单调，主要为小型水禽类及常见鸟类，其中多数是广生境种类。河堤施工作业会对水体产生一些扰动，使工程沿线河段附近生活的鸟类中的游禽、涉禽类及傍水型鸟类受到惊吓远离河坝。原先在此区域内栖息的鸟类会暂时迁往施工区周围的相似生境内活动。由于施工区内主要为灌丛，适合鸟类栖息的林地数量较少，因此在施工期间对鸟类的影响也较小。施工期结束后，施工区的植被将恢复至现状，原先在此栖息的鸟类仍能在此栖息，施工期内因噪声及人群活动惊扰对鸟类的影响将消失。</w:t>
            </w:r>
          </w:p>
          <w:p w14:paraId="724865E7">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③对兽类的影响</w:t>
            </w:r>
          </w:p>
          <w:p w14:paraId="2584BDEB">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工程施工破坏了部分兽类的栖息地，造成它们的迁移及种群数量的减少。</w:t>
            </w:r>
            <w:r>
              <w:rPr>
                <w:rFonts w:hint="eastAsia" w:ascii="Times New Roman" w:hAnsi="Times New Roman" w:cs="Times New Roman"/>
                <w:color w:val="auto"/>
                <w:sz w:val="24"/>
                <w:lang w:eastAsia="zh-CN"/>
              </w:rPr>
              <w:t>主要为</w:t>
            </w:r>
            <w:r>
              <w:rPr>
                <w:rFonts w:hint="default" w:ascii="Times New Roman" w:hAnsi="Times New Roman" w:cs="Times New Roman"/>
                <w:color w:val="000000"/>
              </w:rPr>
              <w:t>黄胸鼠、褐家鼠、小家鼠、黄鼬</w:t>
            </w:r>
            <w:r>
              <w:rPr>
                <w:rFonts w:hint="eastAsia" w:ascii="Times New Roman" w:hAnsi="Times New Roman" w:cs="Times New Roman"/>
                <w:color w:val="000000"/>
                <w:lang w:eastAsia="zh-CN"/>
              </w:rPr>
              <w:t>等，</w:t>
            </w:r>
            <w:r>
              <w:rPr>
                <w:rFonts w:hint="default" w:ascii="Times New Roman" w:hAnsi="Times New Roman" w:cs="Times New Roman"/>
                <w:color w:val="auto"/>
                <w:sz w:val="24"/>
              </w:rPr>
              <w:t>施工期噪音、废水、废气也是使这些中小型兽类迁移的重要原因之一。大量施工人员进入施工现场促使伴随人类生活的鼠类的种群数量将有较大增长，与此相应，主要以鼠类为</w:t>
            </w:r>
            <w:r>
              <w:rPr>
                <w:rFonts w:hint="eastAsia" w:ascii="Times New Roman" w:hAnsi="Times New Roman" w:cs="Times New Roman"/>
                <w:color w:val="auto"/>
                <w:sz w:val="24"/>
                <w:lang w:eastAsia="zh-CN"/>
              </w:rPr>
              <w:t>食物</w:t>
            </w:r>
            <w:r>
              <w:rPr>
                <w:rFonts w:hint="default" w:ascii="Times New Roman" w:hAnsi="Times New Roman" w:cs="Times New Roman"/>
                <w:color w:val="auto"/>
                <w:sz w:val="24"/>
              </w:rPr>
              <w:t>的黄鼬等种群数量也会增加。</w:t>
            </w:r>
          </w:p>
          <w:p w14:paraId="34F3BB6F">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仿宋" w:cs="Times New Roman"/>
                <w:color w:val="auto"/>
                <w:sz w:val="24"/>
              </w:rPr>
              <w:t>④</w:t>
            </w:r>
            <w:r>
              <w:rPr>
                <w:rFonts w:hint="default" w:ascii="Times New Roman" w:hAnsi="Times New Roman" w:cs="Times New Roman"/>
                <w:color w:val="auto"/>
                <w:sz w:val="24"/>
              </w:rPr>
              <w:t>施工占地对动物生境的影响分析</w:t>
            </w:r>
          </w:p>
          <w:p w14:paraId="2DAD5BB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程主要沿河道施工，工程施工占地将使动物的栖息和活动场所缩小，同时对沿河道两岸居住的动物，如小型兽类巢穴、爬行类的洞穴、鸟类巢区的生境遭到破坏后，少数动物的繁殖将有可能受到一定影响，结果迫使原栖息在这一带的动物迁往其他生境适宜的地区</w:t>
            </w:r>
            <w:r>
              <w:rPr>
                <w:rFonts w:hint="default" w:ascii="Times New Roman" w:hAnsi="Times New Roman" w:cs="Times New Roman"/>
                <w:color w:val="auto"/>
                <w:sz w:val="24"/>
                <w:lang w:eastAsia="zh-CN"/>
              </w:rPr>
              <w:t>。由于项目属于线性工程，开挖的地表和破坏的植被在评价区域占比较小，</w:t>
            </w:r>
            <w:r>
              <w:rPr>
                <w:rFonts w:hint="default" w:ascii="Times New Roman" w:hAnsi="Times New Roman" w:cs="Times New Roman"/>
                <w:color w:val="auto"/>
                <w:sz w:val="24"/>
              </w:rPr>
              <w:t>随着施工结束、临时设施撤除，影响区内农业生产力将逐步恢复，生态系统相应回到建设之前状态，对陆生动物影响将逐渐消失。</w:t>
            </w:r>
          </w:p>
          <w:p w14:paraId="08EFF8FC">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仿宋" w:cs="Times New Roman"/>
                <w:color w:val="auto"/>
                <w:sz w:val="24"/>
              </w:rPr>
              <w:t>⑤</w:t>
            </w:r>
            <w:r>
              <w:rPr>
                <w:rFonts w:hint="default" w:ascii="Times New Roman" w:hAnsi="Times New Roman" w:cs="Times New Roman"/>
                <w:color w:val="auto"/>
                <w:sz w:val="24"/>
              </w:rPr>
              <w:t>对重点保护野生动物的影响分析</w:t>
            </w:r>
          </w:p>
          <w:p w14:paraId="784BF8FE">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项目施工占地范围内，调查期间，未发现国家级和云南省级重点保护野生动物分布，也没有发现《中国濒危动物红皮书》收录动物和珍稀濒危动物。调查未发现该地区特有种类分布。</w:t>
            </w:r>
          </w:p>
          <w:p w14:paraId="42B28121">
            <w:pPr>
              <w:pStyle w:val="37"/>
              <w:bidi w:val="0"/>
              <w:rPr>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b/>
                <w:bCs/>
                <w:color w:val="auto"/>
              </w:rPr>
              <w:t>施工占地对动物生境的影响分析</w:t>
            </w:r>
          </w:p>
          <w:p w14:paraId="194FB7B9">
            <w:pPr>
              <w:pStyle w:val="37"/>
              <w:bidi w:val="0"/>
              <w:rPr>
                <w:color w:val="auto"/>
              </w:rPr>
            </w:pPr>
            <w:r>
              <w:rPr>
                <w:color w:val="auto"/>
              </w:rPr>
              <w:t>工程主要沿河道施工，工程施工占地将使动物的栖息和活动场所缩小，同时对沿河</w:t>
            </w:r>
            <w:r>
              <w:rPr>
                <w:rFonts w:hint="eastAsia"/>
                <w:color w:val="auto"/>
                <w:lang w:eastAsia="zh-CN"/>
              </w:rPr>
              <w:t>道</w:t>
            </w:r>
            <w:r>
              <w:rPr>
                <w:color w:val="auto"/>
              </w:rPr>
              <w:t>两岸居住的动物，如小型兽类巢穴、</w:t>
            </w:r>
            <w:r>
              <w:rPr>
                <w:rFonts w:hint="eastAsia"/>
                <w:color w:val="auto"/>
                <w:lang w:eastAsia="zh-CN"/>
              </w:rPr>
              <w:t>两栖</w:t>
            </w:r>
            <w:r>
              <w:rPr>
                <w:color w:val="auto"/>
              </w:rPr>
              <w:t>爬行类的洞穴、鸟类巢区的生境遭到破坏后，少数动物的繁殖将有可能受到一定影响，结果迫使原栖息在这一带的动物迁往其他生境适宜的地区，由于工程区及其周边区域环境现状特征较为一致，而施工占地仅集中在评价区内的局部区域，便于动物迁居和存活，所以工程建设不会导致任何物种的消失。</w:t>
            </w:r>
          </w:p>
          <w:p w14:paraId="093CB4B1">
            <w:pPr>
              <w:pStyle w:val="37"/>
              <w:bidi w:val="0"/>
              <w:rPr>
                <w:color w:val="auto"/>
              </w:rPr>
            </w:pPr>
            <w:r>
              <w:rPr>
                <w:color w:val="auto"/>
              </w:rPr>
              <w:t>施工占地尤其对范围内两栖动物较明显。种群在一段时间内将会有大的波动，最后随着工程建设的结束，生态环境逐渐恢复，种群又会得以恢复或略有增长。</w:t>
            </w:r>
          </w:p>
          <w:p w14:paraId="3B9187E4">
            <w:pPr>
              <w:pStyle w:val="37"/>
              <w:bidi w:val="0"/>
              <w:rPr>
                <w:b/>
                <w:bCs/>
                <w:color w:val="auto"/>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b/>
                <w:bCs/>
                <w:color w:val="auto"/>
              </w:rPr>
              <w:t>对重点保护野生动物的影响分析</w:t>
            </w:r>
          </w:p>
          <w:p w14:paraId="72DB6C00">
            <w:pPr>
              <w:pStyle w:val="37"/>
              <w:bidi w:val="0"/>
              <w:rPr>
                <w:color w:val="auto"/>
              </w:rPr>
            </w:pPr>
            <w:r>
              <w:rPr>
                <w:color w:val="auto"/>
              </w:rPr>
              <w:t>项目施工占地范围内，调查期间，未发现国家级和云南省级重点保护野生动物分布，也没有发现《中国濒危动物红皮书》收录动物和珍稀濒危动物。调查未发现该地区特有种类分布。</w:t>
            </w:r>
          </w:p>
          <w:p w14:paraId="63C662D1">
            <w:pPr>
              <w:pStyle w:val="37"/>
              <w:bidi w:val="0"/>
              <w:rPr>
                <w:b/>
                <w:bCs/>
                <w:color w:val="auto"/>
              </w:rPr>
            </w:pPr>
            <w:r>
              <w:rPr>
                <w:rFonts w:hint="eastAsia"/>
                <w:b/>
                <w:bCs/>
                <w:color w:val="auto"/>
                <w:lang w:val="en-US" w:eastAsia="zh-CN"/>
              </w:rPr>
              <w:t>5</w:t>
            </w:r>
            <w:r>
              <w:rPr>
                <w:b/>
                <w:bCs/>
                <w:color w:val="auto"/>
              </w:rPr>
              <w:t>、对水生</w:t>
            </w:r>
            <w:r>
              <w:rPr>
                <w:rFonts w:hint="eastAsia"/>
                <w:b/>
                <w:bCs/>
                <w:color w:val="auto"/>
                <w:lang w:eastAsia="zh-CN"/>
              </w:rPr>
              <w:t>生</w:t>
            </w:r>
            <w:r>
              <w:rPr>
                <w:b/>
                <w:bCs/>
                <w:color w:val="auto"/>
              </w:rPr>
              <w:t>物</w:t>
            </w:r>
            <w:r>
              <w:rPr>
                <w:rFonts w:hint="eastAsia"/>
                <w:b/>
                <w:bCs/>
                <w:color w:val="auto"/>
                <w:lang w:eastAsia="zh-CN"/>
              </w:rPr>
              <w:t>影响</w:t>
            </w:r>
            <w:r>
              <w:rPr>
                <w:b/>
                <w:bCs/>
                <w:color w:val="auto"/>
              </w:rPr>
              <w:t>分析</w:t>
            </w:r>
          </w:p>
          <w:p w14:paraId="4EEC2F6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洪除涝工程的施工，会对河流的环境造成一定的影响。会影响到水生生物的生存行为、繁殖和分布，造成水生生物量和净生产量短期有一定下降。但项目施工过程对河道水生生态的影响是可逆的，项目施工影响范围内不涉及珍贵、濒危水生野生动植物及其重要栖息地、水产种质资源保护区、国家一级重点保护水生野生动植物及其重要栖息地或国家级水产种质资源保护区，且施工期“三废”均得到有效</w:t>
            </w:r>
            <w:r>
              <w:rPr>
                <w:rFonts w:hint="eastAsia" w:ascii="Times New Roman" w:hAnsi="Times New Roman" w:cs="Times New Roman"/>
                <w:color w:val="auto"/>
                <w:sz w:val="24"/>
                <w:lang w:eastAsia="zh-CN"/>
              </w:rPr>
              <w:t>地</w:t>
            </w:r>
            <w:r>
              <w:rPr>
                <w:rFonts w:hint="default" w:ascii="Times New Roman" w:hAnsi="Times New Roman" w:cs="Times New Roman"/>
                <w:color w:val="auto"/>
                <w:sz w:val="24"/>
              </w:rPr>
              <w:t>治理，随着项目施工完成，因施工造成的水生生态系统的破坏可得到恢复。</w:t>
            </w:r>
          </w:p>
          <w:p w14:paraId="45036FC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（1）对水生植物的影响</w:t>
            </w:r>
          </w:p>
          <w:p w14:paraId="2B6251A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河道、岸线进行施工时，机械的对河底的扰动会破坏部分沉水植物直接死亡，而机械搅动引起底沙景扬会附着沉水植物，影响其光合作用，造成沉水植物的死亡。建筑物施工会占用现有水生植物的生境并造成现有植被的损失；施工弃土方、建筑垃圾如不及时转运，进入水体导致部分水生植物的死亡。</w:t>
            </w:r>
          </w:p>
          <w:p w14:paraId="4781EDE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本项目由于施工周期短，工程结束后，水生植被将得到恢复，其生物量损失是可逆的，因此工程在施工期间对水生植物的影响较小。</w:t>
            </w:r>
          </w:p>
          <w:p w14:paraId="198EC3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（2）对浮游生物</w:t>
            </w:r>
            <w:r>
              <w:rPr>
                <w:rFonts w:hint="eastAsia" w:ascii="Times New Roman" w:hAnsi="Times New Roman" w:cs="Times New Roman"/>
                <w:color w:val="auto"/>
                <w:sz w:val="24"/>
                <w:lang w:eastAsia="zh-CN"/>
              </w:rPr>
              <w:t>的</w:t>
            </w:r>
            <w:r>
              <w:rPr>
                <w:rFonts w:hint="default" w:ascii="Times New Roman" w:hAnsi="Times New Roman" w:cs="Times New Roman"/>
                <w:color w:val="auto"/>
                <w:sz w:val="24"/>
              </w:rPr>
              <w:t>影响</w:t>
            </w:r>
          </w:p>
          <w:p w14:paraId="34DBE9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机械地搅动会引起底沙悬浮，在转移淤泥清理物时，洒落的泥沙也会造成局部水域的浑浊，这会导致河底沉积污染物的释放，比如氨和磷化物， 致使水质“肥化 ”，这会导致部分浮游生物、藻类的大量增生，对浮游生物的多样性产生一定影响。</w:t>
            </w:r>
          </w:p>
          <w:p w14:paraId="0A1DCCD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（3）对底栖生物的影响</w:t>
            </w:r>
          </w:p>
          <w:p w14:paraId="63C3E5E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多数底栖动物长期生活在底泥中，具有区域性强、迁移能力弱等特点，其对环境突然改变，通常没有或者很少有回避能力。本工程不涉及清淤，</w:t>
            </w:r>
            <w:r>
              <w:rPr>
                <w:rFonts w:hint="eastAsia" w:ascii="Times New Roman" w:hAnsi="Times New Roman" w:cs="Times New Roman"/>
                <w:color w:val="auto"/>
                <w:sz w:val="24"/>
                <w:lang w:eastAsia="zh-CN"/>
              </w:rPr>
              <w:t>不涉及施工导流</w:t>
            </w:r>
            <w:r>
              <w:rPr>
                <w:rFonts w:hint="default" w:ascii="Times New Roman" w:hAnsi="Times New Roman" w:cs="Times New Roman"/>
                <w:color w:val="auto"/>
                <w:sz w:val="24"/>
              </w:rPr>
              <w:t>不会对底栖动物生境造成大范围、高强度破坏。</w:t>
            </w:r>
            <w:r>
              <w:rPr>
                <w:rFonts w:hint="eastAsia" w:ascii="Times New Roman" w:hAnsi="Times New Roman" w:cs="Times New Roman"/>
                <w:color w:val="auto"/>
                <w:sz w:val="24"/>
                <w:lang w:eastAsia="zh-CN"/>
              </w:rPr>
              <w:t>但</w:t>
            </w:r>
            <w:r>
              <w:rPr>
                <w:rFonts w:hint="default" w:ascii="Times New Roman" w:hAnsi="Times New Roman" w:cs="Times New Roman"/>
                <w:color w:val="auto"/>
                <w:sz w:val="24"/>
              </w:rPr>
              <w:t>施工期</w:t>
            </w:r>
            <w:r>
              <w:rPr>
                <w:rFonts w:hint="eastAsia" w:ascii="Times New Roman" w:hAnsi="Times New Roman" w:cs="Times New Roman"/>
                <w:color w:val="auto"/>
                <w:sz w:val="24"/>
                <w:lang w:eastAsia="zh-CN"/>
              </w:rPr>
              <w:t>对</w:t>
            </w:r>
            <w:r>
              <w:rPr>
                <w:rFonts w:hint="default" w:ascii="Times New Roman" w:hAnsi="Times New Roman" w:cs="Times New Roman"/>
                <w:color w:val="auto"/>
                <w:sz w:val="24"/>
              </w:rPr>
              <w:t>在施工区生活的底栖动物</w:t>
            </w:r>
            <w:r>
              <w:rPr>
                <w:rFonts w:hint="eastAsia" w:ascii="Times New Roman" w:hAnsi="Times New Roman" w:cs="Times New Roman"/>
                <w:color w:val="auto"/>
                <w:sz w:val="24"/>
                <w:lang w:eastAsia="zh-CN"/>
              </w:rPr>
              <w:t>不可避免地造成</w:t>
            </w:r>
            <w:r>
              <w:rPr>
                <w:rFonts w:hint="default" w:ascii="Times New Roman" w:hAnsi="Times New Roman" w:cs="Times New Roman"/>
                <w:color w:val="auto"/>
                <w:sz w:val="24"/>
              </w:rPr>
              <w:t>影响。然而根据类似河流治理项目和环评调查，防洪除涝工程结束后，工程施工区底栖动物可得到一定程度的恢复，但恢复进程缓慢，随着恢复时间越长，底栖动物就恢复得越好。</w:t>
            </w:r>
          </w:p>
          <w:p w14:paraId="501702F0">
            <w:pPr>
              <w:numPr>
                <w:ilvl w:val="0"/>
                <w:numId w:val="4"/>
              </w:numPr>
              <w:spacing w:line="360" w:lineRule="auto"/>
              <w:ind w:left="240" w:leftChars="0" w:firstLine="480" w:firstLineChars="0"/>
              <w:rPr>
                <w:rFonts w:hint="default" w:ascii="Times New Roman" w:hAnsi="Times New Roman" w:cs="Times New Roman"/>
                <w:color w:val="auto"/>
                <w:sz w:val="24"/>
                <w:lang w:bidi="ar"/>
              </w:rPr>
            </w:pPr>
            <w:r>
              <w:rPr>
                <w:rFonts w:hint="default" w:ascii="Times New Roman" w:hAnsi="Times New Roman" w:cs="Times New Roman"/>
                <w:color w:val="auto"/>
                <w:sz w:val="24"/>
              </w:rPr>
              <w:t>对鱼蟹类多样性的影响</w:t>
            </w:r>
          </w:p>
          <w:p w14:paraId="7DBCF3DC">
            <w:pPr>
              <w:numPr>
                <w:ilvl w:val="0"/>
                <w:numId w:val="0"/>
              </w:num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本项目河道不涉及鱼类洄游和产卵区，不会对鱼类繁殖产生影响。且工程所影响的鱼类均为当地常见鱼类，无珍稀保护鱼类。因此，工程施工对鱼类的不利影响较小且是暂时的，项目建成后，对鱼类的影响消失。根据生态现状调查可知，河道现有的水生植物、底栖动物及鱼类分布较少，施工期对水生群落生物的影响极小，随着项目建成，大部分影响会消失。 施工期涉水作业时，会搅动水体和河床底泥，使水体中悬浮物浓度增大，悬移质泥沙改变了水体透光性，对浮游植物或藻类的光合作用产生影响，浮游生物、底栖动物等饵料生物量会减少，从而改变了鱼类原有的生存、生长和繁衍条件，鱼类将择水而栖迁移</w:t>
            </w:r>
            <w:r>
              <w:rPr>
                <w:rFonts w:hint="eastAsia" w:ascii="Times New Roman" w:hAnsi="Times New Roman" w:cs="Times New Roman"/>
                <w:color w:val="auto"/>
                <w:sz w:val="24"/>
                <w:lang w:eastAsia="zh-CN" w:bidi="ar"/>
              </w:rPr>
              <w:t>到其他</w:t>
            </w:r>
            <w:r>
              <w:rPr>
                <w:rFonts w:hint="default" w:ascii="Times New Roman" w:hAnsi="Times New Roman" w:cs="Times New Roman"/>
                <w:color w:val="auto"/>
                <w:sz w:val="24"/>
                <w:lang w:bidi="ar"/>
              </w:rPr>
              <w:t>水域。同时施工还会使在此区域活动的鱼类受到惊吓，对鱼类有驱赶作用，因此施工区域鱼类密度可 能会显著降低。此外非法捕捞也会对鱼类产生影响，通过加强对施工人员的宣传教育，禁止非法捕捞等，减少施工期对鱼蟹类的影响</w:t>
            </w:r>
          </w:p>
          <w:p w14:paraId="3EAD3091">
            <w:pPr>
              <w:pStyle w:val="42"/>
              <w:numPr>
                <w:ilvl w:val="0"/>
                <w:numId w:val="0"/>
              </w:numPr>
              <w:bidi w:val="0"/>
              <w:ind w:right="113" w:rightChars="0" w:firstLine="482" w:firstLineChars="200"/>
              <w:rPr>
                <w:b/>
                <w:bCs/>
                <w:color w:val="auto"/>
              </w:rPr>
            </w:pPr>
            <w:r>
              <w:rPr>
                <w:rFonts w:hint="eastAsia" w:ascii="Times New Roman" w:hAnsi="Times New Roman" w:eastAsia="宋体" w:cs="Times New Roman"/>
                <w:b/>
                <w:bCs/>
                <w:color w:val="auto"/>
                <w:kern w:val="0"/>
                <w:sz w:val="24"/>
                <w:szCs w:val="24"/>
                <w:lang w:val="en-US" w:eastAsia="zh-CN" w:bidi="ar-SA"/>
              </w:rPr>
              <w:t>6</w:t>
            </w:r>
            <w:r>
              <w:rPr>
                <w:rFonts w:ascii="Times New Roman" w:hAnsi="Times New Roman" w:eastAsia="宋体" w:cs="Times New Roman"/>
                <w:b/>
                <w:bCs/>
                <w:color w:val="auto"/>
                <w:kern w:val="0"/>
                <w:sz w:val="24"/>
                <w:szCs w:val="24"/>
                <w:lang w:val="en-US" w:eastAsia="zh-CN" w:bidi="ar-SA"/>
              </w:rPr>
              <w:t>、</w:t>
            </w:r>
            <w:r>
              <w:rPr>
                <w:b/>
                <w:bCs/>
                <w:color w:val="auto"/>
              </w:rPr>
              <w:t>对生态</w:t>
            </w:r>
            <w:r>
              <w:rPr>
                <w:rFonts w:hint="eastAsia"/>
                <w:b/>
                <w:bCs/>
                <w:color w:val="auto"/>
                <w:lang w:eastAsia="zh-CN"/>
              </w:rPr>
              <w:t>系统多样性影响分析</w:t>
            </w:r>
          </w:p>
          <w:p w14:paraId="65913FF9">
            <w:pPr>
              <w:pStyle w:val="37"/>
              <w:bidi w:val="0"/>
              <w:rPr>
                <w:color w:val="auto"/>
              </w:rPr>
            </w:pPr>
            <w:r>
              <w:rPr>
                <w:color w:val="auto"/>
              </w:rPr>
              <w:t>生态系统是指在自然界的一定的空间内，生物与环境构成的统一整体，在这个统一整体中，生物与环境之间相互影响、相互制约，并在一定时期内处于相对稳定的动态平衡状态。其组成包括了非生物</w:t>
            </w:r>
            <w:r>
              <w:rPr>
                <w:rFonts w:hint="eastAsia"/>
                <w:color w:val="auto"/>
                <w:lang w:eastAsia="zh-CN"/>
              </w:rPr>
              <w:t>成分</w:t>
            </w:r>
            <w:r>
              <w:rPr>
                <w:color w:val="auto"/>
              </w:rPr>
              <w:t>、生产者、消费者、分解者。从生态系统中的非生物</w:t>
            </w:r>
            <w:r>
              <w:rPr>
                <w:rFonts w:hint="eastAsia"/>
                <w:color w:val="auto"/>
                <w:lang w:eastAsia="zh-CN"/>
              </w:rPr>
              <w:t>成分</w:t>
            </w:r>
            <w:r>
              <w:rPr>
                <w:color w:val="auto"/>
              </w:rPr>
              <w:t>上来说，</w:t>
            </w:r>
            <w:r>
              <w:rPr>
                <w:rFonts w:hint="eastAsia"/>
                <w:color w:val="auto"/>
                <w:lang w:eastAsia="zh-CN"/>
              </w:rPr>
              <w:t>本项目</w:t>
            </w:r>
            <w:r>
              <w:rPr>
                <w:color w:val="auto"/>
              </w:rPr>
              <w:t>建设对当地的阳光、水、土壤、地形地貌、空气等影响不大。</w:t>
            </w:r>
          </w:p>
          <w:p w14:paraId="54D083CF">
            <w:pPr>
              <w:adjustRightInd w:val="0"/>
              <w:snapToGrid w:val="0"/>
              <w:spacing w:line="360" w:lineRule="auto"/>
              <w:ind w:firstLine="480" w:firstLineChars="200"/>
              <w:jc w:val="left"/>
              <w:rPr>
                <w:color w:val="auto"/>
              </w:rPr>
            </w:pPr>
            <w:r>
              <w:rPr>
                <w:color w:val="auto"/>
              </w:rPr>
              <w:t>工程施工期间</w:t>
            </w:r>
            <w:r>
              <w:rPr>
                <w:rFonts w:hint="eastAsia"/>
                <w:color w:val="auto"/>
                <w:lang w:eastAsia="zh-CN"/>
              </w:rPr>
              <w:t>土石方挖填平衡，无弃渣产生</w:t>
            </w:r>
            <w:r>
              <w:rPr>
                <w:color w:val="auto"/>
              </w:rPr>
              <w:t>，水土流失影响较小。</w:t>
            </w:r>
            <w:r>
              <w:rPr>
                <w:rFonts w:hint="eastAsia"/>
                <w:color w:val="auto"/>
                <w:lang w:eastAsia="zh-CN"/>
              </w:rPr>
              <w:t>项目不涉及永久占地，</w:t>
            </w:r>
            <w:r>
              <w:rPr>
                <w:color w:val="auto"/>
              </w:rPr>
              <w:t>项目属于</w:t>
            </w:r>
            <w:r>
              <w:rPr>
                <w:rFonts w:hint="eastAsia"/>
                <w:color w:val="auto"/>
                <w:lang w:eastAsia="zh-CN"/>
              </w:rPr>
              <w:t>芒市大河</w:t>
            </w:r>
            <w:r>
              <w:rPr>
                <w:color w:val="auto"/>
              </w:rPr>
              <w:t>治理工程，项目主要进行河堤施工，沿现有河道两岸进行，同时，项目施工结束后，即对施工临时占地进行恢复，工程对生态系统的稳定性影响较小。</w:t>
            </w:r>
            <w:r>
              <w:rPr>
                <w:rFonts w:hint="default" w:ascii="Times New Roman" w:hAnsi="Times New Roman" w:eastAsia="宋体" w:cs="Times New Roman"/>
                <w:color w:val="auto"/>
                <w:kern w:val="0"/>
                <w:sz w:val="24"/>
                <w:szCs w:val="24"/>
                <w:lang w:val="en-US" w:eastAsia="zh-CN" w:bidi="ar-SA"/>
              </w:rPr>
              <w:t>工程主要以保护农田为主，治理段河道长3.83km，治理河段设计防洪标准为10年一遇，保护人口0.6 万人，保护耕地0.4万亩。</w:t>
            </w:r>
            <w:r>
              <w:rPr>
                <w:rFonts w:hint="eastAsia" w:ascii="Times New Roman" w:hAnsi="Times New Roman" w:eastAsia="宋体" w:cs="Times New Roman"/>
                <w:color w:val="auto"/>
                <w:kern w:val="0"/>
                <w:sz w:val="24"/>
                <w:szCs w:val="24"/>
                <w:lang w:val="en-US" w:eastAsia="zh-CN" w:bidi="ar-SA"/>
              </w:rPr>
              <w:t>保护生态系统的同时</w:t>
            </w:r>
            <w:r>
              <w:rPr>
                <w:rFonts w:hint="default" w:ascii="Times New Roman" w:hAnsi="Times New Roman" w:eastAsia="宋体" w:cs="Times New Roman"/>
                <w:color w:val="auto"/>
                <w:kern w:val="0"/>
                <w:sz w:val="24"/>
                <w:szCs w:val="24"/>
                <w:lang w:val="en-US" w:eastAsia="zh-CN" w:bidi="ar-SA"/>
              </w:rPr>
              <w:t>促进当地民族团结、社会稳定和经济发展。</w:t>
            </w:r>
          </w:p>
          <w:p w14:paraId="063CD816">
            <w:pPr>
              <w:pStyle w:val="42"/>
              <w:numPr>
                <w:ilvl w:val="0"/>
                <w:numId w:val="0"/>
              </w:numPr>
              <w:bidi w:val="0"/>
              <w:ind w:right="113" w:rightChars="0" w:firstLine="482" w:firstLineChars="200"/>
              <w:rPr>
                <w:b/>
                <w:bCs/>
                <w:color w:val="auto"/>
              </w:rPr>
            </w:pPr>
            <w:r>
              <w:rPr>
                <w:rFonts w:hint="eastAsia" w:ascii="Times New Roman" w:hAnsi="Times New Roman" w:eastAsia="宋体" w:cs="Times New Roman"/>
                <w:b/>
                <w:bCs/>
                <w:color w:val="auto"/>
                <w:kern w:val="0"/>
                <w:sz w:val="24"/>
                <w:szCs w:val="24"/>
                <w:lang w:val="en-US" w:eastAsia="zh-CN" w:bidi="ar-SA"/>
              </w:rPr>
              <w:t>7</w:t>
            </w:r>
            <w:r>
              <w:rPr>
                <w:rFonts w:ascii="Times New Roman" w:hAnsi="Times New Roman" w:eastAsia="宋体" w:cs="Times New Roman"/>
                <w:b/>
                <w:bCs/>
                <w:color w:val="auto"/>
                <w:kern w:val="0"/>
                <w:sz w:val="24"/>
                <w:szCs w:val="24"/>
                <w:lang w:val="en-US" w:eastAsia="zh-CN" w:bidi="ar-SA"/>
              </w:rPr>
              <w:t>、</w:t>
            </w:r>
            <w:r>
              <w:rPr>
                <w:rFonts w:hint="eastAsia"/>
                <w:b/>
                <w:bCs/>
                <w:color w:val="auto"/>
              </w:rPr>
              <w:t>对自然景观的影响分析</w:t>
            </w:r>
          </w:p>
          <w:p w14:paraId="203B478C">
            <w:pPr>
              <w:numPr>
                <w:ilvl w:val="0"/>
                <w:numId w:val="0"/>
              </w:num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施工期由于河道开挖、施工场地与管理维护道路等工程活动破坏植被、河道水体与河岸带湿地系统，造成景观资源损失的同时也将造成大面积的裸露地表和水土流失，以及河道水体和湿地系统结构的改变，主要包括：工程施工造成施工场地现有植被的损失，对景观造成中等负面影响；场地清理、护岸、施工材料运输、场内施工设备及施工临时建筑物等均对敏感受体造成中等负面影响；项目施工过程中将有较大规模的挖方和填方工程，会存在裸露地表，在雨期可产生水土流失，对景观造成一定影响。但影响虽仅限于施工周期内，施工期结束后，通过清理现场、场地恢复，可以清除施工痕迹，于河道两侧植树，修建生态护岸，从而恢复自然景观的完整性、协调性和观赏性，因此，项目施工对当地景观的影响是暂时的，影响较小。</w:t>
            </w:r>
          </w:p>
          <w:p w14:paraId="688CDA4B">
            <w:pPr>
              <w:pStyle w:val="37"/>
              <w:bidi w:val="0"/>
              <w:rPr>
                <w:b/>
                <w:bCs/>
                <w:color w:val="auto"/>
              </w:rPr>
            </w:pPr>
            <w:r>
              <w:rPr>
                <w:rFonts w:hint="eastAsia"/>
                <w:b/>
                <w:bCs/>
                <w:color w:val="auto"/>
                <w:lang w:val="en-US" w:eastAsia="zh-CN"/>
              </w:rPr>
              <w:t>8</w:t>
            </w:r>
            <w:r>
              <w:rPr>
                <w:b/>
                <w:bCs/>
                <w:color w:val="auto"/>
              </w:rPr>
              <w:t>、水土流失影响分析</w:t>
            </w:r>
          </w:p>
          <w:p w14:paraId="1983644A">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b w:val="0"/>
                <w:caps w:val="0"/>
                <w:smallCaps w:val="0"/>
                <w:color w:val="auto"/>
                <w:kern w:val="2"/>
                <w:sz w:val="24"/>
                <w:szCs w:val="24"/>
                <w:lang w:val="en-US" w:eastAsia="zh-CN" w:bidi="ar-SA"/>
              </w:rPr>
            </w:pPr>
            <w:r>
              <w:rPr>
                <w:rFonts w:hint="default" w:ascii="Times New Roman" w:hAnsi="Times New Roman" w:eastAsia="宋体" w:cs="Times New Roman"/>
                <w:b w:val="0"/>
                <w:caps w:val="0"/>
                <w:smallCaps w:val="0"/>
                <w:color w:val="auto"/>
                <w:kern w:val="2"/>
                <w:sz w:val="24"/>
                <w:szCs w:val="24"/>
                <w:lang w:val="en-US" w:eastAsia="zh-CN" w:bidi="ar-SA"/>
              </w:rPr>
              <w:t>本项目工程建设过程中因施工活动将扰动原地貌、损坏、占压和影响的土地面积为2.14hm²，可能造成水土流失面积2.14hm²，本工程损坏植被面积为0.42hm²。工程施工产生水土流失总量为385.38t，工程区域原生水土流失量28.37t，新增水土流失量为357.01t</w:t>
            </w:r>
            <w:r>
              <w:rPr>
                <w:rFonts w:hint="eastAsia" w:cs="Times New Roman"/>
                <w:b w:val="0"/>
                <w:caps w:val="0"/>
                <w:smallCaps w:val="0"/>
                <w:color w:val="auto"/>
                <w:kern w:val="2"/>
                <w:sz w:val="24"/>
                <w:szCs w:val="24"/>
                <w:lang w:val="en-US" w:eastAsia="zh-CN" w:bidi="ar-SA"/>
              </w:rPr>
              <w:t>。</w:t>
            </w:r>
          </w:p>
          <w:p w14:paraId="69C2870D">
            <w:pPr>
              <w:pStyle w:val="37"/>
              <w:numPr>
                <w:ilvl w:val="0"/>
                <w:numId w:val="0"/>
              </w:numPr>
              <w:bidi w:val="0"/>
              <w:ind w:right="0" w:rightChars="0" w:firstLine="480" w:firstLineChars="200"/>
              <w:rPr>
                <w:color w:val="auto"/>
              </w:rPr>
            </w:pPr>
            <w:r>
              <w:rPr>
                <w:rFonts w:hint="eastAsia"/>
                <w:color w:val="auto"/>
              </w:rPr>
              <w:t>工程建设过程中造成水土流失的因素包括自然因素和人为因素，自然因素是引起水土流失的潜在因素，包括降雨因子、地形因子、植被因子和土壤抗蚀性和抗冲性；人为因素包括土方开挖回填、临时堆土等因素，是造成新增水土流失的主导因素。基础开挖回填、场地平整，表土剥离及堆放等施工活动，扰动土地和原地貌，形成一定面积的裸露地表及松散堆积物不仅抗冲抗蚀性差，而且为水土流失的发生提供了物质来源，加剧了水土流失。对于工程建设过程造成水土流失本工程会根据工程区实际需要进行开挖临时排水沟、覆盖等措施减少水土流失，且在主体工程设计中包含了绿化措施，水土流失会逐年减少。</w:t>
            </w:r>
            <w:r>
              <w:rPr>
                <w:rFonts w:hint="eastAsia" w:ascii="Times New Roman" w:hAnsi="Times New Roman" w:eastAsia="宋体" w:cs="Times New Roman"/>
                <w:color w:val="auto"/>
                <w:lang w:val="en-US" w:eastAsia="zh-CN"/>
              </w:rPr>
              <w:t>项目采取的水土保持工程量为：工程措施：表土剥离0.99万m³，植物措施：撒播狗牙根32.76kg。临时措施：袋装土石临时拦挡填筑与拆除工程量为  695m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p w14:paraId="21190EF3">
            <w:pPr>
              <w:pStyle w:val="37"/>
              <w:numPr>
                <w:ilvl w:val="0"/>
                <w:numId w:val="0"/>
              </w:numPr>
              <w:bidi w:val="0"/>
              <w:ind w:left="0" w:leftChars="0" w:right="0" w:rightChars="0" w:firstLine="482" w:firstLineChars="200"/>
              <w:rPr>
                <w:b/>
                <w:bCs/>
                <w:color w:val="auto"/>
              </w:rPr>
            </w:pPr>
            <w:r>
              <w:rPr>
                <w:rFonts w:hint="eastAsia" w:ascii="Times New Roman" w:hAnsi="Times New Roman" w:eastAsia="宋体" w:cs="Times New Roman"/>
                <w:b/>
                <w:bCs/>
                <w:color w:val="auto"/>
                <w:kern w:val="0"/>
                <w:sz w:val="24"/>
                <w:szCs w:val="24"/>
                <w:lang w:val="en-US" w:eastAsia="zh-CN" w:bidi="ar-SA"/>
              </w:rPr>
              <w:t>二、</w:t>
            </w:r>
            <w:r>
              <w:rPr>
                <w:b/>
                <w:bCs/>
                <w:color w:val="auto"/>
              </w:rPr>
              <w:t>施工期污染影响分析</w:t>
            </w:r>
          </w:p>
          <w:p w14:paraId="7BC5B233">
            <w:pPr>
              <w:numPr>
                <w:ilvl w:val="0"/>
                <w:numId w:val="0"/>
              </w:numPr>
              <w:spacing w:line="360" w:lineRule="auto"/>
              <w:ind w:firstLine="482" w:firstLineChars="200"/>
              <w:rPr>
                <w:rFonts w:hint="default" w:ascii="Times New Roman" w:hAnsi="Times New Roman" w:cs="Times New Roman"/>
                <w:b/>
                <w:bCs/>
                <w:color w:val="auto"/>
                <w:sz w:val="24"/>
                <w:lang w:bidi="ar"/>
              </w:rPr>
            </w:pPr>
            <w:r>
              <w:rPr>
                <w:rFonts w:hint="eastAsia"/>
                <w:b/>
                <w:bCs/>
                <w:color w:val="auto"/>
                <w:lang w:val="en-US" w:eastAsia="zh-CN"/>
              </w:rPr>
              <w:t>1</w:t>
            </w:r>
            <w:r>
              <w:rPr>
                <w:b/>
                <w:bCs/>
                <w:color w:val="auto"/>
              </w:rPr>
              <w:t>、</w:t>
            </w:r>
            <w:r>
              <w:rPr>
                <w:rFonts w:hint="default" w:ascii="Times New Roman" w:hAnsi="Times New Roman" w:cs="Times New Roman"/>
                <w:b/>
                <w:bCs/>
                <w:color w:val="auto"/>
                <w:sz w:val="24"/>
                <w:lang w:bidi="ar"/>
              </w:rPr>
              <w:t>大气环境影响分析</w:t>
            </w:r>
          </w:p>
          <w:p w14:paraId="5F262A86">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lang w:bidi="ar"/>
              </w:rPr>
              <w:t>项目施工期大气污染主要来源于施工机械及机动车辆燃油排放的废气、工程施工</w:t>
            </w:r>
            <w:r>
              <w:rPr>
                <w:rFonts w:hint="default" w:ascii="Times New Roman" w:hAnsi="Times New Roman" w:cs="Times New Roman"/>
                <w:color w:val="auto"/>
                <w:kern w:val="0"/>
                <w:sz w:val="24"/>
                <w:lang w:eastAsia="zh-CN" w:bidi="ar"/>
              </w:rPr>
              <w:t>及交通</w:t>
            </w:r>
            <w:r>
              <w:rPr>
                <w:rFonts w:hint="default" w:ascii="Times New Roman" w:hAnsi="Times New Roman" w:cs="Times New Roman"/>
                <w:color w:val="auto"/>
                <w:kern w:val="0"/>
                <w:sz w:val="24"/>
                <w:lang w:bidi="ar"/>
              </w:rPr>
              <w:t>运输产生的扬尘。废气会给施工区的大气环境及施工人员带来不利影响，工程建设和交通扬尘会对主干道交通和附近生活居民带来一定影响。由于施工区地形开阔，扩散条件较好</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施工期对施工场进行洒水降尘，堆放物料进行遮盖，及时进行地面清扫，减轻施工扬尘对周围环境的影响；施工机械、</w:t>
            </w:r>
            <w:r>
              <w:rPr>
                <w:rFonts w:hint="default" w:ascii="Times New Roman" w:hAnsi="Times New Roman" w:cs="Times New Roman"/>
                <w:color w:val="auto"/>
                <w:kern w:val="0"/>
                <w:sz w:val="24"/>
                <w:lang w:eastAsia="zh-CN" w:bidi="ar"/>
              </w:rPr>
              <w:t>车辆</w:t>
            </w:r>
            <w:r>
              <w:rPr>
                <w:rFonts w:hint="default" w:ascii="Times New Roman" w:hAnsi="Times New Roman" w:cs="Times New Roman"/>
                <w:color w:val="auto"/>
                <w:kern w:val="0"/>
                <w:sz w:val="24"/>
                <w:lang w:bidi="ar"/>
              </w:rPr>
              <w:t>均采用优质油品，加强施工机</w:t>
            </w:r>
            <w:r>
              <w:rPr>
                <w:rFonts w:hint="default" w:ascii="Times New Roman" w:hAnsi="Times New Roman" w:cs="Times New Roman"/>
                <w:color w:val="auto"/>
                <w:sz w:val="24"/>
              </w:rPr>
              <w:t>械、</w:t>
            </w:r>
            <w:r>
              <w:rPr>
                <w:rFonts w:hint="default" w:ascii="Times New Roman" w:hAnsi="Times New Roman" w:cs="Times New Roman"/>
                <w:color w:val="auto"/>
                <w:sz w:val="24"/>
                <w:lang w:eastAsia="zh-CN"/>
              </w:rPr>
              <w:t>车辆</w:t>
            </w:r>
            <w:r>
              <w:rPr>
                <w:rFonts w:hint="default" w:ascii="Times New Roman" w:hAnsi="Times New Roman" w:cs="Times New Roman"/>
                <w:color w:val="auto"/>
                <w:sz w:val="24"/>
              </w:rPr>
              <w:t>的维修和保养等措施，减少废气排放对周围环境的影响。</w:t>
            </w:r>
          </w:p>
          <w:p w14:paraId="50096069">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（1）运输车辆和施工机械燃油对环境的影响</w:t>
            </w:r>
          </w:p>
          <w:p w14:paraId="743FF6AB">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建筑施工过程用到的施工机械，主要有挖掘机、装载机</w:t>
            </w:r>
            <w:r>
              <w:rPr>
                <w:rFonts w:hint="eastAsia" w:ascii="Times New Roman" w:hAnsi="Times New Roman" w:cs="Times New Roman"/>
                <w:color w:val="auto"/>
                <w:sz w:val="24"/>
                <w:lang w:eastAsia="zh-CN" w:bidi="ar"/>
              </w:rPr>
              <w:t>、运输车辆</w:t>
            </w:r>
            <w:r>
              <w:rPr>
                <w:rFonts w:hint="default" w:ascii="Times New Roman" w:hAnsi="Times New Roman" w:cs="Times New Roman"/>
                <w:color w:val="auto"/>
                <w:sz w:val="24"/>
                <w:lang w:bidi="ar"/>
              </w:rPr>
              <w:t>等机械，它们以柴油为燃料，均会产生一定量废气，包括CO、HC、NOx 等，考虑其排放量不大，影响范围有限，且工程施工路线长、</w:t>
            </w:r>
            <w:r>
              <w:rPr>
                <w:rFonts w:hint="eastAsia" w:ascii="Times New Roman" w:hAnsi="Times New Roman" w:cs="Times New Roman"/>
                <w:color w:val="auto"/>
                <w:sz w:val="24"/>
                <w:lang w:eastAsia="zh-CN" w:bidi="ar"/>
              </w:rPr>
              <w:t>工程较分散、</w:t>
            </w:r>
            <w:r>
              <w:rPr>
                <w:rFonts w:hint="default" w:ascii="Times New Roman" w:hAnsi="Times New Roman" w:cs="Times New Roman"/>
                <w:color w:val="auto"/>
                <w:sz w:val="24"/>
                <w:lang w:bidi="ar"/>
              </w:rPr>
              <w:t>污染源较分散，故可以认为其对环境影响比较小。这些施工机械所排放的废气以无组织面源的形式排放，但经周围大气稀释扩散后，对环境敏感保护目标影响很小。</w:t>
            </w:r>
          </w:p>
          <w:p w14:paraId="3DC0DC0A">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因此，建设方必须合理安排工期和施工时间，加强施工管理，按规定要求采取治理措施，当施工机械进入施工现场时，尽量确保正常运行时间，减少怠速、减速和加速时间，另外，所有施工机械使用满足环保标准的施工机械，禁止无环保合格标志机械进入施工场地。对排烟大的施工机械安装消烟装置，以减轻对大气环境的污染，将影响控制在较低程度。虽然项目施工期机动车尾气对附近环境敏感点造成一定的影响，但随着施工结束，其影响也将消失，不会造成长期的影响。</w:t>
            </w:r>
          </w:p>
          <w:p w14:paraId="72EB570B">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（2）扬尘对环境的影响</w:t>
            </w:r>
          </w:p>
          <w:p w14:paraId="410ABF8B">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工程施工对大气环境影响的另一主要因素是施工期间产生的扬尘，施工扬尘主要包括</w:t>
            </w:r>
            <w:r>
              <w:rPr>
                <w:rFonts w:hint="default" w:ascii="Times New Roman" w:hAnsi="Times New Roman" w:cs="Times New Roman"/>
                <w:color w:val="auto"/>
                <w:sz w:val="24"/>
                <w:lang w:eastAsia="zh-CN" w:bidi="ar"/>
              </w:rPr>
              <w:t>三</w:t>
            </w:r>
            <w:r>
              <w:rPr>
                <w:rFonts w:hint="default" w:ascii="Times New Roman" w:hAnsi="Times New Roman" w:cs="Times New Roman"/>
                <w:color w:val="auto"/>
                <w:sz w:val="24"/>
                <w:lang w:bidi="ar"/>
              </w:rPr>
              <w:t>个方面来源，一是土石方开挖产生扬尘、</w:t>
            </w:r>
            <w:r>
              <w:rPr>
                <w:rFonts w:hint="eastAsia" w:ascii="Times New Roman" w:hAnsi="Times New Roman" w:cs="Times New Roman"/>
                <w:color w:val="auto"/>
                <w:sz w:val="24"/>
                <w:lang w:eastAsia="zh-CN" w:bidi="ar"/>
              </w:rPr>
              <w:t>二是</w:t>
            </w:r>
            <w:r>
              <w:rPr>
                <w:rFonts w:hint="default" w:ascii="Times New Roman" w:hAnsi="Times New Roman" w:cs="Times New Roman"/>
                <w:color w:val="auto"/>
                <w:sz w:val="24"/>
                <w:lang w:bidi="ar"/>
              </w:rPr>
              <w:t>施工机械和运输车辆产生的扬尘</w:t>
            </w:r>
            <w:r>
              <w:rPr>
                <w:rFonts w:hint="default" w:ascii="Times New Roman" w:hAnsi="Times New Roman" w:cs="Times New Roman"/>
                <w:color w:val="auto"/>
                <w:sz w:val="24"/>
                <w:lang w:eastAsia="zh-CN" w:bidi="ar"/>
              </w:rPr>
              <w:t>、三是</w:t>
            </w:r>
            <w:r>
              <w:rPr>
                <w:rFonts w:hint="default" w:ascii="Times New Roman" w:hAnsi="Times New Roman" w:cs="Times New Roman"/>
                <w:color w:val="auto"/>
                <w:sz w:val="24"/>
                <w:lang w:bidi="ar"/>
              </w:rPr>
              <w:t>露天堆场和裸露场地的风力扬尘。</w:t>
            </w:r>
          </w:p>
          <w:p w14:paraId="06871755">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土石方开挖是施工</w:t>
            </w:r>
            <w:r>
              <w:rPr>
                <w:rFonts w:hint="default" w:ascii="Times New Roman" w:hAnsi="Times New Roman" w:cs="Times New Roman"/>
                <w:color w:val="auto"/>
                <w:sz w:val="24"/>
                <w:lang w:eastAsia="zh-CN" w:bidi="ar"/>
              </w:rPr>
              <w:t>扬尘</w:t>
            </w:r>
            <w:r>
              <w:rPr>
                <w:rFonts w:hint="default" w:ascii="Times New Roman" w:hAnsi="Times New Roman" w:cs="Times New Roman"/>
                <w:color w:val="auto"/>
                <w:sz w:val="24"/>
                <w:lang w:bidi="ar"/>
              </w:rPr>
              <w:t>的主要来源，由于施工需要，一些建材需露天堆放，一些施工表层土壤开挖和堆放都会产生扬尘。因此，及时将开挖土方回填，减少建材的露天堆放，可最大程度上减轻扬尘对周边大气环境的影响。对现场施工人员加强管理和劳动保护并做好的降尘措施，包括场地设置围挡、建筑材料进行覆盖、洒水降尘等措施，控制局部路段车速，降低施工区及道路交通的扬尘量</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以防对居民造成大的影响。</w:t>
            </w:r>
          </w:p>
          <w:p w14:paraId="6EDF42C7">
            <w:pPr>
              <w:pStyle w:val="37"/>
              <w:numPr>
                <w:ilvl w:val="0"/>
                <w:numId w:val="0"/>
              </w:numPr>
              <w:bidi w:val="0"/>
              <w:ind w:left="0" w:leftChars="0" w:right="0" w:rightChars="0" w:firstLine="482" w:firstLineChars="200"/>
              <w:rPr>
                <w:rFonts w:hint="eastAsia"/>
                <w:b/>
                <w:bCs/>
                <w:color w:val="auto"/>
                <w:lang w:eastAsia="zh-CN"/>
              </w:rPr>
            </w:pPr>
            <w:r>
              <w:rPr>
                <w:rFonts w:hint="eastAsia" w:ascii="Times New Roman" w:hAnsi="Times New Roman" w:eastAsia="宋体" w:cs="Times New Roman"/>
                <w:b/>
                <w:bCs/>
                <w:color w:val="auto"/>
                <w:kern w:val="0"/>
                <w:sz w:val="24"/>
                <w:szCs w:val="24"/>
                <w:lang w:val="en-US" w:eastAsia="zh-CN" w:bidi="ar-SA"/>
              </w:rPr>
              <w:t>（2）</w:t>
            </w:r>
            <w:r>
              <w:rPr>
                <w:rFonts w:hint="eastAsia"/>
                <w:b/>
                <w:bCs/>
                <w:color w:val="auto"/>
                <w:lang w:eastAsia="zh-CN"/>
              </w:rPr>
              <w:t>地表水环境影响分析</w:t>
            </w:r>
          </w:p>
          <w:p w14:paraId="48F0E394">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施工期排放的废水主要包括施工废水和生活污水</w:t>
            </w:r>
            <w:r>
              <w:rPr>
                <w:rFonts w:hint="eastAsia" w:ascii="Times New Roman" w:hAnsi="Times New Roman" w:cs="Times New Roman"/>
                <w:color w:val="auto"/>
                <w:kern w:val="0"/>
                <w:sz w:val="24"/>
                <w:lang w:eastAsia="zh-CN" w:bidi="ar"/>
              </w:rPr>
              <w:t>及地表径流</w:t>
            </w:r>
            <w:r>
              <w:rPr>
                <w:rFonts w:hint="default" w:ascii="Times New Roman" w:hAnsi="Times New Roman" w:cs="Times New Roman"/>
                <w:color w:val="auto"/>
                <w:kern w:val="0"/>
                <w:sz w:val="24"/>
                <w:lang w:bidi="ar"/>
              </w:rPr>
              <w:t>。</w:t>
            </w:r>
          </w:p>
          <w:p w14:paraId="3BF81DE0">
            <w:pPr>
              <w:widowControl/>
              <w:spacing w:line="360" w:lineRule="auto"/>
              <w:ind w:firstLine="480" w:firstLineChars="200"/>
              <w:jc w:val="left"/>
              <w:rPr>
                <w:rFonts w:hint="default" w:ascii="Times New Roman" w:hAnsi="Times New Roman" w:eastAsia="宋体" w:cs="Times New Roman"/>
                <w:color w:val="auto"/>
                <w:kern w:val="0"/>
                <w:sz w:val="24"/>
                <w:lang w:eastAsia="zh-CN" w:bidi="ar"/>
              </w:rPr>
            </w:pP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1</w:t>
            </w:r>
            <w:r>
              <w:rPr>
                <w:rFonts w:hint="default" w:ascii="Times New Roman" w:hAnsi="Times New Roman" w:cs="Times New Roman"/>
                <w:color w:val="auto"/>
                <w:kern w:val="0"/>
                <w:sz w:val="24"/>
                <w:lang w:eastAsia="zh-CN" w:bidi="ar"/>
              </w:rPr>
              <w:t>）施工废水</w:t>
            </w:r>
          </w:p>
          <w:p w14:paraId="0CD82BEE">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机械清洗废水主要包括砂石系统、混凝土拌和系统和工具冲洗、养护等产生的废水，属无毒废水，主要污染物为SS 、石油类，呈碱性，其影响范围主要是近河段水体，使河流水体悬浮物增大，水质受到不同程度污染。</w:t>
            </w:r>
          </w:p>
          <w:p w14:paraId="3C86B88E">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本项目建设所使用的石料均为外购，在施工场地内不设砂石料加工系统。工程建设过程中混凝土</w:t>
            </w:r>
            <w:r>
              <w:rPr>
                <w:rFonts w:hint="eastAsia" w:ascii="Times New Roman" w:hAnsi="Times New Roman" w:cs="Times New Roman"/>
                <w:color w:val="auto"/>
                <w:kern w:val="0"/>
                <w:sz w:val="24"/>
                <w:lang w:eastAsia="zh-CN" w:bidi="ar"/>
              </w:rPr>
              <w:t>使用较少</w:t>
            </w:r>
            <w:r>
              <w:rPr>
                <w:rFonts w:hint="default" w:ascii="Times New Roman" w:hAnsi="Times New Roman" w:cs="Times New Roman"/>
                <w:color w:val="auto"/>
                <w:kern w:val="0"/>
                <w:sz w:val="24"/>
                <w:lang w:bidi="ar"/>
              </w:rPr>
              <w:t>，使用位置较为分散，混凝土拌和设施采用分散布置、分散拌和、分散供料的原则。混凝土拌和站及相应的骨料堆放场均布置在河岸公路边，根据堤线长度，均衡布置，采用移动式混凝土搅拌站，每个拌和站设1台0.4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混凝土搅拌机，本工程全线共使用</w:t>
            </w:r>
            <w:r>
              <w:rPr>
                <w:rFonts w:hint="eastAsia" w:ascii="Times New Roman" w:hAnsi="Times New Roman" w:cs="Times New Roman"/>
                <w:color w:val="auto"/>
                <w:kern w:val="0"/>
                <w:sz w:val="24"/>
                <w:lang w:val="en-US" w:eastAsia="zh-CN" w:bidi="ar"/>
              </w:rPr>
              <w:t>2</w:t>
            </w:r>
            <w:r>
              <w:rPr>
                <w:rFonts w:hint="default" w:ascii="Times New Roman" w:hAnsi="Times New Roman" w:cs="Times New Roman"/>
                <w:color w:val="auto"/>
                <w:kern w:val="0"/>
                <w:sz w:val="24"/>
                <w:lang w:bidi="ar"/>
              </w:rPr>
              <w:t>台0.4m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砼搅拌机。按混凝土搅拌机每天生产两台班计，每台班冲洗一次，类比同规模工程，搅拌机每次冲洗废水量约1m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，则每天废水产生量约</w:t>
            </w:r>
            <w:r>
              <w:rPr>
                <w:rFonts w:hint="eastAsia" w:ascii="Times New Roman" w:hAnsi="Times New Roman" w:cs="Times New Roman"/>
                <w:color w:val="auto"/>
                <w:kern w:val="0"/>
                <w:sz w:val="24"/>
                <w:lang w:val="en-US" w:eastAsia="zh-CN" w:bidi="ar"/>
              </w:rPr>
              <w:t>4</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w:t>
            </w:r>
          </w:p>
          <w:p w14:paraId="31E44FEB">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lang w:bidi="ar"/>
              </w:rPr>
              <w:t>在每个混凝土搅拌机旁边设置一个废水收集桶，机械清洗废水沉淀处理后排入二次沉淀桶收集上清液，处理后的上清液综合利用于工具清洗、养护及后期的混凝土拌和和施工现场洒水抑尘，不外排，沉砂回用于施工。</w:t>
            </w:r>
          </w:p>
          <w:p w14:paraId="19629578">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w:t>
            </w:r>
            <w:r>
              <w:rPr>
                <w:rFonts w:hint="eastAsia" w:ascii="Times New Roman" w:hAnsi="Times New Roman" w:cs="Times New Roman"/>
                <w:color w:val="auto"/>
                <w:sz w:val="24"/>
                <w:lang w:eastAsia="zh-CN" w:bidi="ar"/>
              </w:rPr>
              <w:t>生活污水</w:t>
            </w:r>
          </w:p>
          <w:p w14:paraId="18091EF5">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eastAsia="zh-CN" w:bidi="ar"/>
              </w:rPr>
              <w:t>项目</w:t>
            </w:r>
            <w:r>
              <w:rPr>
                <w:rFonts w:hint="default" w:ascii="Times New Roman" w:hAnsi="Times New Roman" w:cs="Times New Roman"/>
                <w:color w:val="auto"/>
                <w:sz w:val="24"/>
                <w:lang w:bidi="ar"/>
              </w:rPr>
              <w:t>施工期共有</w:t>
            </w:r>
            <w:r>
              <w:rPr>
                <w:rFonts w:hint="eastAsia" w:ascii="Times New Roman" w:hAnsi="Times New Roman" w:cs="Times New Roman"/>
                <w:color w:val="auto"/>
                <w:sz w:val="24"/>
                <w:lang w:val="en-US" w:eastAsia="zh-CN" w:bidi="ar"/>
              </w:rPr>
              <w:t>75</w:t>
            </w:r>
            <w:r>
              <w:rPr>
                <w:rFonts w:hint="default" w:ascii="Times New Roman" w:hAnsi="Times New Roman" w:cs="Times New Roman"/>
                <w:color w:val="auto"/>
                <w:sz w:val="24"/>
                <w:lang w:bidi="ar"/>
              </w:rPr>
              <w:t>人，</w:t>
            </w:r>
            <w:r>
              <w:rPr>
                <w:rFonts w:hint="default" w:ascii="Times New Roman" w:hAnsi="Times New Roman" w:eastAsia="宋体" w:cs="Times New Roman"/>
                <w:color w:val="auto"/>
                <w:kern w:val="0"/>
                <w:sz w:val="24"/>
                <w:lang w:val="en-US" w:eastAsia="zh-CN" w:bidi="ar"/>
              </w:rPr>
              <w:t>租赁周边村庄房屋办公及食宿，</w:t>
            </w:r>
            <w:r>
              <w:rPr>
                <w:rFonts w:hint="default" w:ascii="Times New Roman" w:hAnsi="Times New Roman" w:cs="Times New Roman"/>
                <w:color w:val="auto"/>
                <w:sz w:val="24"/>
                <w:lang w:bidi="ar"/>
              </w:rPr>
              <w:t>均不在项目区食宿，生活污水仅涉及少量的洗手、如厕废水，人均用水量按照25L/人.d计，则施工人员日用水量约1.</w:t>
            </w:r>
            <w:r>
              <w:rPr>
                <w:rFonts w:hint="eastAsia" w:ascii="Times New Roman" w:hAnsi="Times New Roman" w:cs="Times New Roman"/>
                <w:color w:val="auto"/>
                <w:sz w:val="24"/>
                <w:lang w:val="en-US" w:eastAsia="zh-CN" w:bidi="ar"/>
              </w:rPr>
              <w:t>87</w:t>
            </w:r>
            <w:r>
              <w:rPr>
                <w:rFonts w:hint="default" w:ascii="Times New Roman" w:hAnsi="Times New Roman" w:cs="Times New Roman"/>
                <w:color w:val="auto"/>
                <w:sz w:val="24"/>
                <w:lang w:bidi="ar"/>
              </w:rPr>
              <w:t>m</w:t>
            </w:r>
            <w:r>
              <w:rPr>
                <w:rFonts w:hint="default" w:ascii="Times New Roman" w:hAnsi="Times New Roman" w:cs="Times New Roman"/>
                <w:color w:val="auto"/>
                <w:sz w:val="24"/>
                <w:vertAlign w:val="superscript"/>
                <w:lang w:bidi="ar"/>
              </w:rPr>
              <w:t>3</w:t>
            </w:r>
            <w:r>
              <w:rPr>
                <w:rFonts w:hint="default" w:ascii="Times New Roman" w:hAnsi="Times New Roman" w:cs="Times New Roman"/>
                <w:color w:val="auto"/>
                <w:sz w:val="24"/>
                <w:lang w:bidi="ar"/>
              </w:rPr>
              <w:t>/d，废水排放系数取0.8，则施工期施工人员</w:t>
            </w:r>
            <w:r>
              <w:rPr>
                <w:rFonts w:hint="eastAsia" w:ascii="Times New Roman" w:hAnsi="Times New Roman" w:cs="Times New Roman"/>
                <w:color w:val="auto"/>
                <w:sz w:val="24"/>
                <w:lang w:eastAsia="zh-CN" w:bidi="ar"/>
              </w:rPr>
              <w:t>生活污水</w:t>
            </w:r>
            <w:r>
              <w:rPr>
                <w:rFonts w:hint="default" w:ascii="Times New Roman" w:hAnsi="Times New Roman" w:cs="Times New Roman"/>
                <w:color w:val="auto"/>
                <w:sz w:val="24"/>
                <w:lang w:bidi="ar"/>
              </w:rPr>
              <w:t>产生量为</w:t>
            </w:r>
            <w:r>
              <w:rPr>
                <w:rFonts w:hint="eastAsia" w:ascii="Times New Roman" w:hAnsi="Times New Roman" w:cs="Times New Roman"/>
                <w:color w:val="auto"/>
                <w:sz w:val="24"/>
                <w:lang w:val="en-US" w:eastAsia="zh-CN" w:bidi="ar"/>
              </w:rPr>
              <w:t>1.5</w:t>
            </w:r>
            <w:r>
              <w:rPr>
                <w:rFonts w:hint="default" w:ascii="Times New Roman" w:hAnsi="Times New Roman" w:cs="Times New Roman"/>
                <w:color w:val="auto"/>
                <w:sz w:val="24"/>
                <w:lang w:bidi="ar"/>
              </w:rPr>
              <w:t>m</w:t>
            </w:r>
            <w:r>
              <w:rPr>
                <w:rFonts w:hint="default" w:ascii="Times New Roman" w:hAnsi="Times New Roman" w:cs="Times New Roman"/>
                <w:color w:val="auto"/>
                <w:sz w:val="24"/>
                <w:vertAlign w:val="superscript"/>
                <w:lang w:bidi="ar"/>
              </w:rPr>
              <w:t>3</w:t>
            </w:r>
            <w:r>
              <w:rPr>
                <w:rFonts w:hint="default" w:ascii="Times New Roman" w:hAnsi="Times New Roman" w:cs="Times New Roman"/>
                <w:color w:val="auto"/>
                <w:sz w:val="24"/>
                <w:lang w:bidi="ar"/>
              </w:rPr>
              <w:t>/d。该部分废水依托村落及乡镇现有生活设施解决生活污水排放问题，废水不外排。</w:t>
            </w:r>
          </w:p>
          <w:p w14:paraId="63D05E7D">
            <w:pPr>
              <w:spacing w:line="360" w:lineRule="auto"/>
              <w:ind w:firstLine="480" w:firstLineChars="200"/>
              <w:rPr>
                <w:rFonts w:hint="default" w:ascii="Times New Roman" w:hAnsi="Times New Roman" w:cs="Times New Roman"/>
                <w:color w:val="auto"/>
                <w:lang w:eastAsia="zh-CN"/>
              </w:rPr>
            </w:pPr>
            <w:r>
              <w:rPr>
                <w:rFonts w:hint="eastAsia" w:cs="Times New Roman"/>
                <w:color w:val="auto"/>
                <w:lang w:eastAsia="zh-CN"/>
              </w:rPr>
              <w:t>（</w:t>
            </w:r>
            <w:r>
              <w:rPr>
                <w:rFonts w:hint="eastAsia" w:cs="Times New Roman"/>
                <w:color w:val="auto"/>
                <w:lang w:val="en-US" w:eastAsia="zh-CN"/>
              </w:rPr>
              <w:t>3</w:t>
            </w:r>
            <w:r>
              <w:rPr>
                <w:rFonts w:hint="eastAsia" w:cs="Times New Roman"/>
                <w:color w:val="auto"/>
                <w:lang w:eastAsia="zh-CN"/>
              </w:rPr>
              <w:t>）</w:t>
            </w:r>
            <w:r>
              <w:rPr>
                <w:rFonts w:hint="default" w:ascii="Times New Roman" w:hAnsi="Times New Roman" w:cs="Times New Roman"/>
                <w:color w:val="auto"/>
                <w:lang w:eastAsia="zh-CN"/>
              </w:rPr>
              <w:t>雨天形成地表径流污染的影响分析</w:t>
            </w:r>
          </w:p>
          <w:p w14:paraId="44324F16">
            <w:pPr>
              <w:spacing w:line="360" w:lineRule="auto"/>
              <w:ind w:firstLine="480" w:firstLineChars="200"/>
              <w:rPr>
                <w:rFonts w:hint="eastAsia" w:ascii="Times New Roman" w:hAnsi="Times New Roman" w:eastAsia="宋体" w:cs="Times New Roman"/>
                <w:color w:val="auto"/>
                <w:sz w:val="24"/>
                <w:lang w:val="en-US" w:eastAsia="zh-CN" w:bidi="ar"/>
              </w:rPr>
            </w:pPr>
            <w:r>
              <w:rPr>
                <w:rFonts w:hint="default" w:ascii="Times New Roman" w:hAnsi="Times New Roman" w:cs="Times New Roman"/>
                <w:color w:val="auto"/>
                <w:lang w:eastAsia="zh-CN"/>
              </w:rPr>
              <w:t>项目场内</w:t>
            </w:r>
            <w:r>
              <w:rPr>
                <w:rFonts w:hint="eastAsia" w:cs="Times New Roman"/>
                <w:color w:val="auto"/>
                <w:lang w:eastAsia="zh-CN"/>
              </w:rPr>
              <w:t>临时</w:t>
            </w:r>
            <w:r>
              <w:rPr>
                <w:rFonts w:hint="default" w:ascii="Times New Roman" w:hAnsi="Times New Roman" w:cs="Times New Roman"/>
                <w:color w:val="auto"/>
                <w:lang w:eastAsia="zh-CN"/>
              </w:rPr>
              <w:t>道路修建、</w:t>
            </w:r>
            <w:r>
              <w:rPr>
                <w:rFonts w:hint="eastAsia" w:cs="Times New Roman"/>
                <w:color w:val="auto"/>
                <w:lang w:eastAsia="zh-CN"/>
              </w:rPr>
              <w:t>临时堆土场</w:t>
            </w:r>
            <w:r>
              <w:rPr>
                <w:rFonts w:hint="default" w:ascii="Times New Roman" w:hAnsi="Times New Roman" w:cs="Times New Roman"/>
                <w:color w:val="auto"/>
                <w:lang w:eastAsia="zh-CN"/>
              </w:rPr>
              <w:t>，在施工期遇到下大雨，雨水形成地表径流冲刷浮土、建筑砂石等形成的泥浆水，会携带大量泥沙、水泥、油类及其它地表固体污染物。当其进入水体后会造成水体污染，致使水体水质下降。</w:t>
            </w:r>
            <w:r>
              <w:rPr>
                <w:rFonts w:hint="eastAsia" w:cs="Times New Roman"/>
                <w:color w:val="auto"/>
                <w:lang w:eastAsia="zh-CN"/>
              </w:rPr>
              <w:t>由于项目</w:t>
            </w:r>
            <w:r>
              <w:rPr>
                <w:rFonts w:hint="default" w:ascii="Times New Roman" w:hAnsi="Times New Roman" w:cs="Times New Roman"/>
                <w:color w:val="auto"/>
                <w:lang w:eastAsia="zh-CN"/>
              </w:rPr>
              <w:t>动土面积相对较小，径流的面源污染相对较小。</w:t>
            </w:r>
            <w:r>
              <w:rPr>
                <w:rFonts w:hint="default" w:ascii="Times New Roman" w:hAnsi="Times New Roman" w:eastAsia="宋体" w:cs="Times New Roman"/>
                <w:color w:val="auto"/>
                <w:lang w:val="en-US" w:eastAsia="zh-CN"/>
              </w:rPr>
              <w:t>合理安排工期，施工过程选择在枯水期进行；施工过程中临时堆土采取覆盖措施，建筑材料、弃渣堆场应远离河道，并进行覆盖；靠近河道一侧的施工场地设置临时截流沟，地表径流截留、收集沉淀后回用于施工过程及周边植被绿化浇洒。</w:t>
            </w:r>
          </w:p>
          <w:p w14:paraId="6E11C3CB">
            <w:pPr>
              <w:spacing w:line="360" w:lineRule="auto"/>
              <w:ind w:firstLine="480" w:firstLineChars="200"/>
              <w:rPr>
                <w:rFonts w:hint="default" w:ascii="Times New Roman" w:hAnsi="Times New Roman" w:eastAsia="宋体" w:cs="Times New Roman"/>
                <w:color w:val="auto"/>
                <w:sz w:val="24"/>
                <w:lang w:val="en-US" w:eastAsia="zh-CN" w:bidi="ar"/>
              </w:rPr>
            </w:pPr>
            <w:r>
              <w:rPr>
                <w:rFonts w:hint="eastAsia" w:ascii="Times New Roman" w:hAnsi="Times New Roman" w:eastAsia="宋体" w:cs="Times New Roman"/>
                <w:color w:val="auto"/>
                <w:sz w:val="24"/>
                <w:lang w:val="en-US" w:eastAsia="zh-CN" w:bidi="ar"/>
              </w:rPr>
              <w:t>（4）</w:t>
            </w:r>
            <w:r>
              <w:rPr>
                <w:rFonts w:hint="default" w:ascii="Times New Roman" w:hAnsi="Times New Roman" w:eastAsia="宋体" w:cs="Times New Roman"/>
                <w:color w:val="auto"/>
                <w:sz w:val="24"/>
                <w:lang w:val="en-US" w:eastAsia="zh-CN" w:bidi="ar"/>
              </w:rPr>
              <w:t>施工期水文情势影响分析</w:t>
            </w:r>
          </w:p>
          <w:p w14:paraId="0F13F7D5">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根据《环境影响评价技术导则地表水环境》(HJ2.3-2018)5.13的相关要求，水文要素影响型建设项目评价因子，应根据建设项目对地表水体水文要素影响的特征确定。河流主要评价水面面积、水量、水温、径流过程、水位、水深、流速、水面宽、冲淤变化等因子。</w:t>
            </w:r>
          </w:p>
          <w:p w14:paraId="6103EEB8">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项目治理内容为在原河岸进行防洪</w:t>
            </w:r>
            <w:r>
              <w:rPr>
                <w:rFonts w:hint="eastAsia" w:ascii="Times New Roman" w:hAnsi="Times New Roman" w:eastAsia="宋体" w:cs="Times New Roman"/>
                <w:color w:val="auto"/>
                <w:sz w:val="24"/>
                <w:lang w:val="en-US" w:eastAsia="zh-CN" w:bidi="ar"/>
              </w:rPr>
              <w:t>护岸</w:t>
            </w:r>
            <w:r>
              <w:rPr>
                <w:rFonts w:hint="default" w:ascii="Times New Roman" w:hAnsi="Times New Roman" w:eastAsia="宋体" w:cs="Times New Roman"/>
                <w:color w:val="auto"/>
                <w:sz w:val="24"/>
                <w:lang w:val="en-US" w:eastAsia="zh-CN" w:bidi="ar"/>
              </w:rPr>
              <w:t>的建设，不进行清淤</w:t>
            </w:r>
            <w:r>
              <w:rPr>
                <w:rFonts w:hint="eastAsia" w:ascii="Times New Roman" w:hAnsi="Times New Roman" w:eastAsia="宋体" w:cs="Times New Roman"/>
                <w:color w:val="auto"/>
                <w:sz w:val="24"/>
                <w:lang w:val="en-US" w:eastAsia="zh-CN" w:bidi="ar"/>
              </w:rPr>
              <w:t>，且</w:t>
            </w:r>
            <w:r>
              <w:rPr>
                <w:rFonts w:hint="default" w:ascii="Times New Roman" w:hAnsi="Times New Roman" w:eastAsia="宋体" w:cs="Times New Roman"/>
                <w:color w:val="auto"/>
                <w:sz w:val="24"/>
                <w:lang w:val="en-US" w:eastAsia="zh-CN" w:bidi="ar"/>
              </w:rPr>
              <w:t>项目施工期间</w:t>
            </w:r>
            <w:r>
              <w:rPr>
                <w:rFonts w:hint="eastAsia" w:ascii="Times New Roman" w:hAnsi="Times New Roman" w:eastAsia="宋体" w:cs="Times New Roman"/>
                <w:color w:val="auto"/>
                <w:sz w:val="24"/>
                <w:lang w:val="en-US" w:eastAsia="zh-CN" w:bidi="ar"/>
              </w:rPr>
              <w:t>不</w:t>
            </w:r>
            <w:r>
              <w:rPr>
                <w:rFonts w:hint="default" w:ascii="Times New Roman" w:hAnsi="Times New Roman" w:eastAsia="宋体" w:cs="Times New Roman"/>
                <w:color w:val="auto"/>
                <w:sz w:val="24"/>
                <w:lang w:val="en-US" w:eastAsia="zh-CN" w:bidi="ar"/>
              </w:rPr>
              <w:t>进行施工导流，即项目施工期</w:t>
            </w:r>
            <w:r>
              <w:rPr>
                <w:rFonts w:hint="eastAsia" w:ascii="Times New Roman" w:hAnsi="Times New Roman" w:eastAsia="宋体" w:cs="Times New Roman"/>
                <w:color w:val="auto"/>
                <w:sz w:val="24"/>
                <w:lang w:val="en-US" w:eastAsia="zh-CN" w:bidi="ar"/>
              </w:rPr>
              <w:t>不涉及</w:t>
            </w:r>
            <w:r>
              <w:rPr>
                <w:rFonts w:hint="default" w:ascii="Times New Roman" w:hAnsi="Times New Roman" w:eastAsia="宋体" w:cs="Times New Roman"/>
                <w:color w:val="auto"/>
                <w:sz w:val="24"/>
                <w:lang w:val="en-US" w:eastAsia="zh-CN" w:bidi="ar"/>
              </w:rPr>
              <w:t>占用水面面积，项目的建设对河流水面面积、水量、水温、径流过程、水位、水深、流速、水面宽、冲淤变化影响不大</w:t>
            </w:r>
            <w:r>
              <w:rPr>
                <w:rFonts w:hint="eastAsia" w:ascii="Times New Roman" w:hAnsi="Times New Roman" w:eastAsia="宋体" w:cs="Times New Roman"/>
                <w:color w:val="auto"/>
                <w:sz w:val="24"/>
                <w:lang w:val="en-US" w:eastAsia="zh-CN" w:bidi="ar"/>
              </w:rPr>
              <w:t>，故项目施工期对芒市大河水文情势的影响较小。</w:t>
            </w:r>
          </w:p>
          <w:p w14:paraId="44260306">
            <w:pPr>
              <w:pStyle w:val="37"/>
              <w:numPr>
                <w:ilvl w:val="0"/>
                <w:numId w:val="0"/>
              </w:numPr>
              <w:bidi w:val="0"/>
              <w:ind w:right="0" w:rightChars="0"/>
              <w:rPr>
                <w:rFonts w:hint="eastAsia"/>
                <w:b w:val="0"/>
                <w:bCs w:val="0"/>
                <w:color w:val="auto"/>
                <w:lang w:eastAsia="zh-CN"/>
              </w:rPr>
            </w:pPr>
            <w:r>
              <w:rPr>
                <w:rFonts w:hint="eastAsia"/>
                <w:b w:val="0"/>
                <w:bCs w:val="0"/>
                <w:color w:val="auto"/>
                <w:lang w:val="en-US" w:eastAsia="zh-CN"/>
              </w:rPr>
              <w:t xml:space="preserve">   （5</w:t>
            </w:r>
            <w:r>
              <w:rPr>
                <w:rFonts w:hint="eastAsia"/>
                <w:b w:val="0"/>
                <w:bCs w:val="0"/>
                <w:color w:val="auto"/>
                <w:lang w:eastAsia="zh-CN"/>
              </w:rPr>
              <w:t>）</w:t>
            </w:r>
            <w:r>
              <w:rPr>
                <w:rFonts w:hint="eastAsia"/>
                <w:b w:val="0"/>
                <w:bCs w:val="0"/>
                <w:color w:val="auto"/>
              </w:rPr>
              <w:t>施工</w:t>
            </w:r>
            <w:r>
              <w:rPr>
                <w:rFonts w:hint="eastAsia"/>
                <w:b w:val="0"/>
                <w:bCs w:val="0"/>
                <w:color w:val="auto"/>
                <w:lang w:eastAsia="zh-CN"/>
              </w:rPr>
              <w:t>期对</w:t>
            </w:r>
            <w:r>
              <w:rPr>
                <w:rFonts w:hint="eastAsia"/>
                <w:b w:val="0"/>
                <w:bCs w:val="0"/>
                <w:color w:val="auto"/>
              </w:rPr>
              <w:t>地表水体</w:t>
            </w:r>
            <w:r>
              <w:rPr>
                <w:rFonts w:hint="eastAsia"/>
                <w:b w:val="0"/>
                <w:bCs w:val="0"/>
                <w:color w:val="auto"/>
                <w:lang w:eastAsia="zh-CN"/>
              </w:rPr>
              <w:t>水质的影响</w:t>
            </w:r>
          </w:p>
          <w:p w14:paraId="48A5A298">
            <w:pPr>
              <w:pStyle w:val="37"/>
              <w:numPr>
                <w:ilvl w:val="0"/>
                <w:numId w:val="0"/>
              </w:numPr>
              <w:bidi w:val="0"/>
              <w:ind w:right="0" w:rightChars="0" w:firstLine="480" w:firstLineChars="200"/>
              <w:rPr>
                <w:rFonts w:hint="eastAsia" w:eastAsia="宋体"/>
                <w:color w:val="auto"/>
                <w:lang w:eastAsia="zh-CN"/>
              </w:rPr>
            </w:pPr>
            <w:r>
              <w:rPr>
                <w:rFonts w:hint="eastAsia"/>
                <w:color w:val="auto"/>
              </w:rPr>
              <w:t>本工程</w:t>
            </w:r>
            <w:r>
              <w:rPr>
                <w:rFonts w:hint="eastAsia"/>
                <w:color w:val="auto"/>
                <w:lang w:eastAsia="zh-CN"/>
              </w:rPr>
              <w:t>护岸的建设涉</w:t>
            </w:r>
            <w:r>
              <w:rPr>
                <w:rFonts w:hint="eastAsia"/>
                <w:color w:val="auto"/>
              </w:rPr>
              <w:t>及涉水施工，</w:t>
            </w:r>
            <w:r>
              <w:rPr>
                <w:rFonts w:hint="eastAsia"/>
                <w:color w:val="auto"/>
                <w:lang w:eastAsia="zh-CN"/>
              </w:rPr>
              <w:t>但不进行施工导流</w:t>
            </w:r>
            <w:r>
              <w:rPr>
                <w:rFonts w:hint="eastAsia"/>
                <w:color w:val="auto"/>
              </w:rPr>
              <w:t>，</w:t>
            </w:r>
            <w:r>
              <w:rPr>
                <w:rFonts w:hint="eastAsia"/>
                <w:color w:val="auto"/>
                <w:lang w:eastAsia="zh-CN"/>
              </w:rPr>
              <w:t>对水体扰动较小。项目</w:t>
            </w:r>
            <w:r>
              <w:rPr>
                <w:rFonts w:hint="default" w:ascii="Times New Roman" w:hAnsi="Times New Roman" w:cs="Times New Roman"/>
                <w:color w:val="auto"/>
                <w:kern w:val="0"/>
                <w:sz w:val="24"/>
                <w:lang w:bidi="ar"/>
              </w:rPr>
              <w:t>在每个混凝土搅拌机旁边设置一个废水收集桶，机械清洗废水沉淀处理后排入二次沉淀桶收集上清液，处理后的上清液综合利用于工具清洗、养护及后期的混凝土拌和和施工现场洒水抑尘，不外排</w:t>
            </w:r>
            <w:r>
              <w:rPr>
                <w:rFonts w:hint="eastAsia" w:ascii="Times New Roman" w:hAnsi="Times New Roman" w:cs="Times New Roman"/>
                <w:color w:val="auto"/>
                <w:kern w:val="0"/>
                <w:sz w:val="24"/>
                <w:lang w:eastAsia="zh-CN" w:bidi="ar"/>
              </w:rPr>
              <w:t>，生活污水</w:t>
            </w:r>
            <w:r>
              <w:rPr>
                <w:rFonts w:hint="default" w:ascii="Times New Roman" w:hAnsi="Times New Roman" w:cs="Times New Roman"/>
                <w:color w:val="auto"/>
                <w:sz w:val="24"/>
                <w:lang w:bidi="ar"/>
              </w:rPr>
              <w:t>依托村落及乡镇现有生活设施解决生活污水排放问题，</w:t>
            </w:r>
            <w:r>
              <w:rPr>
                <w:rFonts w:hint="eastAsia" w:ascii="Times New Roman" w:hAnsi="Times New Roman" w:cs="Times New Roman"/>
                <w:color w:val="auto"/>
                <w:sz w:val="24"/>
                <w:lang w:eastAsia="zh-CN" w:bidi="ar"/>
              </w:rPr>
              <w:t>项目</w:t>
            </w:r>
            <w:r>
              <w:rPr>
                <w:rFonts w:hint="default" w:ascii="Times New Roman" w:hAnsi="Times New Roman" w:cs="Times New Roman"/>
                <w:color w:val="auto"/>
                <w:sz w:val="24"/>
                <w:lang w:bidi="ar"/>
              </w:rPr>
              <w:t>废水不外排</w:t>
            </w:r>
            <w:r>
              <w:rPr>
                <w:rFonts w:hint="eastAsia"/>
                <w:color w:val="auto"/>
                <w:lang w:eastAsia="zh-CN"/>
              </w:rPr>
              <w:t>，对地表水体水质影响较小。</w:t>
            </w:r>
          </w:p>
          <w:p w14:paraId="4E8D1275">
            <w:pPr>
              <w:pStyle w:val="37"/>
              <w:numPr>
                <w:ilvl w:val="0"/>
                <w:numId w:val="0"/>
              </w:numPr>
              <w:bidi w:val="0"/>
              <w:ind w:left="0" w:leftChars="0" w:right="0" w:rightChars="0" w:firstLine="480" w:firstLineChars="200"/>
              <w:rPr>
                <w:rFonts w:hint="eastAsia"/>
                <w:b w:val="0"/>
                <w:bCs w:val="0"/>
                <w:color w:val="auto"/>
                <w:lang w:val="en-US" w:eastAsia="zh-CN"/>
              </w:rPr>
            </w:pPr>
            <w:r>
              <w:rPr>
                <w:rFonts w:hint="eastAsia"/>
                <w:b w:val="0"/>
                <w:bCs w:val="0"/>
                <w:color w:val="auto"/>
                <w:lang w:val="en-US" w:eastAsia="zh-CN"/>
              </w:rPr>
              <w:t>（6）对工程治理段现有取水设施的影响</w:t>
            </w:r>
          </w:p>
          <w:p w14:paraId="1A63BA7A">
            <w:pPr>
              <w:pStyle w:val="37"/>
              <w:bidi w:val="0"/>
              <w:rPr>
                <w:rFonts w:hint="eastAsia" w:eastAsia="宋体"/>
                <w:color w:val="auto"/>
                <w:lang w:val="en-US" w:eastAsia="zh-CN"/>
              </w:rPr>
            </w:pPr>
            <w:r>
              <w:rPr>
                <w:rFonts w:hint="eastAsia"/>
                <w:color w:val="auto"/>
                <w:lang w:val="en-US" w:eastAsia="zh-CN"/>
              </w:rPr>
              <w:t>工程项目区不涉及居民饮用水取水要求，周边村庄饮水安全问题已基本解决，饮水工程大部分是集中供水方式，其水源类型为地下水，可以解决当地人畜安全饮水问题；工程范围河段也没有工业企业，不涉及相关企业的取用水要求。</w:t>
            </w:r>
          </w:p>
          <w:p w14:paraId="483AF3B6">
            <w:pPr>
              <w:pStyle w:val="37"/>
              <w:numPr>
                <w:ilvl w:val="0"/>
                <w:numId w:val="0"/>
              </w:numPr>
              <w:bidi w:val="0"/>
              <w:ind w:left="0" w:leftChars="0" w:right="0" w:rightChars="0" w:firstLine="482" w:firstLineChars="200"/>
              <w:rPr>
                <w:b/>
                <w:bCs/>
                <w:color w:val="auto"/>
              </w:rPr>
            </w:pPr>
            <w:r>
              <w:rPr>
                <w:rFonts w:ascii="Times New Roman" w:hAnsi="Times New Roman" w:eastAsia="宋体" w:cs="Times New Roman"/>
                <w:b/>
                <w:bCs/>
                <w:color w:val="auto"/>
                <w:kern w:val="0"/>
                <w:sz w:val="24"/>
                <w:szCs w:val="24"/>
                <w:lang w:val="en-US" w:eastAsia="zh-CN" w:bidi="ar-SA"/>
              </w:rPr>
              <w:t>4、</w:t>
            </w:r>
            <w:r>
              <w:rPr>
                <w:b/>
                <w:bCs/>
                <w:color w:val="auto"/>
              </w:rPr>
              <w:t>声环境影响分析</w:t>
            </w:r>
          </w:p>
          <w:p w14:paraId="2C67A5C8">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w:t>
            </w:r>
            <w:r>
              <w:rPr>
                <w:rFonts w:hint="eastAsia"/>
                <w:b/>
                <w:bCs/>
                <w:color w:val="auto"/>
                <w:sz w:val="24"/>
                <w:lang w:val="en-US" w:eastAsia="zh-CN"/>
              </w:rPr>
              <w:t>1</w:t>
            </w:r>
            <w:r>
              <w:rPr>
                <w:rFonts w:hint="eastAsia"/>
                <w:b/>
                <w:bCs/>
                <w:color w:val="auto"/>
                <w:sz w:val="24"/>
                <w:lang w:eastAsia="zh-CN"/>
              </w:rPr>
              <w:t>）</w:t>
            </w:r>
            <w:r>
              <w:rPr>
                <w:rFonts w:hint="default"/>
                <w:b/>
                <w:bCs/>
                <w:color w:val="auto"/>
                <w:sz w:val="24"/>
              </w:rPr>
              <w:t>噪声源强</w:t>
            </w:r>
          </w:p>
          <w:p w14:paraId="5B769D79">
            <w:pPr>
              <w:pStyle w:val="37"/>
              <w:bidi w:val="0"/>
              <w:rPr>
                <w:rFonts w:hint="default"/>
                <w:color w:val="auto"/>
                <w:sz w:val="24"/>
              </w:rPr>
            </w:pPr>
            <w:r>
              <w:rPr>
                <w:color w:val="auto"/>
              </w:rPr>
              <w:t>本工程在运营期不产生噪声，工程建设对声环境的不利影响主要</w:t>
            </w:r>
            <w:r>
              <w:rPr>
                <w:rFonts w:hint="eastAsia"/>
                <w:color w:val="auto"/>
                <w:lang w:eastAsia="zh-CN"/>
              </w:rPr>
              <w:t>来自</w:t>
            </w:r>
            <w:r>
              <w:rPr>
                <w:color w:val="auto"/>
              </w:rPr>
              <w:t>施工期机械噪声。根据施工设计，本工程使用的主要施工机械有：挖掘机、装载机、推土机、自卸汽车、载重汽车、汽车吊、砼搅拌机、插入式振捣器、自行式振动碾等。</w:t>
            </w:r>
            <w:r>
              <w:rPr>
                <w:rFonts w:hint="eastAsia"/>
                <w:color w:val="auto"/>
                <w:sz w:val="24"/>
              </w:rPr>
              <w:t>项目通过</w:t>
            </w:r>
            <w:r>
              <w:rPr>
                <w:rFonts w:hint="eastAsia"/>
                <w:color w:val="auto"/>
                <w:sz w:val="24"/>
                <w:lang w:eastAsia="zh-CN"/>
              </w:rPr>
              <w:t>在施工营地周围设置围挡</w:t>
            </w:r>
            <w:r>
              <w:rPr>
                <w:rFonts w:hint="default"/>
                <w:color w:val="auto"/>
                <w:sz w:val="24"/>
              </w:rPr>
              <w:t>，</w:t>
            </w:r>
            <w:r>
              <w:rPr>
                <w:rFonts w:hint="eastAsia"/>
                <w:color w:val="auto"/>
                <w:sz w:val="24"/>
              </w:rPr>
              <w:t>同时</w:t>
            </w:r>
            <w:r>
              <w:rPr>
                <w:rFonts w:hint="default"/>
                <w:color w:val="auto"/>
                <w:sz w:val="24"/>
              </w:rPr>
              <w:t>加强管理，高噪声设备尽量不同时使用</w:t>
            </w:r>
            <w:r>
              <w:rPr>
                <w:rFonts w:hint="eastAsia"/>
                <w:color w:val="auto"/>
                <w:sz w:val="24"/>
              </w:rPr>
              <w:t>等措施，来降低设备噪声的影响</w:t>
            </w:r>
            <w:r>
              <w:rPr>
                <w:rFonts w:hint="eastAsia"/>
                <w:color w:val="auto"/>
                <w:sz w:val="24"/>
                <w:lang w:eastAsia="zh-CN"/>
              </w:rPr>
              <w:t>，类比同类项目，加围挡一般噪声减小</w:t>
            </w:r>
            <w:r>
              <w:rPr>
                <w:rFonts w:hint="eastAsia"/>
                <w:color w:val="auto"/>
                <w:sz w:val="24"/>
                <w:lang w:val="en-US" w:eastAsia="zh-CN"/>
              </w:rPr>
              <w:t>10~15dB，本次环评取10dB</w:t>
            </w:r>
            <w:r>
              <w:rPr>
                <w:rFonts w:hint="default"/>
                <w:color w:val="auto"/>
                <w:sz w:val="24"/>
              </w:rPr>
              <w:t>。项目运营期主要噪声源的位置及噪声情况如下：</w:t>
            </w:r>
          </w:p>
          <w:p w14:paraId="451716C6">
            <w:pPr>
              <w:pStyle w:val="32"/>
              <w:bidi w:val="0"/>
              <w:spacing w:line="240" w:lineRule="auto"/>
              <w:rPr>
                <w:rFonts w:hint="eastAsia"/>
                <w:b/>
                <w:bCs/>
                <w:color w:val="auto"/>
                <w:lang w:val="en-US" w:eastAsia="zh-CN"/>
              </w:rPr>
            </w:pPr>
            <w:r>
              <w:rPr>
                <w:rFonts w:hint="eastAsia"/>
                <w:lang w:eastAsia="zh-CN"/>
              </w:rPr>
              <w:t>表</w:t>
            </w:r>
            <w:r>
              <w:rPr>
                <w:rFonts w:hint="eastAsia"/>
                <w:lang w:val="en-US" w:eastAsia="zh-CN"/>
              </w:rPr>
              <w:t>4-2  噪声源强表</w:t>
            </w:r>
          </w:p>
          <w:tbl>
            <w:tblPr>
              <w:tblStyle w:val="24"/>
              <w:tblW w:w="76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6"/>
              <w:gridCol w:w="2566"/>
              <w:gridCol w:w="2566"/>
            </w:tblGrid>
            <w:tr w14:paraId="0AFEE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566" w:type="dxa"/>
                  <w:tcBorders>
                    <w:tl2br w:val="nil"/>
                    <w:tr2bl w:val="nil"/>
                  </w:tcBorders>
                  <w:vAlign w:val="center"/>
                </w:tcPr>
                <w:p w14:paraId="08CD2EC3">
                  <w:pPr>
                    <w:pStyle w:val="35"/>
                    <w:bidi w:val="0"/>
                    <w:rPr>
                      <w:rFonts w:hint="eastAsia"/>
                      <w:b/>
                      <w:bCs/>
                      <w:color w:val="auto"/>
                      <w:lang w:val="en-US" w:eastAsia="zh-CN"/>
                    </w:rPr>
                  </w:pPr>
                  <w:r>
                    <w:rPr>
                      <w:b/>
                      <w:bCs/>
                      <w:color w:val="auto"/>
                    </w:rPr>
                    <w:t>设备名称</w:t>
                  </w:r>
                </w:p>
              </w:tc>
              <w:tc>
                <w:tcPr>
                  <w:tcW w:w="2566" w:type="dxa"/>
                  <w:tcBorders>
                    <w:tl2br w:val="nil"/>
                    <w:tr2bl w:val="nil"/>
                  </w:tcBorders>
                  <w:vAlign w:val="center"/>
                </w:tcPr>
                <w:p w14:paraId="660ECF85">
                  <w:pPr>
                    <w:pStyle w:val="35"/>
                    <w:bidi w:val="0"/>
                    <w:rPr>
                      <w:rFonts w:hint="eastAsia"/>
                      <w:b/>
                      <w:bCs/>
                      <w:color w:val="auto"/>
                      <w:lang w:val="en-US" w:eastAsia="zh-CN"/>
                    </w:rPr>
                  </w:pPr>
                  <w:r>
                    <w:rPr>
                      <w:rFonts w:hint="eastAsia"/>
                      <w:b/>
                      <w:bCs/>
                      <w:color w:val="auto"/>
                      <w:lang w:val="en-US" w:eastAsia="zh-CN"/>
                    </w:rPr>
                    <w:t>源强</w:t>
                  </w:r>
                </w:p>
              </w:tc>
              <w:tc>
                <w:tcPr>
                  <w:tcW w:w="2566" w:type="dxa"/>
                  <w:tcBorders>
                    <w:tl2br w:val="nil"/>
                    <w:tr2bl w:val="nil"/>
                  </w:tcBorders>
                  <w:vAlign w:val="center"/>
                </w:tcPr>
                <w:p w14:paraId="117335B2">
                  <w:pPr>
                    <w:pStyle w:val="35"/>
                    <w:bidi w:val="0"/>
                    <w:rPr>
                      <w:rFonts w:hint="eastAsia"/>
                      <w:b/>
                      <w:bCs/>
                      <w:color w:val="auto"/>
                      <w:lang w:val="en-US" w:eastAsia="zh-CN"/>
                    </w:rPr>
                  </w:pPr>
                  <w:r>
                    <w:rPr>
                      <w:rFonts w:hint="eastAsia"/>
                      <w:b/>
                      <w:bCs/>
                      <w:color w:val="auto"/>
                      <w:lang w:val="en-US" w:eastAsia="zh-CN"/>
                    </w:rPr>
                    <w:t>管理优化后源强</w:t>
                  </w:r>
                </w:p>
              </w:tc>
            </w:tr>
            <w:tr w14:paraId="474C4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566" w:type="dxa"/>
                  <w:tcBorders>
                    <w:tl2br w:val="nil"/>
                    <w:tr2bl w:val="nil"/>
                  </w:tcBorders>
                  <w:vAlign w:val="center"/>
                </w:tcPr>
                <w:p w14:paraId="35625876">
                  <w:pPr>
                    <w:pStyle w:val="35"/>
                    <w:bidi w:val="0"/>
                    <w:ind w:firstLine="0" w:firstLineChars="0"/>
                    <w:rPr>
                      <w:rFonts w:hint="eastAsia"/>
                      <w:color w:val="auto"/>
                      <w:lang w:val="en-US" w:eastAsia="zh-CN"/>
                    </w:rPr>
                  </w:pPr>
                  <w:r>
                    <w:rPr>
                      <w:color w:val="auto"/>
                    </w:rPr>
                    <w:t>挖掘机</w:t>
                  </w:r>
                </w:p>
              </w:tc>
              <w:tc>
                <w:tcPr>
                  <w:tcW w:w="2566" w:type="dxa"/>
                  <w:tcBorders>
                    <w:tl2br w:val="nil"/>
                    <w:tr2bl w:val="nil"/>
                  </w:tcBorders>
                  <w:vAlign w:val="center"/>
                </w:tcPr>
                <w:p w14:paraId="13FD6BD2">
                  <w:pPr>
                    <w:pStyle w:val="35"/>
                    <w:bidi w:val="0"/>
                    <w:rPr>
                      <w:rFonts w:hint="default"/>
                      <w:color w:val="auto"/>
                      <w:lang w:val="en-US" w:eastAsia="zh-CN"/>
                    </w:rPr>
                  </w:pPr>
                  <w:r>
                    <w:rPr>
                      <w:rFonts w:hint="eastAsia"/>
                      <w:color w:val="auto"/>
                      <w:lang w:val="en-US" w:eastAsia="zh-CN"/>
                    </w:rPr>
                    <w:t>90</w:t>
                  </w:r>
                </w:p>
              </w:tc>
              <w:tc>
                <w:tcPr>
                  <w:tcW w:w="2566" w:type="dxa"/>
                  <w:tcBorders>
                    <w:tl2br w:val="nil"/>
                    <w:tr2bl w:val="nil"/>
                  </w:tcBorders>
                  <w:vAlign w:val="center"/>
                </w:tcPr>
                <w:p w14:paraId="14D622CE">
                  <w:pPr>
                    <w:pStyle w:val="35"/>
                    <w:bidi w:val="0"/>
                    <w:rPr>
                      <w:rFonts w:hint="default"/>
                      <w:color w:val="auto"/>
                      <w:lang w:val="en-US" w:eastAsia="zh-CN"/>
                    </w:rPr>
                  </w:pPr>
                  <w:r>
                    <w:rPr>
                      <w:rFonts w:hint="eastAsia"/>
                      <w:color w:val="auto"/>
                      <w:lang w:val="en-US" w:eastAsia="zh-CN"/>
                    </w:rPr>
                    <w:t>80</w:t>
                  </w:r>
                </w:p>
              </w:tc>
            </w:tr>
            <w:tr w14:paraId="70C7D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66" w:type="dxa"/>
                  <w:tcBorders>
                    <w:tl2br w:val="nil"/>
                    <w:tr2bl w:val="nil"/>
                  </w:tcBorders>
                  <w:vAlign w:val="center"/>
                </w:tcPr>
                <w:p w14:paraId="09CFDCA5">
                  <w:pPr>
                    <w:pStyle w:val="35"/>
                    <w:bidi w:val="0"/>
                    <w:ind w:firstLine="0" w:firstLineChars="0"/>
                    <w:rPr>
                      <w:rFonts w:hint="eastAsia"/>
                      <w:color w:val="auto"/>
                      <w:lang w:val="en-US" w:eastAsia="zh-CN"/>
                    </w:rPr>
                  </w:pPr>
                  <w:r>
                    <w:rPr>
                      <w:color w:val="auto"/>
                    </w:rPr>
                    <w:t>装载机</w:t>
                  </w:r>
                </w:p>
              </w:tc>
              <w:tc>
                <w:tcPr>
                  <w:tcW w:w="2566" w:type="dxa"/>
                  <w:tcBorders>
                    <w:tl2br w:val="nil"/>
                    <w:tr2bl w:val="nil"/>
                  </w:tcBorders>
                  <w:vAlign w:val="center"/>
                </w:tcPr>
                <w:p w14:paraId="601B47E6">
                  <w:pPr>
                    <w:pStyle w:val="35"/>
                    <w:bidi w:val="0"/>
                    <w:rPr>
                      <w:rFonts w:hint="default"/>
                      <w:color w:val="auto"/>
                      <w:lang w:val="en-US" w:eastAsia="zh-CN"/>
                    </w:rPr>
                  </w:pPr>
                  <w:r>
                    <w:rPr>
                      <w:rFonts w:hint="eastAsia"/>
                      <w:color w:val="auto"/>
                      <w:lang w:val="en-US" w:eastAsia="zh-CN"/>
                    </w:rPr>
                    <w:t>90</w:t>
                  </w:r>
                </w:p>
              </w:tc>
              <w:tc>
                <w:tcPr>
                  <w:tcW w:w="2566" w:type="dxa"/>
                  <w:tcBorders>
                    <w:tl2br w:val="nil"/>
                    <w:tr2bl w:val="nil"/>
                  </w:tcBorders>
                  <w:vAlign w:val="center"/>
                </w:tcPr>
                <w:p w14:paraId="323F065A">
                  <w:pPr>
                    <w:pStyle w:val="35"/>
                    <w:bidi w:val="0"/>
                    <w:rPr>
                      <w:rFonts w:hint="default"/>
                      <w:color w:val="auto"/>
                      <w:lang w:val="en-US" w:eastAsia="zh-CN"/>
                    </w:rPr>
                  </w:pPr>
                  <w:r>
                    <w:rPr>
                      <w:rFonts w:hint="eastAsia"/>
                      <w:color w:val="auto"/>
                      <w:lang w:val="en-US" w:eastAsia="zh-CN"/>
                    </w:rPr>
                    <w:t>80</w:t>
                  </w:r>
                </w:p>
              </w:tc>
            </w:tr>
            <w:tr w14:paraId="3C5A7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66" w:type="dxa"/>
                  <w:tcBorders>
                    <w:tl2br w:val="nil"/>
                    <w:tr2bl w:val="nil"/>
                  </w:tcBorders>
                  <w:vAlign w:val="center"/>
                </w:tcPr>
                <w:p w14:paraId="3D1CF99B">
                  <w:pPr>
                    <w:pStyle w:val="35"/>
                    <w:bidi w:val="0"/>
                    <w:ind w:firstLine="0" w:firstLineChars="0"/>
                    <w:rPr>
                      <w:rFonts w:hint="eastAsia"/>
                      <w:color w:val="auto"/>
                      <w:lang w:val="en-US" w:eastAsia="zh-CN"/>
                    </w:rPr>
                  </w:pPr>
                  <w:r>
                    <w:rPr>
                      <w:color w:val="auto"/>
                    </w:rPr>
                    <w:t>大型载重车</w:t>
                  </w:r>
                </w:p>
              </w:tc>
              <w:tc>
                <w:tcPr>
                  <w:tcW w:w="2566" w:type="dxa"/>
                  <w:tcBorders>
                    <w:tl2br w:val="nil"/>
                    <w:tr2bl w:val="nil"/>
                  </w:tcBorders>
                  <w:vAlign w:val="center"/>
                </w:tcPr>
                <w:p w14:paraId="40B8AC48">
                  <w:pPr>
                    <w:pStyle w:val="35"/>
                    <w:bidi w:val="0"/>
                    <w:rPr>
                      <w:rFonts w:hint="default"/>
                      <w:color w:val="auto"/>
                      <w:lang w:val="en-US" w:eastAsia="zh-CN"/>
                    </w:rPr>
                  </w:pPr>
                  <w:r>
                    <w:rPr>
                      <w:rFonts w:hint="eastAsia"/>
                      <w:color w:val="auto"/>
                      <w:lang w:val="en-US" w:eastAsia="zh-CN"/>
                    </w:rPr>
                    <w:t>90</w:t>
                  </w:r>
                </w:p>
              </w:tc>
              <w:tc>
                <w:tcPr>
                  <w:tcW w:w="2566" w:type="dxa"/>
                  <w:tcBorders>
                    <w:tl2br w:val="nil"/>
                    <w:tr2bl w:val="nil"/>
                  </w:tcBorders>
                  <w:vAlign w:val="center"/>
                </w:tcPr>
                <w:p w14:paraId="1ADB7231">
                  <w:pPr>
                    <w:pStyle w:val="35"/>
                    <w:bidi w:val="0"/>
                    <w:rPr>
                      <w:rFonts w:hint="default"/>
                      <w:color w:val="auto"/>
                      <w:lang w:val="en-US" w:eastAsia="zh-CN"/>
                    </w:rPr>
                  </w:pPr>
                  <w:r>
                    <w:rPr>
                      <w:rFonts w:hint="eastAsia"/>
                      <w:color w:val="auto"/>
                      <w:lang w:val="en-US" w:eastAsia="zh-CN"/>
                    </w:rPr>
                    <w:t>80</w:t>
                  </w:r>
                </w:p>
              </w:tc>
            </w:tr>
            <w:tr w14:paraId="41186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66" w:type="dxa"/>
                  <w:tcBorders>
                    <w:tl2br w:val="nil"/>
                    <w:tr2bl w:val="nil"/>
                  </w:tcBorders>
                  <w:vAlign w:val="center"/>
                </w:tcPr>
                <w:p w14:paraId="6158EB20">
                  <w:pPr>
                    <w:pStyle w:val="35"/>
                    <w:bidi w:val="0"/>
                    <w:ind w:firstLine="0" w:firstLineChars="0"/>
                    <w:rPr>
                      <w:rFonts w:hint="eastAsia"/>
                      <w:color w:val="auto"/>
                      <w:lang w:val="en-US" w:eastAsia="zh-CN"/>
                    </w:rPr>
                  </w:pPr>
                  <w:r>
                    <w:rPr>
                      <w:color w:val="auto"/>
                    </w:rPr>
                    <w:t>振捣器</w:t>
                  </w:r>
                </w:p>
              </w:tc>
              <w:tc>
                <w:tcPr>
                  <w:tcW w:w="2566" w:type="dxa"/>
                  <w:tcBorders>
                    <w:tl2br w:val="nil"/>
                    <w:tr2bl w:val="nil"/>
                  </w:tcBorders>
                  <w:vAlign w:val="center"/>
                </w:tcPr>
                <w:p w14:paraId="1B5481F3">
                  <w:pPr>
                    <w:pStyle w:val="35"/>
                    <w:bidi w:val="0"/>
                    <w:rPr>
                      <w:rFonts w:hint="default"/>
                      <w:color w:val="auto"/>
                      <w:lang w:val="en-US" w:eastAsia="zh-CN"/>
                    </w:rPr>
                  </w:pPr>
                  <w:r>
                    <w:rPr>
                      <w:rFonts w:hint="eastAsia"/>
                      <w:color w:val="auto"/>
                      <w:lang w:val="en-US" w:eastAsia="zh-CN"/>
                    </w:rPr>
                    <w:t>95</w:t>
                  </w:r>
                </w:p>
              </w:tc>
              <w:tc>
                <w:tcPr>
                  <w:tcW w:w="2566" w:type="dxa"/>
                  <w:tcBorders>
                    <w:tl2br w:val="nil"/>
                    <w:tr2bl w:val="nil"/>
                  </w:tcBorders>
                  <w:vAlign w:val="center"/>
                </w:tcPr>
                <w:p w14:paraId="5558B426">
                  <w:pPr>
                    <w:pStyle w:val="35"/>
                    <w:bidi w:val="0"/>
                    <w:rPr>
                      <w:rFonts w:hint="default"/>
                      <w:color w:val="auto"/>
                      <w:lang w:val="en-US" w:eastAsia="zh-CN"/>
                    </w:rPr>
                  </w:pPr>
                  <w:r>
                    <w:rPr>
                      <w:rFonts w:hint="eastAsia"/>
                      <w:color w:val="auto"/>
                      <w:lang w:val="en-US" w:eastAsia="zh-CN"/>
                    </w:rPr>
                    <w:t>85</w:t>
                  </w:r>
                </w:p>
              </w:tc>
            </w:tr>
            <w:tr w14:paraId="0AAB5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66" w:type="dxa"/>
                  <w:tcBorders>
                    <w:tl2br w:val="nil"/>
                    <w:tr2bl w:val="nil"/>
                  </w:tcBorders>
                  <w:vAlign w:val="center"/>
                </w:tcPr>
                <w:p w14:paraId="3DDA2E1D">
                  <w:pPr>
                    <w:pStyle w:val="35"/>
                    <w:bidi w:val="0"/>
                    <w:ind w:firstLine="0" w:firstLineChars="0"/>
                    <w:rPr>
                      <w:rFonts w:hint="eastAsia"/>
                      <w:color w:val="auto"/>
                      <w:lang w:val="en-US" w:eastAsia="zh-CN"/>
                    </w:rPr>
                  </w:pPr>
                  <w:r>
                    <w:rPr>
                      <w:color w:val="auto"/>
                    </w:rPr>
                    <w:t>空压机</w:t>
                  </w:r>
                </w:p>
              </w:tc>
              <w:tc>
                <w:tcPr>
                  <w:tcW w:w="2566" w:type="dxa"/>
                  <w:tcBorders>
                    <w:tl2br w:val="nil"/>
                    <w:tr2bl w:val="nil"/>
                  </w:tcBorders>
                  <w:vAlign w:val="center"/>
                </w:tcPr>
                <w:p w14:paraId="3AE5E17D">
                  <w:pPr>
                    <w:pStyle w:val="35"/>
                    <w:bidi w:val="0"/>
                    <w:rPr>
                      <w:rFonts w:hint="default"/>
                      <w:color w:val="auto"/>
                      <w:lang w:val="en-US" w:eastAsia="zh-CN"/>
                    </w:rPr>
                  </w:pPr>
                  <w:r>
                    <w:rPr>
                      <w:rFonts w:hint="eastAsia"/>
                      <w:color w:val="auto"/>
                      <w:lang w:val="en-US" w:eastAsia="zh-CN"/>
                    </w:rPr>
                    <w:t>90</w:t>
                  </w:r>
                </w:p>
              </w:tc>
              <w:tc>
                <w:tcPr>
                  <w:tcW w:w="2566" w:type="dxa"/>
                  <w:tcBorders>
                    <w:tl2br w:val="nil"/>
                    <w:tr2bl w:val="nil"/>
                  </w:tcBorders>
                  <w:vAlign w:val="center"/>
                </w:tcPr>
                <w:p w14:paraId="5A9AF156">
                  <w:pPr>
                    <w:pStyle w:val="35"/>
                    <w:bidi w:val="0"/>
                    <w:rPr>
                      <w:rFonts w:hint="default"/>
                      <w:color w:val="auto"/>
                      <w:lang w:val="en-US" w:eastAsia="zh-CN"/>
                    </w:rPr>
                  </w:pPr>
                  <w:r>
                    <w:rPr>
                      <w:rFonts w:hint="eastAsia"/>
                      <w:color w:val="auto"/>
                      <w:lang w:val="en-US" w:eastAsia="zh-CN"/>
                    </w:rPr>
                    <w:t>80</w:t>
                  </w:r>
                </w:p>
              </w:tc>
            </w:tr>
            <w:tr w14:paraId="7D313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66" w:type="dxa"/>
                  <w:tcBorders>
                    <w:tl2br w:val="nil"/>
                    <w:tr2bl w:val="nil"/>
                  </w:tcBorders>
                  <w:vAlign w:val="center"/>
                </w:tcPr>
                <w:p w14:paraId="16B8C899">
                  <w:pPr>
                    <w:pStyle w:val="35"/>
                    <w:bidi w:val="0"/>
                    <w:ind w:firstLine="0" w:firstLineChars="0"/>
                    <w:rPr>
                      <w:rFonts w:hint="eastAsia" w:eastAsia="宋体"/>
                      <w:color w:val="auto"/>
                      <w:lang w:eastAsia="zh-CN"/>
                    </w:rPr>
                  </w:pPr>
                  <w:r>
                    <w:rPr>
                      <w:rFonts w:hint="eastAsia"/>
                      <w:color w:val="auto"/>
                      <w:lang w:eastAsia="zh-CN"/>
                    </w:rPr>
                    <w:t>混凝土搅拌机</w:t>
                  </w:r>
                </w:p>
              </w:tc>
              <w:tc>
                <w:tcPr>
                  <w:tcW w:w="2566" w:type="dxa"/>
                  <w:tcBorders>
                    <w:tl2br w:val="nil"/>
                    <w:tr2bl w:val="nil"/>
                  </w:tcBorders>
                  <w:vAlign w:val="center"/>
                </w:tcPr>
                <w:p w14:paraId="0EAF00AA">
                  <w:pPr>
                    <w:pStyle w:val="35"/>
                    <w:bidi w:val="0"/>
                    <w:rPr>
                      <w:rFonts w:hint="default"/>
                      <w:color w:val="auto"/>
                      <w:lang w:val="en-US" w:eastAsia="zh-CN"/>
                    </w:rPr>
                  </w:pPr>
                  <w:r>
                    <w:rPr>
                      <w:rFonts w:hint="eastAsia"/>
                      <w:color w:val="auto"/>
                      <w:lang w:val="en-US" w:eastAsia="zh-CN"/>
                    </w:rPr>
                    <w:t>70</w:t>
                  </w:r>
                </w:p>
              </w:tc>
              <w:tc>
                <w:tcPr>
                  <w:tcW w:w="2566" w:type="dxa"/>
                  <w:tcBorders>
                    <w:tl2br w:val="nil"/>
                    <w:tr2bl w:val="nil"/>
                  </w:tcBorders>
                  <w:vAlign w:val="center"/>
                </w:tcPr>
                <w:p w14:paraId="135C4C99">
                  <w:pPr>
                    <w:pStyle w:val="35"/>
                    <w:bidi w:val="0"/>
                    <w:rPr>
                      <w:rFonts w:hint="default"/>
                      <w:color w:val="auto"/>
                      <w:lang w:val="en-US" w:eastAsia="zh-CN"/>
                    </w:rPr>
                  </w:pPr>
                  <w:r>
                    <w:rPr>
                      <w:rFonts w:hint="eastAsia"/>
                      <w:color w:val="auto"/>
                      <w:lang w:val="en-US" w:eastAsia="zh-CN"/>
                    </w:rPr>
                    <w:t>60</w:t>
                  </w:r>
                </w:p>
              </w:tc>
            </w:tr>
            <w:tr w14:paraId="7F91F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66" w:type="dxa"/>
                  <w:tcBorders>
                    <w:tl2br w:val="nil"/>
                    <w:tr2bl w:val="nil"/>
                  </w:tcBorders>
                  <w:vAlign w:val="center"/>
                </w:tcPr>
                <w:p w14:paraId="73D4B3B4">
                  <w:pPr>
                    <w:pStyle w:val="35"/>
                    <w:bidi w:val="0"/>
                    <w:ind w:firstLine="0" w:firstLineChars="0"/>
                    <w:rPr>
                      <w:rFonts w:hint="eastAsia"/>
                      <w:color w:val="auto"/>
                      <w:lang w:val="en-US" w:eastAsia="zh-CN"/>
                    </w:rPr>
                  </w:pPr>
                  <w:r>
                    <w:rPr>
                      <w:color w:val="auto"/>
                    </w:rPr>
                    <w:t>电焊机</w:t>
                  </w:r>
                </w:p>
              </w:tc>
              <w:tc>
                <w:tcPr>
                  <w:tcW w:w="2566" w:type="dxa"/>
                  <w:tcBorders>
                    <w:tl2br w:val="nil"/>
                    <w:tr2bl w:val="nil"/>
                  </w:tcBorders>
                  <w:vAlign w:val="center"/>
                </w:tcPr>
                <w:p w14:paraId="4216B380">
                  <w:pPr>
                    <w:pStyle w:val="35"/>
                    <w:bidi w:val="0"/>
                    <w:rPr>
                      <w:rFonts w:hint="default"/>
                      <w:color w:val="auto"/>
                      <w:lang w:val="en-US" w:eastAsia="zh-CN"/>
                    </w:rPr>
                  </w:pPr>
                  <w:r>
                    <w:rPr>
                      <w:rFonts w:hint="eastAsia"/>
                      <w:color w:val="auto"/>
                      <w:lang w:val="en-US" w:eastAsia="zh-CN"/>
                    </w:rPr>
                    <w:t>85</w:t>
                  </w:r>
                </w:p>
              </w:tc>
              <w:tc>
                <w:tcPr>
                  <w:tcW w:w="2566" w:type="dxa"/>
                  <w:tcBorders>
                    <w:tl2br w:val="nil"/>
                    <w:tr2bl w:val="nil"/>
                  </w:tcBorders>
                  <w:vAlign w:val="center"/>
                </w:tcPr>
                <w:p w14:paraId="6F5377E6">
                  <w:pPr>
                    <w:pStyle w:val="35"/>
                    <w:bidi w:val="0"/>
                    <w:rPr>
                      <w:rFonts w:hint="default"/>
                      <w:color w:val="auto"/>
                      <w:lang w:val="en-US" w:eastAsia="zh-CN"/>
                    </w:rPr>
                  </w:pPr>
                  <w:r>
                    <w:rPr>
                      <w:rFonts w:hint="eastAsia"/>
                      <w:color w:val="auto"/>
                      <w:lang w:val="en-US" w:eastAsia="zh-CN"/>
                    </w:rPr>
                    <w:t>75</w:t>
                  </w:r>
                </w:p>
              </w:tc>
            </w:tr>
            <w:tr w14:paraId="10863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566" w:type="dxa"/>
                  <w:tcBorders>
                    <w:tl2br w:val="nil"/>
                    <w:tr2bl w:val="nil"/>
                  </w:tcBorders>
                  <w:vAlign w:val="center"/>
                </w:tcPr>
                <w:p w14:paraId="6ADFB781">
                  <w:pPr>
                    <w:pStyle w:val="35"/>
                    <w:bidi w:val="0"/>
                    <w:ind w:firstLine="0" w:firstLineChars="0"/>
                    <w:rPr>
                      <w:rFonts w:hint="eastAsia"/>
                      <w:color w:val="auto"/>
                      <w:lang w:val="en-US" w:eastAsia="zh-CN"/>
                    </w:rPr>
                  </w:pPr>
                  <w:r>
                    <w:rPr>
                      <w:color w:val="auto"/>
                    </w:rPr>
                    <w:t>中型载重车</w:t>
                  </w:r>
                </w:p>
              </w:tc>
              <w:tc>
                <w:tcPr>
                  <w:tcW w:w="2566" w:type="dxa"/>
                  <w:tcBorders>
                    <w:tl2br w:val="nil"/>
                    <w:tr2bl w:val="nil"/>
                  </w:tcBorders>
                  <w:vAlign w:val="center"/>
                </w:tcPr>
                <w:p w14:paraId="6F1B0465">
                  <w:pPr>
                    <w:pStyle w:val="35"/>
                    <w:bidi w:val="0"/>
                    <w:rPr>
                      <w:rFonts w:hint="default"/>
                      <w:color w:val="auto"/>
                      <w:lang w:val="en-US" w:eastAsia="zh-CN"/>
                    </w:rPr>
                  </w:pPr>
                  <w:r>
                    <w:rPr>
                      <w:rFonts w:hint="eastAsia"/>
                      <w:color w:val="auto"/>
                      <w:lang w:val="en-US" w:eastAsia="zh-CN"/>
                    </w:rPr>
                    <w:t>85</w:t>
                  </w:r>
                </w:p>
              </w:tc>
              <w:tc>
                <w:tcPr>
                  <w:tcW w:w="2566" w:type="dxa"/>
                  <w:tcBorders>
                    <w:tl2br w:val="nil"/>
                    <w:tr2bl w:val="nil"/>
                  </w:tcBorders>
                  <w:vAlign w:val="center"/>
                </w:tcPr>
                <w:p w14:paraId="6BBC9A50">
                  <w:pPr>
                    <w:pStyle w:val="35"/>
                    <w:bidi w:val="0"/>
                    <w:rPr>
                      <w:rFonts w:hint="default"/>
                      <w:color w:val="auto"/>
                      <w:lang w:val="en-US" w:eastAsia="zh-CN"/>
                    </w:rPr>
                  </w:pPr>
                  <w:r>
                    <w:rPr>
                      <w:rFonts w:hint="eastAsia"/>
                      <w:color w:val="auto"/>
                      <w:lang w:val="en-US" w:eastAsia="zh-CN"/>
                    </w:rPr>
                    <w:t>75</w:t>
                  </w:r>
                </w:p>
              </w:tc>
            </w:tr>
          </w:tbl>
          <w:p w14:paraId="38F39163">
            <w:pPr>
              <w:keepNext w:val="0"/>
              <w:keepLines w:val="0"/>
              <w:suppressLineNumbers w:val="0"/>
              <w:spacing w:before="0" w:beforeAutospacing="0" w:after="0" w:afterAutospacing="0" w:line="360" w:lineRule="auto"/>
              <w:ind w:left="0" w:right="0" w:firstLine="482" w:firstLineChars="200"/>
              <w:rPr>
                <w:rFonts w:hint="eastAsia"/>
                <w:b/>
                <w:bCs/>
                <w:color w:val="auto"/>
                <w:sz w:val="24"/>
                <w:lang w:eastAsia="zh-CN"/>
              </w:rPr>
            </w:pPr>
            <w:r>
              <w:rPr>
                <w:rFonts w:hint="eastAsia"/>
                <w:b/>
                <w:bCs/>
                <w:color w:val="auto"/>
                <w:sz w:val="24"/>
                <w:lang w:eastAsia="zh-CN"/>
              </w:rPr>
              <w:t>（</w:t>
            </w:r>
            <w:r>
              <w:rPr>
                <w:rFonts w:hint="eastAsia"/>
                <w:b/>
                <w:bCs/>
                <w:color w:val="auto"/>
                <w:sz w:val="24"/>
                <w:lang w:val="en-US" w:eastAsia="zh-CN"/>
              </w:rPr>
              <w:t>2</w:t>
            </w:r>
            <w:r>
              <w:rPr>
                <w:rFonts w:hint="eastAsia"/>
                <w:b/>
                <w:bCs/>
                <w:color w:val="auto"/>
                <w:sz w:val="24"/>
                <w:lang w:eastAsia="zh-CN"/>
              </w:rPr>
              <w:t>）预测模式及公式</w:t>
            </w:r>
          </w:p>
          <w:p w14:paraId="21850E53">
            <w:pPr>
              <w:keepNext w:val="0"/>
              <w:keepLines w:val="0"/>
              <w:suppressLineNumbers w:val="0"/>
              <w:spacing w:before="0" w:beforeAutospacing="0" w:after="0" w:afterAutospacing="0" w:line="360" w:lineRule="auto"/>
              <w:ind w:left="0" w:right="0" w:firstLine="482" w:firstLineChars="200"/>
              <w:rPr>
                <w:rFonts w:hint="default"/>
                <w:b/>
                <w:bCs/>
                <w:color w:val="auto"/>
                <w:sz w:val="24"/>
              </w:rPr>
            </w:pPr>
            <w:r>
              <w:rPr>
                <w:rFonts w:hint="eastAsia"/>
                <w:b/>
                <w:bCs/>
                <w:color w:val="auto"/>
                <w:sz w:val="24"/>
                <w:lang w:eastAsia="zh-CN"/>
              </w:rPr>
              <w:t>①</w:t>
            </w:r>
            <w:r>
              <w:rPr>
                <w:rFonts w:hint="default"/>
                <w:b/>
                <w:bCs/>
                <w:color w:val="auto"/>
                <w:sz w:val="24"/>
              </w:rPr>
              <w:t>多个室外声源噪声贡献值叠加</w:t>
            </w:r>
          </w:p>
          <w:p w14:paraId="642A1FE9">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设第i个室外声源在计算点产生的A声级为LAi，在T时间内该声源工作时间为ti；第j个等效室外声源在计算点产生的A声级为LAj，在T时间内该声源 工作时间为tj则计算点的总等效声级为：</w:t>
            </w:r>
          </w:p>
          <w:p w14:paraId="5A1E51F1">
            <w:pPr>
              <w:keepNext w:val="0"/>
              <w:keepLines w:val="0"/>
              <w:suppressLineNumbers w:val="0"/>
              <w:spacing w:before="0" w:beforeAutospacing="0" w:after="0" w:afterAutospacing="0" w:line="360" w:lineRule="auto"/>
              <w:ind w:left="0" w:right="0" w:firstLine="480" w:firstLineChars="200"/>
              <w:jc w:val="center"/>
              <w:rPr>
                <w:rFonts w:hint="default"/>
                <w:color w:val="auto"/>
                <w:sz w:val="24"/>
              </w:rPr>
            </w:pPr>
            <w:r>
              <w:rPr>
                <w:rFonts w:hint="default"/>
                <w:color w:val="auto"/>
              </w:rPr>
              <w:drawing>
                <wp:inline distT="0" distB="0" distL="114300" distR="114300">
                  <wp:extent cx="3677920" cy="561975"/>
                  <wp:effectExtent l="0" t="0" r="5080" b="952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8"/>
                          <a:stretch>
                            <a:fillRect/>
                          </a:stretch>
                        </pic:blipFill>
                        <pic:spPr>
                          <a:xfrm>
                            <a:off x="0" y="0"/>
                            <a:ext cx="3677920" cy="561975"/>
                          </a:xfrm>
                          <a:prstGeom prst="rect">
                            <a:avLst/>
                          </a:prstGeom>
                          <a:noFill/>
                          <a:ln>
                            <a:noFill/>
                          </a:ln>
                        </pic:spPr>
                      </pic:pic>
                    </a:graphicData>
                  </a:graphic>
                </wp:inline>
              </w:drawing>
            </w:r>
          </w:p>
          <w:p w14:paraId="2C6F7768">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w:t>
            </w:r>
          </w:p>
          <w:p w14:paraId="5C95F99A">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L</w:t>
            </w:r>
            <w:r>
              <w:rPr>
                <w:rFonts w:hint="default"/>
                <w:color w:val="auto"/>
                <w:sz w:val="24"/>
                <w:vertAlign w:val="subscript"/>
              </w:rPr>
              <w:t>eqg</w:t>
            </w:r>
            <w:r>
              <w:rPr>
                <w:rFonts w:hint="default"/>
                <w:color w:val="auto"/>
                <w:sz w:val="24"/>
              </w:rPr>
              <w:t>—建设项目声源在预测点产生的噪声贡献值，dB；</w:t>
            </w:r>
          </w:p>
          <w:p w14:paraId="136AA3BE">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T—用于计算等效声级的时间，s；</w:t>
            </w:r>
          </w:p>
          <w:p w14:paraId="12832D05">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N—室外声源个数；</w:t>
            </w:r>
          </w:p>
          <w:p w14:paraId="4186DC4D">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t</w:t>
            </w:r>
            <w:r>
              <w:rPr>
                <w:rFonts w:hint="default"/>
                <w:color w:val="auto"/>
                <w:sz w:val="24"/>
                <w:vertAlign w:val="subscript"/>
              </w:rPr>
              <w:t>i</w:t>
            </w:r>
            <w:r>
              <w:rPr>
                <w:rFonts w:hint="default"/>
                <w:color w:val="auto"/>
                <w:sz w:val="24"/>
              </w:rPr>
              <w:t>—在T时间内i声源的工作时间，s；</w:t>
            </w:r>
          </w:p>
          <w:p w14:paraId="332B4FF1">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M—等效室外声源个数；</w:t>
            </w:r>
          </w:p>
          <w:p w14:paraId="466D3984">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t</w:t>
            </w:r>
            <w:r>
              <w:rPr>
                <w:rFonts w:hint="default"/>
                <w:color w:val="auto"/>
                <w:sz w:val="24"/>
                <w:vertAlign w:val="subscript"/>
              </w:rPr>
              <w:t>j</w:t>
            </w:r>
            <w:r>
              <w:rPr>
                <w:rFonts w:hint="default"/>
                <w:color w:val="auto"/>
                <w:sz w:val="24"/>
              </w:rPr>
              <w:t>—在T时间内j声源的工作时间，s；</w:t>
            </w:r>
          </w:p>
          <w:p w14:paraId="10F410F4">
            <w:pPr>
              <w:keepNext w:val="0"/>
              <w:keepLines w:val="0"/>
              <w:pageBreakBefore w:val="0"/>
              <w:numPr>
                <w:ilvl w:val="0"/>
                <w:numId w:val="0"/>
              </w:numPr>
              <w:kinsoku w:val="0"/>
              <w:wordWrap/>
              <w:overflowPunct/>
              <w:topLinePunct w:val="0"/>
              <w:autoSpaceDE w:val="0"/>
              <w:autoSpaceDN w:val="0"/>
              <w:bidi w:val="0"/>
              <w:adjustRightInd w:val="0"/>
              <w:snapToGrid w:val="0"/>
              <w:spacing w:before="51" w:line="360" w:lineRule="auto"/>
              <w:ind w:left="48" w:leftChars="20" w:firstLine="482" w:firstLineChars="200"/>
              <w:jc w:val="both"/>
              <w:rPr>
                <w:rFonts w:hint="eastAsia" w:ascii="Times New Roman" w:hAnsi="Times New Roman" w:eastAsia="宋体" w:cs="宋体"/>
                <w:b/>
                <w:bCs/>
                <w:color w:val="auto"/>
                <w:spacing w:val="-1"/>
                <w:sz w:val="24"/>
                <w:szCs w:val="24"/>
                <w:lang w:val="en-US" w:eastAsia="zh-CN"/>
              </w:rPr>
            </w:pPr>
            <w:r>
              <w:rPr>
                <w:rFonts w:hint="eastAsia"/>
                <w:b/>
                <w:bCs/>
                <w:color w:val="auto"/>
                <w:sz w:val="24"/>
                <w:lang w:eastAsia="zh-CN"/>
              </w:rPr>
              <w:t>②距离衰减</w:t>
            </w:r>
          </w:p>
          <w:p w14:paraId="4291BCAA">
            <w:pPr>
              <w:keepNext w:val="0"/>
              <w:keepLines w:val="0"/>
              <w:pageBreakBefore w:val="0"/>
              <w:kinsoku w:val="0"/>
              <w:wordWrap/>
              <w:overflowPunct/>
              <w:topLinePunct w:val="0"/>
              <w:autoSpaceDE w:val="0"/>
              <w:autoSpaceDN w:val="0"/>
              <w:bidi w:val="0"/>
              <w:adjustRightInd w:val="0"/>
              <w:snapToGrid w:val="0"/>
              <w:spacing w:before="51" w:line="360" w:lineRule="auto"/>
              <w:ind w:left="48" w:leftChars="20" w:firstLine="476"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施工机械中除各种运输车辆外，一般可视为固定点声源。在不考虑其他因素情况下，不同距离处各类施工机械的噪声贡献值预测模式如下：</w:t>
            </w:r>
          </w:p>
          <w:p w14:paraId="5CD76633">
            <w:pPr>
              <w:pStyle w:val="12"/>
              <w:keepNext w:val="0"/>
              <w:keepLines w:val="0"/>
              <w:pageBreakBefore w:val="0"/>
              <w:kinsoku w:val="0"/>
              <w:wordWrap/>
              <w:overflowPunct/>
              <w:topLinePunct w:val="0"/>
              <w:autoSpaceDE w:val="0"/>
              <w:autoSpaceDN w:val="0"/>
              <w:bidi w:val="0"/>
              <w:adjustRightInd w:val="0"/>
              <w:snapToGrid w:val="0"/>
              <w:spacing w:line="360" w:lineRule="auto"/>
              <w:ind w:left="48" w:leftChars="20"/>
              <w:jc w:val="center"/>
              <w:rPr>
                <w:rFonts w:hint="default" w:ascii="Times New Roman" w:hAnsi="Times New Roman" w:eastAsia="宋体" w:cs="宋体"/>
                <w:i/>
                <w:iCs/>
                <w:color w:val="auto"/>
                <w:sz w:val="28"/>
                <w:szCs w:val="28"/>
                <w:lang w:val="en-US" w:eastAsia="zh-CN"/>
              </w:rPr>
            </w:pPr>
            <w:r>
              <w:rPr>
                <w:rFonts w:hint="eastAsia" w:ascii="Times New Roman" w:hAnsi="Times New Roman" w:eastAsia="宋体" w:cs="宋体"/>
                <w:i/>
                <w:iCs/>
                <w:color w:val="auto"/>
                <w:sz w:val="28"/>
                <w:szCs w:val="28"/>
                <w:lang w:val="en-US" w:eastAsia="zh-CN"/>
              </w:rPr>
              <w:t>L</w:t>
            </w:r>
            <w:r>
              <w:rPr>
                <w:rFonts w:hint="eastAsia" w:ascii="Times New Roman" w:hAnsi="Times New Roman" w:eastAsia="宋体" w:cs="宋体"/>
                <w:i/>
                <w:iCs/>
                <w:color w:val="auto"/>
                <w:sz w:val="28"/>
                <w:szCs w:val="28"/>
                <w:vertAlign w:val="subscript"/>
                <w:lang w:val="en-US" w:eastAsia="zh-CN"/>
              </w:rPr>
              <w:t>(r)</w:t>
            </w:r>
            <w:r>
              <w:rPr>
                <w:rFonts w:hint="eastAsia" w:ascii="Times New Roman" w:hAnsi="Times New Roman" w:eastAsia="宋体" w:cs="宋体"/>
                <w:i w:val="0"/>
                <w:iCs w:val="0"/>
                <w:color w:val="auto"/>
                <w:sz w:val="28"/>
                <w:szCs w:val="28"/>
                <w:lang w:val="en-US" w:eastAsia="zh-CN"/>
              </w:rPr>
              <w:t>=</w:t>
            </w:r>
            <w:r>
              <w:rPr>
                <w:rFonts w:hint="eastAsia" w:ascii="Times New Roman" w:hAnsi="Times New Roman" w:eastAsia="宋体" w:cs="宋体"/>
                <w:i/>
                <w:iCs/>
                <w:color w:val="auto"/>
                <w:sz w:val="28"/>
                <w:szCs w:val="28"/>
                <w:lang w:val="en-US" w:eastAsia="zh-CN"/>
              </w:rPr>
              <w:t>L</w:t>
            </w:r>
            <w:r>
              <w:rPr>
                <w:rFonts w:hint="eastAsia" w:ascii="Times New Roman" w:hAnsi="Times New Roman" w:eastAsia="宋体" w:cs="宋体"/>
                <w:i/>
                <w:iCs/>
                <w:color w:val="auto"/>
                <w:sz w:val="28"/>
                <w:szCs w:val="28"/>
                <w:vertAlign w:val="subscript"/>
                <w:lang w:val="en-US" w:eastAsia="zh-CN"/>
              </w:rPr>
              <w:t>(r0)</w:t>
            </w:r>
            <w:r>
              <w:rPr>
                <w:rFonts w:hint="eastAsia" w:ascii="Times New Roman" w:hAnsi="Times New Roman" w:eastAsia="宋体" w:cs="宋体"/>
                <w:i w:val="0"/>
                <w:iCs w:val="0"/>
                <w:color w:val="auto"/>
                <w:sz w:val="28"/>
                <w:szCs w:val="28"/>
                <w:lang w:val="en-US" w:eastAsia="zh-CN"/>
              </w:rPr>
              <w:t>-20</w:t>
            </w:r>
            <w:r>
              <w:rPr>
                <w:rFonts w:hint="eastAsia" w:ascii="Times New Roman" w:hAnsi="Times New Roman" w:eastAsia="宋体" w:cs="宋体"/>
                <w:i/>
                <w:iCs/>
                <w:color w:val="auto"/>
                <w:sz w:val="28"/>
                <w:szCs w:val="28"/>
                <w:lang w:val="en-US" w:eastAsia="zh-CN"/>
              </w:rPr>
              <w:t>lg(r/r</w:t>
            </w:r>
            <w:r>
              <w:rPr>
                <w:rFonts w:hint="eastAsia" w:ascii="Times New Roman" w:hAnsi="Times New Roman" w:eastAsia="宋体" w:cs="宋体"/>
                <w:i/>
                <w:iCs/>
                <w:color w:val="auto"/>
                <w:sz w:val="28"/>
                <w:szCs w:val="28"/>
                <w:vertAlign w:val="subscript"/>
                <w:lang w:val="en-US" w:eastAsia="zh-CN"/>
              </w:rPr>
              <w:t>0</w:t>
            </w:r>
            <w:r>
              <w:rPr>
                <w:rFonts w:hint="eastAsia" w:ascii="Times New Roman" w:hAnsi="Times New Roman" w:eastAsia="宋体" w:cs="宋体"/>
                <w:i/>
                <w:iCs/>
                <w:color w:val="auto"/>
                <w:sz w:val="28"/>
                <w:szCs w:val="28"/>
                <w:lang w:val="en-US" w:eastAsia="zh-CN"/>
              </w:rPr>
              <w:t>)</w:t>
            </w:r>
          </w:p>
          <w:p w14:paraId="0C5834FD">
            <w:pPr>
              <w:keepNext w:val="0"/>
              <w:keepLines w:val="0"/>
              <w:pageBreakBefore w:val="0"/>
              <w:kinsoku w:val="0"/>
              <w:wordWrap/>
              <w:overflowPunct/>
              <w:topLinePunct w:val="0"/>
              <w:autoSpaceDE w:val="0"/>
              <w:autoSpaceDN w:val="0"/>
              <w:bidi w:val="0"/>
              <w:adjustRightInd w:val="0"/>
              <w:snapToGrid w:val="0"/>
              <w:spacing w:before="51" w:line="360" w:lineRule="auto"/>
              <w:ind w:left="48" w:leftChars="20" w:firstLine="476"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式子中，L</w:t>
            </w:r>
            <w:r>
              <w:rPr>
                <w:rFonts w:hint="eastAsia" w:ascii="Times New Roman" w:hAnsi="Times New Roman" w:eastAsia="宋体" w:cs="宋体"/>
                <w:color w:val="auto"/>
                <w:spacing w:val="-1"/>
                <w:sz w:val="24"/>
                <w:szCs w:val="24"/>
                <w:vertAlign w:val="subscript"/>
                <w:lang w:val="en-US" w:eastAsia="zh-CN"/>
              </w:rPr>
              <w:t>(r)</w:t>
            </w:r>
            <w:r>
              <w:rPr>
                <w:rFonts w:hint="eastAsia" w:ascii="Times New Roman" w:hAnsi="Times New Roman" w:eastAsia="宋体" w:cs="宋体"/>
                <w:i w:val="0"/>
                <w:color w:val="auto"/>
                <w:spacing w:val="-1"/>
                <w:sz w:val="24"/>
                <w:szCs w:val="24"/>
                <w:lang w:val="en-US" w:eastAsia="zh-CN"/>
              </w:rPr>
              <w:t>、L</w:t>
            </w:r>
            <w:r>
              <w:rPr>
                <w:rFonts w:hint="eastAsia" w:cs="宋体"/>
                <w:i w:val="0"/>
                <w:color w:val="auto"/>
                <w:spacing w:val="-1"/>
                <w:sz w:val="24"/>
                <w:szCs w:val="24"/>
                <w:vertAlign w:val="subscript"/>
                <w:lang w:val="en-US" w:eastAsia="zh-CN"/>
              </w:rPr>
              <w:t>(</w:t>
            </w:r>
            <w:r>
              <w:rPr>
                <w:rFonts w:hint="eastAsia" w:ascii="Times New Roman" w:hAnsi="Times New Roman" w:eastAsia="宋体" w:cs="宋体"/>
                <w:i w:val="0"/>
                <w:color w:val="auto"/>
                <w:spacing w:val="-1"/>
                <w:sz w:val="24"/>
                <w:szCs w:val="24"/>
                <w:vertAlign w:val="subscript"/>
                <w:lang w:val="en-US" w:eastAsia="zh-CN"/>
              </w:rPr>
              <w:t>R0</w:t>
            </w:r>
            <w:r>
              <w:rPr>
                <w:rFonts w:hint="eastAsia" w:cs="宋体"/>
                <w:i w:val="0"/>
                <w:color w:val="auto"/>
                <w:spacing w:val="-1"/>
                <w:sz w:val="24"/>
                <w:szCs w:val="24"/>
                <w:vertAlign w:val="subscript"/>
                <w:lang w:val="en-US" w:eastAsia="zh-CN"/>
              </w:rPr>
              <w:t>）</w:t>
            </w:r>
            <w:r>
              <w:rPr>
                <w:rFonts w:hint="eastAsia" w:ascii="Times New Roman" w:hAnsi="Times New Roman" w:eastAsia="宋体" w:cs="宋体"/>
                <w:i w:val="0"/>
                <w:color w:val="auto"/>
                <w:spacing w:val="-1"/>
                <w:sz w:val="24"/>
                <w:szCs w:val="24"/>
                <w:lang w:val="en-US" w:eastAsia="zh-CN"/>
              </w:rPr>
              <w:t>为距离声源r、r</w:t>
            </w:r>
            <w:r>
              <w:rPr>
                <w:rFonts w:hint="eastAsia" w:ascii="Times New Roman" w:hAnsi="Times New Roman" w:eastAsia="宋体" w:cs="宋体"/>
                <w:i w:val="0"/>
                <w:color w:val="auto"/>
                <w:spacing w:val="-1"/>
                <w:sz w:val="24"/>
                <w:szCs w:val="24"/>
                <w:vertAlign w:val="subscript"/>
                <w:lang w:val="en-US" w:eastAsia="zh-CN"/>
              </w:rPr>
              <w:t>0</w:t>
            </w:r>
            <w:r>
              <w:rPr>
                <w:rFonts w:hint="eastAsia" w:ascii="Times New Roman" w:hAnsi="Times New Roman" w:eastAsia="宋体" w:cs="宋体"/>
                <w:i w:val="0"/>
                <w:color w:val="auto"/>
                <w:spacing w:val="-1"/>
                <w:sz w:val="24"/>
                <w:szCs w:val="24"/>
                <w:lang w:val="en-US" w:eastAsia="zh-CN"/>
              </w:rPr>
              <w:t>处噪声级，dB(A)；</w:t>
            </w:r>
          </w:p>
          <w:p w14:paraId="13A2EAEA">
            <w:pPr>
              <w:pStyle w:val="37"/>
              <w:bidi w:val="0"/>
              <w:rPr>
                <w:rFonts w:hint="default"/>
                <w:color w:val="auto"/>
                <w:lang w:val="en-US" w:eastAsia="zh-CN"/>
              </w:rPr>
            </w:pPr>
            <w:r>
              <w:rPr>
                <w:rFonts w:hint="eastAsia"/>
                <w:color w:val="auto"/>
                <w:lang w:val="en-US" w:eastAsia="zh-CN"/>
              </w:rPr>
              <w:t>预测结果见表4-3。</w:t>
            </w:r>
          </w:p>
          <w:p w14:paraId="41505B6E">
            <w:pPr>
              <w:keepNext w:val="0"/>
              <w:keepLines w:val="0"/>
              <w:pageBreakBefore w:val="0"/>
              <w:numPr>
                <w:ilvl w:val="0"/>
                <w:numId w:val="0"/>
              </w:numPr>
              <w:kinsoku w:val="0"/>
              <w:wordWrap/>
              <w:overflowPunct/>
              <w:topLinePunct w:val="0"/>
              <w:autoSpaceDE w:val="0"/>
              <w:autoSpaceDN w:val="0"/>
              <w:bidi w:val="0"/>
              <w:adjustRightInd w:val="0"/>
              <w:snapToGrid w:val="0"/>
              <w:spacing w:before="51" w:line="360" w:lineRule="auto"/>
              <w:ind w:left="48" w:leftChars="20" w:firstLine="482" w:firstLineChars="200"/>
              <w:jc w:val="both"/>
              <w:rPr>
                <w:rFonts w:hint="eastAsia" w:ascii="Times New Roman" w:hAnsi="Times New Roman" w:eastAsia="宋体" w:cs="宋体"/>
                <w:b/>
                <w:bCs/>
                <w:color w:val="auto"/>
                <w:spacing w:val="-1"/>
                <w:sz w:val="24"/>
                <w:szCs w:val="24"/>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ascii="Times New Roman" w:hAnsi="Times New Roman" w:eastAsia="宋体" w:cs="宋体"/>
                <w:b/>
                <w:bCs/>
                <w:color w:val="auto"/>
                <w:spacing w:val="-1"/>
                <w:sz w:val="24"/>
                <w:szCs w:val="24"/>
                <w:lang w:val="en-US" w:eastAsia="zh-CN"/>
              </w:rPr>
              <w:t>影响分析</w:t>
            </w:r>
          </w:p>
          <w:p w14:paraId="1B2CFD85">
            <w:pPr>
              <w:keepNext w:val="0"/>
              <w:keepLines w:val="0"/>
              <w:pageBreakBefore w:val="0"/>
              <w:kinsoku w:val="0"/>
              <w:wordWrap/>
              <w:overflowPunct/>
              <w:topLinePunct w:val="0"/>
              <w:autoSpaceDE w:val="0"/>
              <w:autoSpaceDN w:val="0"/>
              <w:bidi w:val="0"/>
              <w:adjustRightInd w:val="0"/>
              <w:snapToGrid w:val="0"/>
              <w:spacing w:before="51" w:line="360" w:lineRule="auto"/>
              <w:ind w:left="48" w:leftChars="20" w:firstLine="476"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施工机械中除各种运输车辆外，一般可视为固定点声源。在不考虑其他因素情况下，不同距离处各类施工机械的噪声贡献值预测模式如下：</w:t>
            </w:r>
          </w:p>
          <w:p w14:paraId="5614CD4F">
            <w:pPr>
              <w:pStyle w:val="12"/>
              <w:keepNext w:val="0"/>
              <w:keepLines w:val="0"/>
              <w:pageBreakBefore w:val="0"/>
              <w:kinsoku w:val="0"/>
              <w:wordWrap/>
              <w:overflowPunct/>
              <w:topLinePunct w:val="0"/>
              <w:autoSpaceDE w:val="0"/>
              <w:autoSpaceDN w:val="0"/>
              <w:bidi w:val="0"/>
              <w:adjustRightInd w:val="0"/>
              <w:snapToGrid w:val="0"/>
              <w:spacing w:line="360" w:lineRule="auto"/>
              <w:ind w:left="48" w:leftChars="20"/>
              <w:jc w:val="center"/>
              <w:rPr>
                <w:rFonts w:hint="default" w:ascii="Times New Roman" w:hAnsi="Times New Roman" w:eastAsia="宋体" w:cs="宋体"/>
                <w:i/>
                <w:iCs/>
                <w:color w:val="auto"/>
                <w:sz w:val="28"/>
                <w:szCs w:val="28"/>
                <w:lang w:val="en-US" w:eastAsia="zh-CN"/>
              </w:rPr>
            </w:pPr>
            <w:r>
              <w:rPr>
                <w:rFonts w:hint="eastAsia" w:ascii="Times New Roman" w:hAnsi="Times New Roman" w:eastAsia="宋体" w:cs="宋体"/>
                <w:i/>
                <w:iCs/>
                <w:color w:val="auto"/>
                <w:sz w:val="28"/>
                <w:szCs w:val="28"/>
                <w:lang w:val="en-US" w:eastAsia="zh-CN"/>
              </w:rPr>
              <w:t>L</w:t>
            </w:r>
            <w:r>
              <w:rPr>
                <w:rFonts w:hint="eastAsia" w:ascii="Times New Roman" w:hAnsi="Times New Roman" w:eastAsia="宋体" w:cs="宋体"/>
                <w:i/>
                <w:iCs/>
                <w:color w:val="auto"/>
                <w:sz w:val="28"/>
                <w:szCs w:val="28"/>
                <w:vertAlign w:val="subscript"/>
                <w:lang w:val="en-US" w:eastAsia="zh-CN"/>
              </w:rPr>
              <w:t>(r)</w:t>
            </w:r>
            <w:r>
              <w:rPr>
                <w:rFonts w:hint="eastAsia" w:ascii="Times New Roman" w:hAnsi="Times New Roman" w:eastAsia="宋体" w:cs="宋体"/>
                <w:i w:val="0"/>
                <w:iCs w:val="0"/>
                <w:color w:val="auto"/>
                <w:sz w:val="28"/>
                <w:szCs w:val="28"/>
                <w:lang w:val="en-US" w:eastAsia="zh-CN"/>
              </w:rPr>
              <w:t>=</w:t>
            </w:r>
            <w:r>
              <w:rPr>
                <w:rFonts w:hint="eastAsia" w:ascii="Times New Roman" w:hAnsi="Times New Roman" w:eastAsia="宋体" w:cs="宋体"/>
                <w:i/>
                <w:iCs/>
                <w:color w:val="auto"/>
                <w:sz w:val="28"/>
                <w:szCs w:val="28"/>
                <w:lang w:val="en-US" w:eastAsia="zh-CN"/>
              </w:rPr>
              <w:t>L</w:t>
            </w:r>
            <w:r>
              <w:rPr>
                <w:rFonts w:hint="eastAsia" w:ascii="Times New Roman" w:hAnsi="Times New Roman" w:eastAsia="宋体" w:cs="宋体"/>
                <w:i/>
                <w:iCs/>
                <w:color w:val="auto"/>
                <w:sz w:val="28"/>
                <w:szCs w:val="28"/>
                <w:vertAlign w:val="subscript"/>
                <w:lang w:val="en-US" w:eastAsia="zh-CN"/>
              </w:rPr>
              <w:t>(r0)</w:t>
            </w:r>
            <w:r>
              <w:rPr>
                <w:rFonts w:hint="eastAsia" w:ascii="Times New Roman" w:hAnsi="Times New Roman" w:eastAsia="宋体" w:cs="宋体"/>
                <w:i w:val="0"/>
                <w:iCs w:val="0"/>
                <w:color w:val="auto"/>
                <w:sz w:val="28"/>
                <w:szCs w:val="28"/>
                <w:lang w:val="en-US" w:eastAsia="zh-CN"/>
              </w:rPr>
              <w:t>-20</w:t>
            </w:r>
            <w:r>
              <w:rPr>
                <w:rFonts w:hint="eastAsia" w:ascii="Times New Roman" w:hAnsi="Times New Roman" w:eastAsia="宋体" w:cs="宋体"/>
                <w:i/>
                <w:iCs/>
                <w:color w:val="auto"/>
                <w:sz w:val="28"/>
                <w:szCs w:val="28"/>
                <w:lang w:val="en-US" w:eastAsia="zh-CN"/>
              </w:rPr>
              <w:t>lg(r/r</w:t>
            </w:r>
            <w:r>
              <w:rPr>
                <w:rFonts w:hint="eastAsia" w:ascii="Times New Roman" w:hAnsi="Times New Roman" w:eastAsia="宋体" w:cs="宋体"/>
                <w:i/>
                <w:iCs/>
                <w:color w:val="auto"/>
                <w:sz w:val="28"/>
                <w:szCs w:val="28"/>
                <w:vertAlign w:val="subscript"/>
                <w:lang w:val="en-US" w:eastAsia="zh-CN"/>
              </w:rPr>
              <w:t>0</w:t>
            </w:r>
            <w:r>
              <w:rPr>
                <w:rFonts w:hint="eastAsia" w:ascii="Times New Roman" w:hAnsi="Times New Roman" w:eastAsia="宋体" w:cs="宋体"/>
                <w:i/>
                <w:iCs/>
                <w:color w:val="auto"/>
                <w:sz w:val="28"/>
                <w:szCs w:val="28"/>
                <w:lang w:val="en-US" w:eastAsia="zh-CN"/>
              </w:rPr>
              <w:t>)</w:t>
            </w:r>
          </w:p>
          <w:p w14:paraId="01F0233E">
            <w:pPr>
              <w:keepNext w:val="0"/>
              <w:keepLines w:val="0"/>
              <w:pageBreakBefore w:val="0"/>
              <w:kinsoku w:val="0"/>
              <w:wordWrap/>
              <w:overflowPunct/>
              <w:topLinePunct w:val="0"/>
              <w:autoSpaceDE w:val="0"/>
              <w:autoSpaceDN w:val="0"/>
              <w:bidi w:val="0"/>
              <w:adjustRightInd w:val="0"/>
              <w:snapToGrid w:val="0"/>
              <w:spacing w:before="51" w:line="360" w:lineRule="auto"/>
              <w:ind w:left="48" w:leftChars="20" w:firstLine="476" w:firstLineChars="200"/>
              <w:jc w:val="both"/>
              <w:rPr>
                <w:rFonts w:hint="eastAsia" w:ascii="Times New Roman" w:hAnsi="Times New Roman" w:eastAsia="宋体" w:cs="宋体"/>
                <w:color w:val="auto"/>
                <w:spacing w:val="-1"/>
                <w:sz w:val="24"/>
                <w:szCs w:val="24"/>
                <w:lang w:val="en-US" w:eastAsia="zh-CN"/>
              </w:rPr>
            </w:pPr>
            <w:r>
              <w:rPr>
                <w:rFonts w:hint="eastAsia" w:ascii="Times New Roman" w:hAnsi="Times New Roman" w:eastAsia="宋体" w:cs="宋体"/>
                <w:color w:val="auto"/>
                <w:spacing w:val="-1"/>
                <w:sz w:val="24"/>
                <w:szCs w:val="24"/>
                <w:lang w:val="en-US" w:eastAsia="zh-CN"/>
              </w:rPr>
              <w:t>式子中，L</w:t>
            </w:r>
            <w:r>
              <w:rPr>
                <w:rFonts w:hint="eastAsia" w:ascii="Times New Roman" w:hAnsi="Times New Roman" w:eastAsia="宋体" w:cs="宋体"/>
                <w:color w:val="auto"/>
                <w:spacing w:val="-1"/>
                <w:sz w:val="24"/>
                <w:szCs w:val="24"/>
                <w:vertAlign w:val="subscript"/>
                <w:lang w:val="en-US" w:eastAsia="zh-CN"/>
              </w:rPr>
              <w:t>(r)</w:t>
            </w:r>
            <w:r>
              <w:rPr>
                <w:rFonts w:hint="eastAsia" w:ascii="Times New Roman" w:hAnsi="Times New Roman" w:eastAsia="宋体" w:cs="宋体"/>
                <w:i w:val="0"/>
                <w:color w:val="auto"/>
                <w:spacing w:val="-1"/>
                <w:sz w:val="24"/>
                <w:szCs w:val="24"/>
                <w:lang w:val="en-US" w:eastAsia="zh-CN"/>
              </w:rPr>
              <w:t>、L</w:t>
            </w:r>
            <w:r>
              <w:rPr>
                <w:rFonts w:hint="eastAsia" w:cs="宋体"/>
                <w:i w:val="0"/>
                <w:color w:val="auto"/>
                <w:spacing w:val="-1"/>
                <w:sz w:val="24"/>
                <w:szCs w:val="24"/>
                <w:vertAlign w:val="subscript"/>
                <w:lang w:val="en-US" w:eastAsia="zh-CN"/>
              </w:rPr>
              <w:t>(</w:t>
            </w:r>
            <w:r>
              <w:rPr>
                <w:rFonts w:hint="eastAsia" w:ascii="Times New Roman" w:hAnsi="Times New Roman" w:eastAsia="宋体" w:cs="宋体"/>
                <w:i w:val="0"/>
                <w:color w:val="auto"/>
                <w:spacing w:val="-1"/>
                <w:sz w:val="24"/>
                <w:szCs w:val="24"/>
                <w:vertAlign w:val="subscript"/>
                <w:lang w:val="en-US" w:eastAsia="zh-CN"/>
              </w:rPr>
              <w:t>R0</w:t>
            </w:r>
            <w:r>
              <w:rPr>
                <w:rFonts w:hint="eastAsia" w:cs="宋体"/>
                <w:i w:val="0"/>
                <w:color w:val="auto"/>
                <w:spacing w:val="-1"/>
                <w:sz w:val="24"/>
                <w:szCs w:val="24"/>
                <w:vertAlign w:val="subscript"/>
                <w:lang w:val="en-US" w:eastAsia="zh-CN"/>
              </w:rPr>
              <w:t>）</w:t>
            </w:r>
            <w:r>
              <w:rPr>
                <w:rFonts w:hint="eastAsia" w:ascii="Times New Roman" w:hAnsi="Times New Roman" w:eastAsia="宋体" w:cs="宋体"/>
                <w:i w:val="0"/>
                <w:color w:val="auto"/>
                <w:spacing w:val="-1"/>
                <w:sz w:val="24"/>
                <w:szCs w:val="24"/>
                <w:lang w:val="en-US" w:eastAsia="zh-CN"/>
              </w:rPr>
              <w:t>为距离声源r、r</w:t>
            </w:r>
            <w:r>
              <w:rPr>
                <w:rFonts w:hint="eastAsia" w:ascii="Times New Roman" w:hAnsi="Times New Roman" w:eastAsia="宋体" w:cs="宋体"/>
                <w:i w:val="0"/>
                <w:color w:val="auto"/>
                <w:spacing w:val="-1"/>
                <w:sz w:val="24"/>
                <w:szCs w:val="24"/>
                <w:vertAlign w:val="subscript"/>
                <w:lang w:val="en-US" w:eastAsia="zh-CN"/>
              </w:rPr>
              <w:t>0</w:t>
            </w:r>
            <w:r>
              <w:rPr>
                <w:rFonts w:hint="eastAsia" w:ascii="Times New Roman" w:hAnsi="Times New Roman" w:eastAsia="宋体" w:cs="宋体"/>
                <w:i w:val="0"/>
                <w:color w:val="auto"/>
                <w:spacing w:val="-1"/>
                <w:sz w:val="24"/>
                <w:szCs w:val="24"/>
                <w:lang w:val="en-US" w:eastAsia="zh-CN"/>
              </w:rPr>
              <w:t>处噪声级，dB(A)；</w:t>
            </w:r>
          </w:p>
          <w:p w14:paraId="5A71B921">
            <w:pPr>
              <w:pStyle w:val="37"/>
              <w:bidi w:val="0"/>
              <w:rPr>
                <w:rFonts w:hint="default"/>
                <w:color w:val="auto"/>
                <w:lang w:val="en-US" w:eastAsia="zh-CN"/>
              </w:rPr>
            </w:pPr>
            <w:r>
              <w:rPr>
                <w:rFonts w:hint="eastAsia"/>
                <w:color w:val="auto"/>
                <w:lang w:val="en-US" w:eastAsia="zh-CN"/>
              </w:rPr>
              <w:t>预测结果见表4-3。</w:t>
            </w:r>
          </w:p>
          <w:p w14:paraId="77019512">
            <w:pPr>
              <w:pStyle w:val="32"/>
              <w:bidi w:val="0"/>
              <w:spacing w:line="240" w:lineRule="auto"/>
              <w:rPr>
                <w:rFonts w:hint="eastAsia"/>
                <w:color w:val="auto"/>
                <w:lang w:val="en-US" w:eastAsia="zh-CN"/>
              </w:rPr>
            </w:pPr>
            <w:r>
              <w:rPr>
                <w:rFonts w:hint="eastAsia"/>
                <w:color w:val="auto"/>
                <w:lang w:eastAsia="zh-CN"/>
              </w:rPr>
              <w:t>表</w:t>
            </w:r>
            <w:r>
              <w:rPr>
                <w:rFonts w:hint="eastAsia"/>
                <w:color w:val="auto"/>
                <w:lang w:val="en-US" w:eastAsia="zh-CN"/>
              </w:rPr>
              <w:t xml:space="preserve">4-3  </w:t>
            </w:r>
            <w:r>
              <w:rPr>
                <w:color w:val="auto"/>
              </w:rPr>
              <w:t>噪声源随距离衰减情况一览表</w:t>
            </w:r>
          </w:p>
          <w:tbl>
            <w:tblPr>
              <w:tblStyle w:val="24"/>
              <w:tblW w:w="8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731"/>
              <w:gridCol w:w="731"/>
              <w:gridCol w:w="731"/>
              <w:gridCol w:w="731"/>
              <w:gridCol w:w="731"/>
              <w:gridCol w:w="731"/>
              <w:gridCol w:w="731"/>
              <w:gridCol w:w="731"/>
              <w:gridCol w:w="731"/>
              <w:gridCol w:w="732"/>
            </w:tblGrid>
            <w:tr w14:paraId="59FA5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restart"/>
                  <w:tcBorders>
                    <w:tl2br w:val="nil"/>
                    <w:tr2bl w:val="nil"/>
                  </w:tcBorders>
                  <w:vAlign w:val="center"/>
                </w:tcPr>
                <w:p w14:paraId="3DC81675">
                  <w:pPr>
                    <w:pStyle w:val="35"/>
                    <w:bidi w:val="0"/>
                    <w:spacing w:line="240" w:lineRule="auto"/>
                    <w:rPr>
                      <w:rFonts w:hint="eastAsia"/>
                      <w:b/>
                      <w:bCs/>
                      <w:color w:val="auto"/>
                      <w:lang w:val="en-US" w:eastAsia="zh-CN"/>
                    </w:rPr>
                  </w:pPr>
                  <w:r>
                    <w:rPr>
                      <w:b/>
                      <w:bCs/>
                      <w:color w:val="auto"/>
                    </w:rPr>
                    <w:t>设备名称</w:t>
                  </w:r>
                </w:p>
              </w:tc>
              <w:tc>
                <w:tcPr>
                  <w:tcW w:w="731" w:type="dxa"/>
                  <w:vMerge w:val="restart"/>
                  <w:tcBorders>
                    <w:tl2br w:val="nil"/>
                    <w:tr2bl w:val="nil"/>
                  </w:tcBorders>
                  <w:vAlign w:val="center"/>
                </w:tcPr>
                <w:p w14:paraId="66596E2F">
                  <w:pPr>
                    <w:pStyle w:val="35"/>
                    <w:bidi w:val="0"/>
                    <w:spacing w:line="240" w:lineRule="auto"/>
                    <w:rPr>
                      <w:rFonts w:hint="eastAsia"/>
                      <w:b/>
                      <w:bCs/>
                      <w:color w:val="auto"/>
                      <w:lang w:val="en-US" w:eastAsia="zh-CN"/>
                    </w:rPr>
                  </w:pPr>
                  <w:r>
                    <w:rPr>
                      <w:rFonts w:hint="eastAsia"/>
                      <w:b/>
                      <w:bCs/>
                      <w:color w:val="auto"/>
                      <w:lang w:val="en-US" w:eastAsia="zh-CN"/>
                    </w:rPr>
                    <w:t>源强</w:t>
                  </w:r>
                </w:p>
              </w:tc>
              <w:tc>
                <w:tcPr>
                  <w:tcW w:w="6580" w:type="dxa"/>
                  <w:gridSpan w:val="9"/>
                  <w:tcBorders>
                    <w:tl2br w:val="nil"/>
                    <w:tr2bl w:val="nil"/>
                  </w:tcBorders>
                  <w:vAlign w:val="center"/>
                </w:tcPr>
                <w:p w14:paraId="289AC38E">
                  <w:pPr>
                    <w:pStyle w:val="35"/>
                    <w:bidi w:val="0"/>
                    <w:spacing w:line="240" w:lineRule="auto"/>
                    <w:rPr>
                      <w:rFonts w:hint="eastAsia"/>
                      <w:b/>
                      <w:bCs/>
                      <w:color w:val="auto"/>
                      <w:lang w:val="en-US" w:eastAsia="zh-CN"/>
                    </w:rPr>
                  </w:pPr>
                  <w:r>
                    <w:rPr>
                      <w:b/>
                      <w:bCs/>
                      <w:color w:val="auto"/>
                    </w:rPr>
                    <w:t>噪声源不同距离噪声值</w:t>
                  </w:r>
                </w:p>
              </w:tc>
            </w:tr>
            <w:tr w14:paraId="38E3E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continue"/>
                  <w:tcBorders>
                    <w:tl2br w:val="nil"/>
                    <w:tr2bl w:val="nil"/>
                  </w:tcBorders>
                  <w:vAlign w:val="center"/>
                </w:tcPr>
                <w:p w14:paraId="6E3244C3">
                  <w:pPr>
                    <w:pStyle w:val="35"/>
                    <w:bidi w:val="0"/>
                    <w:spacing w:line="240" w:lineRule="auto"/>
                    <w:rPr>
                      <w:rFonts w:hint="eastAsia"/>
                      <w:b/>
                      <w:bCs/>
                      <w:color w:val="auto"/>
                      <w:lang w:val="en-US" w:eastAsia="zh-CN"/>
                    </w:rPr>
                  </w:pPr>
                </w:p>
              </w:tc>
              <w:tc>
                <w:tcPr>
                  <w:tcW w:w="731" w:type="dxa"/>
                  <w:vMerge w:val="continue"/>
                  <w:tcBorders>
                    <w:tl2br w:val="nil"/>
                    <w:tr2bl w:val="nil"/>
                  </w:tcBorders>
                  <w:vAlign w:val="center"/>
                </w:tcPr>
                <w:p w14:paraId="0DDDB56F">
                  <w:pPr>
                    <w:pStyle w:val="35"/>
                    <w:bidi w:val="0"/>
                    <w:spacing w:line="240" w:lineRule="auto"/>
                    <w:rPr>
                      <w:rFonts w:hint="eastAsia"/>
                      <w:b/>
                      <w:bCs/>
                      <w:color w:val="auto"/>
                      <w:lang w:val="en-US" w:eastAsia="zh-CN"/>
                    </w:rPr>
                  </w:pPr>
                </w:p>
              </w:tc>
              <w:tc>
                <w:tcPr>
                  <w:tcW w:w="731" w:type="dxa"/>
                  <w:tcBorders>
                    <w:tl2br w:val="nil"/>
                    <w:tr2bl w:val="nil"/>
                  </w:tcBorders>
                  <w:vAlign w:val="center"/>
                </w:tcPr>
                <w:p w14:paraId="53E6AC0B">
                  <w:pPr>
                    <w:pStyle w:val="35"/>
                    <w:bidi w:val="0"/>
                    <w:spacing w:line="240" w:lineRule="auto"/>
                    <w:rPr>
                      <w:rFonts w:hint="eastAsia"/>
                      <w:b/>
                      <w:bCs/>
                      <w:color w:val="auto"/>
                      <w:lang w:val="en-US" w:eastAsia="zh-CN"/>
                    </w:rPr>
                  </w:pPr>
                  <w:r>
                    <w:rPr>
                      <w:b/>
                      <w:bCs/>
                      <w:color w:val="auto"/>
                    </w:rPr>
                    <w:t>5m</w:t>
                  </w:r>
                </w:p>
              </w:tc>
              <w:tc>
                <w:tcPr>
                  <w:tcW w:w="731" w:type="dxa"/>
                  <w:tcBorders>
                    <w:tl2br w:val="nil"/>
                    <w:tr2bl w:val="nil"/>
                  </w:tcBorders>
                  <w:vAlign w:val="center"/>
                </w:tcPr>
                <w:p w14:paraId="33FC7014">
                  <w:pPr>
                    <w:pStyle w:val="35"/>
                    <w:bidi w:val="0"/>
                    <w:spacing w:line="240" w:lineRule="auto"/>
                    <w:rPr>
                      <w:rFonts w:hint="eastAsia"/>
                      <w:b/>
                      <w:bCs/>
                      <w:color w:val="auto"/>
                      <w:lang w:val="en-US" w:eastAsia="zh-CN"/>
                    </w:rPr>
                  </w:pPr>
                  <w:r>
                    <w:rPr>
                      <w:b/>
                      <w:bCs/>
                      <w:color w:val="auto"/>
                    </w:rPr>
                    <w:t>10m</w:t>
                  </w:r>
                </w:p>
              </w:tc>
              <w:tc>
                <w:tcPr>
                  <w:tcW w:w="731" w:type="dxa"/>
                  <w:tcBorders>
                    <w:tl2br w:val="nil"/>
                    <w:tr2bl w:val="nil"/>
                  </w:tcBorders>
                  <w:vAlign w:val="center"/>
                </w:tcPr>
                <w:p w14:paraId="0868A54B">
                  <w:pPr>
                    <w:pStyle w:val="35"/>
                    <w:bidi w:val="0"/>
                    <w:spacing w:line="240" w:lineRule="auto"/>
                    <w:rPr>
                      <w:rFonts w:hint="eastAsia"/>
                      <w:b/>
                      <w:bCs/>
                      <w:color w:val="auto"/>
                      <w:lang w:val="en-US" w:eastAsia="zh-CN"/>
                    </w:rPr>
                  </w:pPr>
                  <w:r>
                    <w:rPr>
                      <w:b/>
                      <w:bCs/>
                      <w:color w:val="auto"/>
                    </w:rPr>
                    <w:t>20m</w:t>
                  </w:r>
                </w:p>
              </w:tc>
              <w:tc>
                <w:tcPr>
                  <w:tcW w:w="731" w:type="dxa"/>
                  <w:tcBorders>
                    <w:tl2br w:val="nil"/>
                    <w:tr2bl w:val="nil"/>
                  </w:tcBorders>
                  <w:vAlign w:val="center"/>
                </w:tcPr>
                <w:p w14:paraId="1959D1C0">
                  <w:pPr>
                    <w:pStyle w:val="35"/>
                    <w:bidi w:val="0"/>
                    <w:spacing w:line="240" w:lineRule="auto"/>
                    <w:rPr>
                      <w:rFonts w:hint="eastAsia"/>
                      <w:b/>
                      <w:bCs/>
                      <w:color w:val="auto"/>
                      <w:lang w:val="en-US" w:eastAsia="zh-CN"/>
                    </w:rPr>
                  </w:pPr>
                  <w:r>
                    <w:rPr>
                      <w:b/>
                      <w:bCs/>
                      <w:color w:val="auto"/>
                    </w:rPr>
                    <w:t>30m</w:t>
                  </w:r>
                </w:p>
              </w:tc>
              <w:tc>
                <w:tcPr>
                  <w:tcW w:w="731" w:type="dxa"/>
                  <w:tcBorders>
                    <w:tl2br w:val="nil"/>
                    <w:tr2bl w:val="nil"/>
                  </w:tcBorders>
                  <w:vAlign w:val="center"/>
                </w:tcPr>
                <w:p w14:paraId="28B33EAA">
                  <w:pPr>
                    <w:pStyle w:val="35"/>
                    <w:bidi w:val="0"/>
                    <w:spacing w:line="240" w:lineRule="auto"/>
                    <w:rPr>
                      <w:rFonts w:hint="eastAsia"/>
                      <w:b/>
                      <w:bCs/>
                      <w:color w:val="auto"/>
                      <w:lang w:val="en-US" w:eastAsia="zh-CN"/>
                    </w:rPr>
                  </w:pPr>
                  <w:r>
                    <w:rPr>
                      <w:b/>
                      <w:bCs/>
                      <w:color w:val="auto"/>
                    </w:rPr>
                    <w:t>40m</w:t>
                  </w:r>
                </w:p>
              </w:tc>
              <w:tc>
                <w:tcPr>
                  <w:tcW w:w="731" w:type="dxa"/>
                  <w:tcBorders>
                    <w:tl2br w:val="nil"/>
                    <w:tr2bl w:val="nil"/>
                  </w:tcBorders>
                  <w:vAlign w:val="center"/>
                </w:tcPr>
                <w:p w14:paraId="4C526454">
                  <w:pPr>
                    <w:pStyle w:val="35"/>
                    <w:bidi w:val="0"/>
                    <w:spacing w:line="240" w:lineRule="auto"/>
                    <w:rPr>
                      <w:rFonts w:hint="eastAsia"/>
                      <w:b/>
                      <w:bCs/>
                      <w:color w:val="auto"/>
                      <w:lang w:val="en-US" w:eastAsia="zh-CN"/>
                    </w:rPr>
                  </w:pPr>
                  <w:r>
                    <w:rPr>
                      <w:b/>
                      <w:bCs/>
                      <w:color w:val="auto"/>
                    </w:rPr>
                    <w:t>50m</w:t>
                  </w:r>
                </w:p>
              </w:tc>
              <w:tc>
                <w:tcPr>
                  <w:tcW w:w="731" w:type="dxa"/>
                  <w:tcBorders>
                    <w:tl2br w:val="nil"/>
                    <w:tr2bl w:val="nil"/>
                  </w:tcBorders>
                  <w:vAlign w:val="center"/>
                </w:tcPr>
                <w:p w14:paraId="55ED29E9">
                  <w:pPr>
                    <w:pStyle w:val="35"/>
                    <w:bidi w:val="0"/>
                    <w:spacing w:line="240" w:lineRule="auto"/>
                    <w:rPr>
                      <w:rFonts w:hint="eastAsia"/>
                      <w:b/>
                      <w:bCs/>
                      <w:color w:val="auto"/>
                      <w:lang w:val="en-US" w:eastAsia="zh-CN"/>
                    </w:rPr>
                  </w:pPr>
                  <w:r>
                    <w:rPr>
                      <w:b/>
                      <w:bCs/>
                      <w:color w:val="auto"/>
                    </w:rPr>
                    <w:t>100m</w:t>
                  </w:r>
                </w:p>
              </w:tc>
              <w:tc>
                <w:tcPr>
                  <w:tcW w:w="731" w:type="dxa"/>
                  <w:tcBorders>
                    <w:tl2br w:val="nil"/>
                    <w:tr2bl w:val="nil"/>
                  </w:tcBorders>
                  <w:vAlign w:val="center"/>
                </w:tcPr>
                <w:p w14:paraId="6B64754F">
                  <w:pPr>
                    <w:pStyle w:val="35"/>
                    <w:bidi w:val="0"/>
                    <w:spacing w:line="240" w:lineRule="auto"/>
                    <w:rPr>
                      <w:rFonts w:hint="eastAsia"/>
                      <w:b/>
                      <w:bCs/>
                      <w:color w:val="auto"/>
                      <w:lang w:val="en-US" w:eastAsia="zh-CN"/>
                    </w:rPr>
                  </w:pPr>
                  <w:r>
                    <w:rPr>
                      <w:b/>
                      <w:bCs/>
                      <w:color w:val="auto"/>
                    </w:rPr>
                    <w:t>150m</w:t>
                  </w:r>
                </w:p>
              </w:tc>
              <w:tc>
                <w:tcPr>
                  <w:tcW w:w="732" w:type="dxa"/>
                  <w:tcBorders>
                    <w:tl2br w:val="nil"/>
                    <w:tr2bl w:val="nil"/>
                  </w:tcBorders>
                  <w:vAlign w:val="center"/>
                </w:tcPr>
                <w:p w14:paraId="3DFC7D45">
                  <w:pPr>
                    <w:pStyle w:val="35"/>
                    <w:bidi w:val="0"/>
                    <w:spacing w:line="240" w:lineRule="auto"/>
                    <w:rPr>
                      <w:rFonts w:hint="eastAsia"/>
                      <w:b/>
                      <w:bCs/>
                      <w:color w:val="auto"/>
                      <w:lang w:val="en-US" w:eastAsia="zh-CN"/>
                    </w:rPr>
                  </w:pPr>
                  <w:r>
                    <w:rPr>
                      <w:b/>
                      <w:bCs/>
                      <w:color w:val="auto"/>
                    </w:rPr>
                    <w:t>200m</w:t>
                  </w:r>
                </w:p>
              </w:tc>
            </w:tr>
            <w:tr w14:paraId="33934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373903ED">
                  <w:pPr>
                    <w:pStyle w:val="35"/>
                    <w:bidi w:val="0"/>
                    <w:spacing w:line="240" w:lineRule="auto"/>
                    <w:ind w:firstLine="0" w:firstLineChars="0"/>
                    <w:rPr>
                      <w:rFonts w:hint="eastAsia"/>
                      <w:color w:val="auto"/>
                      <w:lang w:val="en-US" w:eastAsia="zh-CN"/>
                    </w:rPr>
                  </w:pPr>
                  <w:r>
                    <w:rPr>
                      <w:color w:val="auto"/>
                    </w:rPr>
                    <w:t>挖掘机</w:t>
                  </w:r>
                </w:p>
              </w:tc>
              <w:tc>
                <w:tcPr>
                  <w:tcW w:w="731" w:type="dxa"/>
                  <w:tcBorders>
                    <w:tl2br w:val="nil"/>
                    <w:tr2bl w:val="nil"/>
                  </w:tcBorders>
                  <w:vAlign w:val="center"/>
                </w:tcPr>
                <w:p w14:paraId="7629C295">
                  <w:pPr>
                    <w:pStyle w:val="35"/>
                    <w:bidi w:val="0"/>
                    <w:spacing w:line="240" w:lineRule="auto"/>
                    <w:rPr>
                      <w:rFonts w:hint="default"/>
                      <w:color w:val="auto"/>
                      <w:lang w:val="en-US" w:eastAsia="zh-CN"/>
                    </w:rPr>
                  </w:pPr>
                  <w:r>
                    <w:rPr>
                      <w:rFonts w:hint="eastAsia"/>
                      <w:color w:val="auto"/>
                      <w:lang w:val="en-US" w:eastAsia="zh-CN"/>
                    </w:rPr>
                    <w:t>90</w:t>
                  </w:r>
                </w:p>
              </w:tc>
              <w:tc>
                <w:tcPr>
                  <w:tcW w:w="731" w:type="dxa"/>
                  <w:tcBorders>
                    <w:tl2br w:val="nil"/>
                    <w:tr2bl w:val="nil"/>
                  </w:tcBorders>
                  <w:vAlign w:val="center"/>
                </w:tcPr>
                <w:p w14:paraId="45C2A0D3">
                  <w:pPr>
                    <w:pStyle w:val="35"/>
                    <w:bidi w:val="0"/>
                    <w:spacing w:line="240" w:lineRule="auto"/>
                    <w:rPr>
                      <w:rFonts w:hint="default"/>
                      <w:color w:val="auto"/>
                      <w:lang w:val="en-US" w:eastAsia="zh-CN"/>
                    </w:rPr>
                  </w:pPr>
                  <w:r>
                    <w:rPr>
                      <w:rFonts w:hint="eastAsia"/>
                      <w:color w:val="auto"/>
                      <w:lang w:val="en-US" w:eastAsia="zh-CN"/>
                    </w:rPr>
                    <w:t>76.02</w:t>
                  </w:r>
                </w:p>
              </w:tc>
              <w:tc>
                <w:tcPr>
                  <w:tcW w:w="731" w:type="dxa"/>
                  <w:tcBorders>
                    <w:tl2br w:val="nil"/>
                    <w:tr2bl w:val="nil"/>
                  </w:tcBorders>
                  <w:vAlign w:val="center"/>
                </w:tcPr>
                <w:p w14:paraId="1058DC4E">
                  <w:pPr>
                    <w:pStyle w:val="35"/>
                    <w:bidi w:val="0"/>
                    <w:spacing w:line="240" w:lineRule="auto"/>
                    <w:rPr>
                      <w:rFonts w:hint="default"/>
                      <w:color w:val="auto"/>
                      <w:lang w:val="en-US" w:eastAsia="zh-CN"/>
                    </w:rPr>
                  </w:pPr>
                  <w:r>
                    <w:rPr>
                      <w:rFonts w:hint="eastAsia"/>
                      <w:color w:val="auto"/>
                      <w:lang w:val="en-US" w:eastAsia="zh-CN"/>
                    </w:rPr>
                    <w:t>70</w:t>
                  </w:r>
                </w:p>
              </w:tc>
              <w:tc>
                <w:tcPr>
                  <w:tcW w:w="731" w:type="dxa"/>
                  <w:tcBorders>
                    <w:tl2br w:val="nil"/>
                    <w:tr2bl w:val="nil"/>
                  </w:tcBorders>
                  <w:vAlign w:val="center"/>
                </w:tcPr>
                <w:p w14:paraId="6FFAC07A">
                  <w:pPr>
                    <w:pStyle w:val="35"/>
                    <w:bidi w:val="0"/>
                    <w:spacing w:line="240" w:lineRule="auto"/>
                    <w:rPr>
                      <w:rFonts w:hint="default"/>
                      <w:color w:val="auto"/>
                      <w:lang w:val="en-US" w:eastAsia="zh-CN"/>
                    </w:rPr>
                  </w:pPr>
                  <w:r>
                    <w:rPr>
                      <w:rFonts w:hint="eastAsia"/>
                      <w:color w:val="auto"/>
                      <w:lang w:val="en-US" w:eastAsia="zh-CN"/>
                    </w:rPr>
                    <w:t>63.98</w:t>
                  </w:r>
                </w:p>
              </w:tc>
              <w:tc>
                <w:tcPr>
                  <w:tcW w:w="731" w:type="dxa"/>
                  <w:tcBorders>
                    <w:tl2br w:val="nil"/>
                    <w:tr2bl w:val="nil"/>
                  </w:tcBorders>
                  <w:vAlign w:val="center"/>
                </w:tcPr>
                <w:p w14:paraId="4C86F381">
                  <w:pPr>
                    <w:pStyle w:val="35"/>
                    <w:bidi w:val="0"/>
                    <w:spacing w:line="240" w:lineRule="auto"/>
                    <w:rPr>
                      <w:rFonts w:hint="default"/>
                      <w:color w:val="auto"/>
                      <w:lang w:val="en-US" w:eastAsia="zh-CN"/>
                    </w:rPr>
                  </w:pPr>
                  <w:r>
                    <w:rPr>
                      <w:rFonts w:hint="eastAsia"/>
                      <w:color w:val="auto"/>
                      <w:lang w:val="en-US" w:eastAsia="zh-CN"/>
                    </w:rPr>
                    <w:t>60.46</w:t>
                  </w:r>
                </w:p>
              </w:tc>
              <w:tc>
                <w:tcPr>
                  <w:tcW w:w="731" w:type="dxa"/>
                  <w:tcBorders>
                    <w:tl2br w:val="nil"/>
                    <w:tr2bl w:val="nil"/>
                  </w:tcBorders>
                  <w:vAlign w:val="center"/>
                </w:tcPr>
                <w:p w14:paraId="17464485">
                  <w:pPr>
                    <w:pStyle w:val="35"/>
                    <w:bidi w:val="0"/>
                    <w:spacing w:line="240" w:lineRule="auto"/>
                    <w:rPr>
                      <w:rFonts w:hint="default"/>
                      <w:color w:val="auto"/>
                      <w:lang w:val="en-US" w:eastAsia="zh-CN"/>
                    </w:rPr>
                  </w:pPr>
                  <w:r>
                    <w:rPr>
                      <w:rFonts w:hint="eastAsia"/>
                      <w:color w:val="auto"/>
                      <w:lang w:val="en-US" w:eastAsia="zh-CN"/>
                    </w:rPr>
                    <w:t>57.96</w:t>
                  </w:r>
                </w:p>
              </w:tc>
              <w:tc>
                <w:tcPr>
                  <w:tcW w:w="731" w:type="dxa"/>
                  <w:tcBorders>
                    <w:tl2br w:val="nil"/>
                    <w:tr2bl w:val="nil"/>
                  </w:tcBorders>
                  <w:vAlign w:val="center"/>
                </w:tcPr>
                <w:p w14:paraId="6590DC20">
                  <w:pPr>
                    <w:pStyle w:val="35"/>
                    <w:bidi w:val="0"/>
                    <w:spacing w:line="240" w:lineRule="auto"/>
                    <w:rPr>
                      <w:rFonts w:hint="default"/>
                      <w:color w:val="auto"/>
                      <w:lang w:val="en-US" w:eastAsia="zh-CN"/>
                    </w:rPr>
                  </w:pPr>
                  <w:r>
                    <w:rPr>
                      <w:rFonts w:hint="eastAsia"/>
                      <w:color w:val="auto"/>
                      <w:lang w:val="en-US" w:eastAsia="zh-CN"/>
                    </w:rPr>
                    <w:t>56.02</w:t>
                  </w:r>
                </w:p>
              </w:tc>
              <w:tc>
                <w:tcPr>
                  <w:tcW w:w="731" w:type="dxa"/>
                  <w:tcBorders>
                    <w:tl2br w:val="nil"/>
                    <w:tr2bl w:val="nil"/>
                  </w:tcBorders>
                  <w:vAlign w:val="center"/>
                </w:tcPr>
                <w:p w14:paraId="4B5D596A">
                  <w:pPr>
                    <w:pStyle w:val="35"/>
                    <w:bidi w:val="0"/>
                    <w:spacing w:line="240" w:lineRule="auto"/>
                    <w:rPr>
                      <w:rFonts w:hint="default"/>
                      <w:color w:val="auto"/>
                      <w:lang w:val="en-US" w:eastAsia="zh-CN"/>
                    </w:rPr>
                  </w:pPr>
                  <w:r>
                    <w:rPr>
                      <w:rFonts w:hint="eastAsia"/>
                      <w:color w:val="auto"/>
                      <w:lang w:val="en-US" w:eastAsia="zh-CN"/>
                    </w:rPr>
                    <w:t>50</w:t>
                  </w:r>
                </w:p>
              </w:tc>
              <w:tc>
                <w:tcPr>
                  <w:tcW w:w="731" w:type="dxa"/>
                  <w:tcBorders>
                    <w:tl2br w:val="nil"/>
                    <w:tr2bl w:val="nil"/>
                  </w:tcBorders>
                  <w:vAlign w:val="center"/>
                </w:tcPr>
                <w:p w14:paraId="5472420D">
                  <w:pPr>
                    <w:pStyle w:val="35"/>
                    <w:bidi w:val="0"/>
                    <w:spacing w:line="240" w:lineRule="auto"/>
                    <w:rPr>
                      <w:rFonts w:hint="default"/>
                      <w:color w:val="auto"/>
                      <w:lang w:val="en-US" w:eastAsia="zh-CN"/>
                    </w:rPr>
                  </w:pPr>
                  <w:r>
                    <w:rPr>
                      <w:rFonts w:hint="eastAsia"/>
                      <w:color w:val="auto"/>
                      <w:lang w:val="en-US" w:eastAsia="zh-CN"/>
                    </w:rPr>
                    <w:t>46.48</w:t>
                  </w:r>
                </w:p>
              </w:tc>
              <w:tc>
                <w:tcPr>
                  <w:tcW w:w="732" w:type="dxa"/>
                  <w:tcBorders>
                    <w:tl2br w:val="nil"/>
                    <w:tr2bl w:val="nil"/>
                  </w:tcBorders>
                  <w:vAlign w:val="center"/>
                </w:tcPr>
                <w:p w14:paraId="60D95AF8">
                  <w:pPr>
                    <w:pStyle w:val="35"/>
                    <w:bidi w:val="0"/>
                    <w:spacing w:line="240" w:lineRule="auto"/>
                    <w:rPr>
                      <w:rFonts w:hint="default"/>
                      <w:color w:val="auto"/>
                      <w:lang w:val="en-US" w:eastAsia="zh-CN"/>
                    </w:rPr>
                  </w:pPr>
                  <w:r>
                    <w:rPr>
                      <w:rFonts w:hint="eastAsia"/>
                      <w:color w:val="auto"/>
                      <w:lang w:val="en-US" w:eastAsia="zh-CN"/>
                    </w:rPr>
                    <w:t>43.98</w:t>
                  </w:r>
                </w:p>
              </w:tc>
            </w:tr>
            <w:tr w14:paraId="0A311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42B831FB">
                  <w:pPr>
                    <w:pStyle w:val="35"/>
                    <w:bidi w:val="0"/>
                    <w:spacing w:line="240" w:lineRule="auto"/>
                    <w:ind w:firstLine="0" w:firstLineChars="0"/>
                    <w:rPr>
                      <w:rFonts w:hint="eastAsia"/>
                      <w:color w:val="auto"/>
                      <w:lang w:val="en-US" w:eastAsia="zh-CN"/>
                    </w:rPr>
                  </w:pPr>
                  <w:r>
                    <w:rPr>
                      <w:color w:val="auto"/>
                    </w:rPr>
                    <w:t>装载机</w:t>
                  </w:r>
                </w:p>
              </w:tc>
              <w:tc>
                <w:tcPr>
                  <w:tcW w:w="731" w:type="dxa"/>
                  <w:tcBorders>
                    <w:tl2br w:val="nil"/>
                    <w:tr2bl w:val="nil"/>
                  </w:tcBorders>
                  <w:vAlign w:val="center"/>
                </w:tcPr>
                <w:p w14:paraId="226BAA23">
                  <w:pPr>
                    <w:pStyle w:val="35"/>
                    <w:bidi w:val="0"/>
                    <w:spacing w:line="240" w:lineRule="auto"/>
                    <w:rPr>
                      <w:rFonts w:hint="default"/>
                      <w:color w:val="auto"/>
                      <w:lang w:val="en-US" w:eastAsia="zh-CN"/>
                    </w:rPr>
                  </w:pPr>
                  <w:r>
                    <w:rPr>
                      <w:rFonts w:hint="eastAsia"/>
                      <w:color w:val="auto"/>
                      <w:lang w:val="en-US" w:eastAsia="zh-CN"/>
                    </w:rPr>
                    <w:t>90</w:t>
                  </w:r>
                </w:p>
              </w:tc>
              <w:tc>
                <w:tcPr>
                  <w:tcW w:w="731" w:type="dxa"/>
                  <w:tcBorders>
                    <w:tl2br w:val="nil"/>
                    <w:tr2bl w:val="nil"/>
                  </w:tcBorders>
                  <w:vAlign w:val="center"/>
                </w:tcPr>
                <w:p w14:paraId="471BDA67">
                  <w:pPr>
                    <w:pStyle w:val="35"/>
                    <w:bidi w:val="0"/>
                    <w:spacing w:line="240" w:lineRule="auto"/>
                    <w:rPr>
                      <w:rFonts w:hint="default"/>
                      <w:color w:val="auto"/>
                      <w:lang w:val="en-US" w:eastAsia="zh-CN"/>
                    </w:rPr>
                  </w:pPr>
                  <w:r>
                    <w:rPr>
                      <w:rFonts w:hint="eastAsia"/>
                      <w:color w:val="auto"/>
                      <w:lang w:val="en-US" w:eastAsia="zh-CN"/>
                    </w:rPr>
                    <w:t>76.02</w:t>
                  </w:r>
                </w:p>
              </w:tc>
              <w:tc>
                <w:tcPr>
                  <w:tcW w:w="731" w:type="dxa"/>
                  <w:tcBorders>
                    <w:tl2br w:val="nil"/>
                    <w:tr2bl w:val="nil"/>
                  </w:tcBorders>
                  <w:vAlign w:val="center"/>
                </w:tcPr>
                <w:p w14:paraId="0FCD27D0">
                  <w:pPr>
                    <w:pStyle w:val="35"/>
                    <w:bidi w:val="0"/>
                    <w:spacing w:line="240" w:lineRule="auto"/>
                    <w:rPr>
                      <w:rFonts w:hint="default"/>
                      <w:color w:val="auto"/>
                      <w:lang w:val="en-US" w:eastAsia="zh-CN"/>
                    </w:rPr>
                  </w:pPr>
                  <w:r>
                    <w:rPr>
                      <w:rFonts w:hint="eastAsia"/>
                      <w:color w:val="auto"/>
                      <w:lang w:val="en-US" w:eastAsia="zh-CN"/>
                    </w:rPr>
                    <w:t>70</w:t>
                  </w:r>
                </w:p>
              </w:tc>
              <w:tc>
                <w:tcPr>
                  <w:tcW w:w="731" w:type="dxa"/>
                  <w:tcBorders>
                    <w:tl2br w:val="nil"/>
                    <w:tr2bl w:val="nil"/>
                  </w:tcBorders>
                  <w:vAlign w:val="center"/>
                </w:tcPr>
                <w:p w14:paraId="34F27FCE">
                  <w:pPr>
                    <w:pStyle w:val="35"/>
                    <w:bidi w:val="0"/>
                    <w:spacing w:line="240" w:lineRule="auto"/>
                    <w:rPr>
                      <w:rFonts w:hint="default"/>
                      <w:color w:val="auto"/>
                      <w:lang w:val="en-US" w:eastAsia="zh-CN"/>
                    </w:rPr>
                  </w:pPr>
                  <w:r>
                    <w:rPr>
                      <w:rFonts w:hint="eastAsia"/>
                      <w:color w:val="auto"/>
                      <w:lang w:val="en-US" w:eastAsia="zh-CN"/>
                    </w:rPr>
                    <w:t>63.98</w:t>
                  </w:r>
                </w:p>
              </w:tc>
              <w:tc>
                <w:tcPr>
                  <w:tcW w:w="731" w:type="dxa"/>
                  <w:tcBorders>
                    <w:tl2br w:val="nil"/>
                    <w:tr2bl w:val="nil"/>
                  </w:tcBorders>
                  <w:vAlign w:val="center"/>
                </w:tcPr>
                <w:p w14:paraId="47AD9C42">
                  <w:pPr>
                    <w:pStyle w:val="35"/>
                    <w:bidi w:val="0"/>
                    <w:spacing w:line="240" w:lineRule="auto"/>
                    <w:rPr>
                      <w:rFonts w:hint="default"/>
                      <w:color w:val="auto"/>
                      <w:lang w:val="en-US" w:eastAsia="zh-CN"/>
                    </w:rPr>
                  </w:pPr>
                  <w:r>
                    <w:rPr>
                      <w:rFonts w:hint="eastAsia"/>
                      <w:color w:val="auto"/>
                      <w:lang w:val="en-US" w:eastAsia="zh-CN"/>
                    </w:rPr>
                    <w:t>60.46</w:t>
                  </w:r>
                </w:p>
              </w:tc>
              <w:tc>
                <w:tcPr>
                  <w:tcW w:w="731" w:type="dxa"/>
                  <w:tcBorders>
                    <w:tl2br w:val="nil"/>
                    <w:tr2bl w:val="nil"/>
                  </w:tcBorders>
                  <w:vAlign w:val="center"/>
                </w:tcPr>
                <w:p w14:paraId="1661EDFD">
                  <w:pPr>
                    <w:pStyle w:val="35"/>
                    <w:bidi w:val="0"/>
                    <w:spacing w:line="240" w:lineRule="auto"/>
                    <w:rPr>
                      <w:rFonts w:hint="default"/>
                      <w:color w:val="auto"/>
                      <w:lang w:val="en-US" w:eastAsia="zh-CN"/>
                    </w:rPr>
                  </w:pPr>
                  <w:r>
                    <w:rPr>
                      <w:rFonts w:hint="eastAsia"/>
                      <w:color w:val="auto"/>
                      <w:lang w:val="en-US" w:eastAsia="zh-CN"/>
                    </w:rPr>
                    <w:t>57.96</w:t>
                  </w:r>
                </w:p>
              </w:tc>
              <w:tc>
                <w:tcPr>
                  <w:tcW w:w="731" w:type="dxa"/>
                  <w:tcBorders>
                    <w:tl2br w:val="nil"/>
                    <w:tr2bl w:val="nil"/>
                  </w:tcBorders>
                  <w:vAlign w:val="center"/>
                </w:tcPr>
                <w:p w14:paraId="4DAEE583">
                  <w:pPr>
                    <w:pStyle w:val="35"/>
                    <w:bidi w:val="0"/>
                    <w:spacing w:line="240" w:lineRule="auto"/>
                    <w:rPr>
                      <w:rFonts w:hint="default"/>
                      <w:color w:val="auto"/>
                      <w:lang w:val="en-US" w:eastAsia="zh-CN"/>
                    </w:rPr>
                  </w:pPr>
                  <w:r>
                    <w:rPr>
                      <w:rFonts w:hint="eastAsia"/>
                      <w:color w:val="auto"/>
                      <w:lang w:val="en-US" w:eastAsia="zh-CN"/>
                    </w:rPr>
                    <w:t>56.02</w:t>
                  </w:r>
                </w:p>
              </w:tc>
              <w:tc>
                <w:tcPr>
                  <w:tcW w:w="731" w:type="dxa"/>
                  <w:tcBorders>
                    <w:tl2br w:val="nil"/>
                    <w:tr2bl w:val="nil"/>
                  </w:tcBorders>
                  <w:vAlign w:val="center"/>
                </w:tcPr>
                <w:p w14:paraId="1C6A9E63">
                  <w:pPr>
                    <w:pStyle w:val="35"/>
                    <w:bidi w:val="0"/>
                    <w:spacing w:line="240" w:lineRule="auto"/>
                    <w:rPr>
                      <w:rFonts w:hint="default"/>
                      <w:color w:val="auto"/>
                      <w:lang w:val="en-US" w:eastAsia="zh-CN"/>
                    </w:rPr>
                  </w:pPr>
                  <w:r>
                    <w:rPr>
                      <w:rFonts w:hint="eastAsia"/>
                      <w:color w:val="auto"/>
                      <w:lang w:val="en-US" w:eastAsia="zh-CN"/>
                    </w:rPr>
                    <w:t>50</w:t>
                  </w:r>
                </w:p>
              </w:tc>
              <w:tc>
                <w:tcPr>
                  <w:tcW w:w="731" w:type="dxa"/>
                  <w:tcBorders>
                    <w:tl2br w:val="nil"/>
                    <w:tr2bl w:val="nil"/>
                  </w:tcBorders>
                  <w:vAlign w:val="center"/>
                </w:tcPr>
                <w:p w14:paraId="5F1E4C0A">
                  <w:pPr>
                    <w:pStyle w:val="35"/>
                    <w:bidi w:val="0"/>
                    <w:spacing w:line="240" w:lineRule="auto"/>
                    <w:rPr>
                      <w:rFonts w:hint="default"/>
                      <w:color w:val="auto"/>
                      <w:lang w:val="en-US" w:eastAsia="zh-CN"/>
                    </w:rPr>
                  </w:pPr>
                  <w:r>
                    <w:rPr>
                      <w:rFonts w:hint="eastAsia"/>
                      <w:color w:val="auto"/>
                      <w:lang w:val="en-US" w:eastAsia="zh-CN"/>
                    </w:rPr>
                    <w:t>46.48</w:t>
                  </w:r>
                </w:p>
              </w:tc>
              <w:tc>
                <w:tcPr>
                  <w:tcW w:w="732" w:type="dxa"/>
                  <w:tcBorders>
                    <w:tl2br w:val="nil"/>
                    <w:tr2bl w:val="nil"/>
                  </w:tcBorders>
                  <w:vAlign w:val="center"/>
                </w:tcPr>
                <w:p w14:paraId="25250F62">
                  <w:pPr>
                    <w:pStyle w:val="35"/>
                    <w:bidi w:val="0"/>
                    <w:spacing w:line="240" w:lineRule="auto"/>
                    <w:rPr>
                      <w:rFonts w:hint="default"/>
                      <w:color w:val="auto"/>
                      <w:lang w:val="en-US" w:eastAsia="zh-CN"/>
                    </w:rPr>
                  </w:pPr>
                  <w:r>
                    <w:rPr>
                      <w:rFonts w:hint="eastAsia"/>
                      <w:color w:val="auto"/>
                      <w:lang w:val="en-US" w:eastAsia="zh-CN"/>
                    </w:rPr>
                    <w:t>43.98</w:t>
                  </w:r>
                </w:p>
              </w:tc>
            </w:tr>
            <w:tr w14:paraId="336CF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5E7C6EBF">
                  <w:pPr>
                    <w:pStyle w:val="35"/>
                    <w:bidi w:val="0"/>
                    <w:spacing w:line="240" w:lineRule="auto"/>
                    <w:ind w:firstLine="0" w:firstLineChars="0"/>
                    <w:rPr>
                      <w:rFonts w:hint="eastAsia"/>
                      <w:color w:val="auto"/>
                      <w:lang w:val="en-US" w:eastAsia="zh-CN"/>
                    </w:rPr>
                  </w:pPr>
                  <w:r>
                    <w:rPr>
                      <w:color w:val="auto"/>
                    </w:rPr>
                    <w:t>大型载重车</w:t>
                  </w:r>
                </w:p>
              </w:tc>
              <w:tc>
                <w:tcPr>
                  <w:tcW w:w="731" w:type="dxa"/>
                  <w:tcBorders>
                    <w:tl2br w:val="nil"/>
                    <w:tr2bl w:val="nil"/>
                  </w:tcBorders>
                  <w:vAlign w:val="center"/>
                </w:tcPr>
                <w:p w14:paraId="15342E36">
                  <w:pPr>
                    <w:pStyle w:val="35"/>
                    <w:bidi w:val="0"/>
                    <w:spacing w:line="240" w:lineRule="auto"/>
                    <w:rPr>
                      <w:rFonts w:hint="default"/>
                      <w:color w:val="auto"/>
                      <w:lang w:val="en-US" w:eastAsia="zh-CN"/>
                    </w:rPr>
                  </w:pPr>
                  <w:r>
                    <w:rPr>
                      <w:rFonts w:hint="eastAsia"/>
                      <w:color w:val="auto"/>
                      <w:lang w:val="en-US" w:eastAsia="zh-CN"/>
                    </w:rPr>
                    <w:t>90</w:t>
                  </w:r>
                </w:p>
              </w:tc>
              <w:tc>
                <w:tcPr>
                  <w:tcW w:w="731" w:type="dxa"/>
                  <w:tcBorders>
                    <w:tl2br w:val="nil"/>
                    <w:tr2bl w:val="nil"/>
                  </w:tcBorders>
                  <w:vAlign w:val="center"/>
                </w:tcPr>
                <w:p w14:paraId="1DAFC9C2">
                  <w:pPr>
                    <w:pStyle w:val="35"/>
                    <w:bidi w:val="0"/>
                    <w:spacing w:line="240" w:lineRule="auto"/>
                    <w:rPr>
                      <w:rFonts w:hint="default"/>
                      <w:color w:val="auto"/>
                      <w:lang w:val="en-US" w:eastAsia="zh-CN"/>
                    </w:rPr>
                  </w:pPr>
                  <w:r>
                    <w:rPr>
                      <w:rFonts w:hint="eastAsia"/>
                      <w:color w:val="auto"/>
                      <w:lang w:val="en-US" w:eastAsia="zh-CN"/>
                    </w:rPr>
                    <w:t>76.02</w:t>
                  </w:r>
                </w:p>
              </w:tc>
              <w:tc>
                <w:tcPr>
                  <w:tcW w:w="731" w:type="dxa"/>
                  <w:tcBorders>
                    <w:tl2br w:val="nil"/>
                    <w:tr2bl w:val="nil"/>
                  </w:tcBorders>
                  <w:vAlign w:val="center"/>
                </w:tcPr>
                <w:p w14:paraId="7668495D">
                  <w:pPr>
                    <w:pStyle w:val="35"/>
                    <w:bidi w:val="0"/>
                    <w:spacing w:line="240" w:lineRule="auto"/>
                    <w:rPr>
                      <w:rFonts w:hint="default"/>
                      <w:color w:val="auto"/>
                      <w:lang w:val="en-US" w:eastAsia="zh-CN"/>
                    </w:rPr>
                  </w:pPr>
                  <w:r>
                    <w:rPr>
                      <w:rFonts w:hint="eastAsia"/>
                      <w:color w:val="auto"/>
                      <w:lang w:val="en-US" w:eastAsia="zh-CN"/>
                    </w:rPr>
                    <w:t>70</w:t>
                  </w:r>
                </w:p>
              </w:tc>
              <w:tc>
                <w:tcPr>
                  <w:tcW w:w="731" w:type="dxa"/>
                  <w:tcBorders>
                    <w:tl2br w:val="nil"/>
                    <w:tr2bl w:val="nil"/>
                  </w:tcBorders>
                  <w:vAlign w:val="center"/>
                </w:tcPr>
                <w:p w14:paraId="6A2FC1E4">
                  <w:pPr>
                    <w:pStyle w:val="35"/>
                    <w:bidi w:val="0"/>
                    <w:spacing w:line="240" w:lineRule="auto"/>
                    <w:rPr>
                      <w:rFonts w:hint="default"/>
                      <w:color w:val="auto"/>
                      <w:lang w:val="en-US" w:eastAsia="zh-CN"/>
                    </w:rPr>
                  </w:pPr>
                  <w:r>
                    <w:rPr>
                      <w:rFonts w:hint="eastAsia"/>
                      <w:color w:val="auto"/>
                      <w:lang w:val="en-US" w:eastAsia="zh-CN"/>
                    </w:rPr>
                    <w:t>63.98</w:t>
                  </w:r>
                </w:p>
              </w:tc>
              <w:tc>
                <w:tcPr>
                  <w:tcW w:w="731" w:type="dxa"/>
                  <w:tcBorders>
                    <w:tl2br w:val="nil"/>
                    <w:tr2bl w:val="nil"/>
                  </w:tcBorders>
                  <w:vAlign w:val="center"/>
                </w:tcPr>
                <w:p w14:paraId="24AE1E80">
                  <w:pPr>
                    <w:pStyle w:val="35"/>
                    <w:bidi w:val="0"/>
                    <w:spacing w:line="240" w:lineRule="auto"/>
                    <w:rPr>
                      <w:rFonts w:hint="default"/>
                      <w:color w:val="auto"/>
                      <w:lang w:val="en-US" w:eastAsia="zh-CN"/>
                    </w:rPr>
                  </w:pPr>
                  <w:r>
                    <w:rPr>
                      <w:rFonts w:hint="eastAsia"/>
                      <w:color w:val="auto"/>
                      <w:lang w:val="en-US" w:eastAsia="zh-CN"/>
                    </w:rPr>
                    <w:t>60.46</w:t>
                  </w:r>
                </w:p>
              </w:tc>
              <w:tc>
                <w:tcPr>
                  <w:tcW w:w="731" w:type="dxa"/>
                  <w:tcBorders>
                    <w:tl2br w:val="nil"/>
                    <w:tr2bl w:val="nil"/>
                  </w:tcBorders>
                  <w:vAlign w:val="center"/>
                </w:tcPr>
                <w:p w14:paraId="45C7CD27">
                  <w:pPr>
                    <w:pStyle w:val="35"/>
                    <w:bidi w:val="0"/>
                    <w:spacing w:line="240" w:lineRule="auto"/>
                    <w:rPr>
                      <w:rFonts w:hint="default"/>
                      <w:color w:val="auto"/>
                      <w:lang w:val="en-US" w:eastAsia="zh-CN"/>
                    </w:rPr>
                  </w:pPr>
                  <w:r>
                    <w:rPr>
                      <w:rFonts w:hint="eastAsia"/>
                      <w:color w:val="auto"/>
                      <w:lang w:val="en-US" w:eastAsia="zh-CN"/>
                    </w:rPr>
                    <w:t>57.96</w:t>
                  </w:r>
                </w:p>
              </w:tc>
              <w:tc>
                <w:tcPr>
                  <w:tcW w:w="731" w:type="dxa"/>
                  <w:tcBorders>
                    <w:tl2br w:val="nil"/>
                    <w:tr2bl w:val="nil"/>
                  </w:tcBorders>
                  <w:vAlign w:val="center"/>
                </w:tcPr>
                <w:p w14:paraId="2CFB94E0">
                  <w:pPr>
                    <w:pStyle w:val="35"/>
                    <w:bidi w:val="0"/>
                    <w:spacing w:line="240" w:lineRule="auto"/>
                    <w:rPr>
                      <w:rFonts w:hint="default"/>
                      <w:color w:val="auto"/>
                      <w:lang w:val="en-US" w:eastAsia="zh-CN"/>
                    </w:rPr>
                  </w:pPr>
                  <w:r>
                    <w:rPr>
                      <w:rFonts w:hint="eastAsia"/>
                      <w:color w:val="auto"/>
                      <w:lang w:val="en-US" w:eastAsia="zh-CN"/>
                    </w:rPr>
                    <w:t>56.02</w:t>
                  </w:r>
                </w:p>
              </w:tc>
              <w:tc>
                <w:tcPr>
                  <w:tcW w:w="731" w:type="dxa"/>
                  <w:tcBorders>
                    <w:tl2br w:val="nil"/>
                    <w:tr2bl w:val="nil"/>
                  </w:tcBorders>
                  <w:vAlign w:val="center"/>
                </w:tcPr>
                <w:p w14:paraId="644A9DF7">
                  <w:pPr>
                    <w:pStyle w:val="35"/>
                    <w:bidi w:val="0"/>
                    <w:spacing w:line="240" w:lineRule="auto"/>
                    <w:rPr>
                      <w:rFonts w:hint="default"/>
                      <w:color w:val="auto"/>
                      <w:lang w:val="en-US" w:eastAsia="zh-CN"/>
                    </w:rPr>
                  </w:pPr>
                  <w:r>
                    <w:rPr>
                      <w:rFonts w:hint="eastAsia"/>
                      <w:color w:val="auto"/>
                      <w:lang w:val="en-US" w:eastAsia="zh-CN"/>
                    </w:rPr>
                    <w:t>50</w:t>
                  </w:r>
                </w:p>
              </w:tc>
              <w:tc>
                <w:tcPr>
                  <w:tcW w:w="731" w:type="dxa"/>
                  <w:tcBorders>
                    <w:tl2br w:val="nil"/>
                    <w:tr2bl w:val="nil"/>
                  </w:tcBorders>
                  <w:vAlign w:val="center"/>
                </w:tcPr>
                <w:p w14:paraId="1573EC75">
                  <w:pPr>
                    <w:pStyle w:val="35"/>
                    <w:bidi w:val="0"/>
                    <w:spacing w:line="240" w:lineRule="auto"/>
                    <w:rPr>
                      <w:rFonts w:hint="default"/>
                      <w:color w:val="auto"/>
                      <w:lang w:val="en-US" w:eastAsia="zh-CN"/>
                    </w:rPr>
                  </w:pPr>
                  <w:r>
                    <w:rPr>
                      <w:rFonts w:hint="eastAsia"/>
                      <w:color w:val="auto"/>
                      <w:lang w:val="en-US" w:eastAsia="zh-CN"/>
                    </w:rPr>
                    <w:t>46.48</w:t>
                  </w:r>
                </w:p>
              </w:tc>
              <w:tc>
                <w:tcPr>
                  <w:tcW w:w="732" w:type="dxa"/>
                  <w:tcBorders>
                    <w:tl2br w:val="nil"/>
                    <w:tr2bl w:val="nil"/>
                  </w:tcBorders>
                  <w:vAlign w:val="center"/>
                </w:tcPr>
                <w:p w14:paraId="327218AB">
                  <w:pPr>
                    <w:pStyle w:val="35"/>
                    <w:bidi w:val="0"/>
                    <w:spacing w:line="240" w:lineRule="auto"/>
                    <w:rPr>
                      <w:rFonts w:hint="default"/>
                      <w:color w:val="auto"/>
                      <w:lang w:val="en-US" w:eastAsia="zh-CN"/>
                    </w:rPr>
                  </w:pPr>
                  <w:r>
                    <w:rPr>
                      <w:rFonts w:hint="eastAsia"/>
                      <w:color w:val="auto"/>
                      <w:lang w:val="en-US" w:eastAsia="zh-CN"/>
                    </w:rPr>
                    <w:t>43.98</w:t>
                  </w:r>
                </w:p>
              </w:tc>
            </w:tr>
            <w:tr w14:paraId="13C71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4334698A">
                  <w:pPr>
                    <w:pStyle w:val="35"/>
                    <w:bidi w:val="0"/>
                    <w:spacing w:line="240" w:lineRule="auto"/>
                    <w:ind w:firstLine="0" w:firstLineChars="0"/>
                    <w:rPr>
                      <w:rFonts w:hint="eastAsia"/>
                      <w:color w:val="auto"/>
                      <w:lang w:val="en-US" w:eastAsia="zh-CN"/>
                    </w:rPr>
                  </w:pPr>
                  <w:r>
                    <w:rPr>
                      <w:color w:val="auto"/>
                    </w:rPr>
                    <w:t>振捣器</w:t>
                  </w:r>
                </w:p>
              </w:tc>
              <w:tc>
                <w:tcPr>
                  <w:tcW w:w="731" w:type="dxa"/>
                  <w:tcBorders>
                    <w:tl2br w:val="nil"/>
                    <w:tr2bl w:val="nil"/>
                  </w:tcBorders>
                  <w:vAlign w:val="center"/>
                </w:tcPr>
                <w:p w14:paraId="5C0E26BE">
                  <w:pPr>
                    <w:pStyle w:val="35"/>
                    <w:bidi w:val="0"/>
                    <w:spacing w:line="240" w:lineRule="auto"/>
                    <w:rPr>
                      <w:rFonts w:hint="default"/>
                      <w:color w:val="auto"/>
                      <w:lang w:val="en-US" w:eastAsia="zh-CN"/>
                    </w:rPr>
                  </w:pPr>
                  <w:r>
                    <w:rPr>
                      <w:rFonts w:hint="eastAsia"/>
                      <w:color w:val="auto"/>
                      <w:lang w:val="en-US" w:eastAsia="zh-CN"/>
                    </w:rPr>
                    <w:t>95</w:t>
                  </w:r>
                </w:p>
              </w:tc>
              <w:tc>
                <w:tcPr>
                  <w:tcW w:w="731" w:type="dxa"/>
                  <w:tcBorders>
                    <w:tl2br w:val="nil"/>
                    <w:tr2bl w:val="nil"/>
                  </w:tcBorders>
                  <w:vAlign w:val="center"/>
                </w:tcPr>
                <w:p w14:paraId="70129109">
                  <w:pPr>
                    <w:pStyle w:val="35"/>
                    <w:bidi w:val="0"/>
                    <w:spacing w:line="240" w:lineRule="auto"/>
                    <w:rPr>
                      <w:rFonts w:hint="default"/>
                      <w:color w:val="auto"/>
                      <w:lang w:val="en-US" w:eastAsia="zh-CN"/>
                    </w:rPr>
                  </w:pPr>
                  <w:r>
                    <w:rPr>
                      <w:rFonts w:hint="eastAsia"/>
                      <w:color w:val="auto"/>
                      <w:lang w:val="en-US" w:eastAsia="zh-CN"/>
                    </w:rPr>
                    <w:t>81.02</w:t>
                  </w:r>
                </w:p>
              </w:tc>
              <w:tc>
                <w:tcPr>
                  <w:tcW w:w="731" w:type="dxa"/>
                  <w:tcBorders>
                    <w:tl2br w:val="nil"/>
                    <w:tr2bl w:val="nil"/>
                  </w:tcBorders>
                  <w:vAlign w:val="center"/>
                </w:tcPr>
                <w:p w14:paraId="54374A20">
                  <w:pPr>
                    <w:pStyle w:val="35"/>
                    <w:bidi w:val="0"/>
                    <w:spacing w:line="240" w:lineRule="auto"/>
                    <w:rPr>
                      <w:rFonts w:hint="default"/>
                      <w:color w:val="auto"/>
                      <w:lang w:val="en-US" w:eastAsia="zh-CN"/>
                    </w:rPr>
                  </w:pPr>
                  <w:r>
                    <w:rPr>
                      <w:rFonts w:hint="eastAsia"/>
                      <w:color w:val="auto"/>
                      <w:lang w:val="en-US" w:eastAsia="zh-CN"/>
                    </w:rPr>
                    <w:t>75</w:t>
                  </w:r>
                </w:p>
              </w:tc>
              <w:tc>
                <w:tcPr>
                  <w:tcW w:w="731" w:type="dxa"/>
                  <w:tcBorders>
                    <w:tl2br w:val="nil"/>
                    <w:tr2bl w:val="nil"/>
                  </w:tcBorders>
                  <w:vAlign w:val="center"/>
                </w:tcPr>
                <w:p w14:paraId="39F0A3CB">
                  <w:pPr>
                    <w:pStyle w:val="35"/>
                    <w:bidi w:val="0"/>
                    <w:spacing w:line="240" w:lineRule="auto"/>
                    <w:rPr>
                      <w:rFonts w:hint="default"/>
                      <w:color w:val="auto"/>
                      <w:lang w:val="en-US" w:eastAsia="zh-CN"/>
                    </w:rPr>
                  </w:pPr>
                  <w:r>
                    <w:rPr>
                      <w:rFonts w:hint="eastAsia"/>
                      <w:color w:val="auto"/>
                      <w:lang w:val="en-US" w:eastAsia="zh-CN"/>
                    </w:rPr>
                    <w:t>68.98</w:t>
                  </w:r>
                </w:p>
              </w:tc>
              <w:tc>
                <w:tcPr>
                  <w:tcW w:w="731" w:type="dxa"/>
                  <w:tcBorders>
                    <w:tl2br w:val="nil"/>
                    <w:tr2bl w:val="nil"/>
                  </w:tcBorders>
                  <w:vAlign w:val="center"/>
                </w:tcPr>
                <w:p w14:paraId="04F36A8A">
                  <w:pPr>
                    <w:pStyle w:val="35"/>
                    <w:bidi w:val="0"/>
                    <w:spacing w:line="240" w:lineRule="auto"/>
                    <w:rPr>
                      <w:rFonts w:hint="default"/>
                      <w:color w:val="auto"/>
                      <w:lang w:val="en-US" w:eastAsia="zh-CN"/>
                    </w:rPr>
                  </w:pPr>
                  <w:r>
                    <w:rPr>
                      <w:rFonts w:hint="eastAsia"/>
                      <w:color w:val="auto"/>
                      <w:lang w:val="en-US" w:eastAsia="zh-CN"/>
                    </w:rPr>
                    <w:t>65.46</w:t>
                  </w:r>
                </w:p>
              </w:tc>
              <w:tc>
                <w:tcPr>
                  <w:tcW w:w="731" w:type="dxa"/>
                  <w:tcBorders>
                    <w:tl2br w:val="nil"/>
                    <w:tr2bl w:val="nil"/>
                  </w:tcBorders>
                  <w:vAlign w:val="center"/>
                </w:tcPr>
                <w:p w14:paraId="55884432">
                  <w:pPr>
                    <w:pStyle w:val="35"/>
                    <w:bidi w:val="0"/>
                    <w:spacing w:line="240" w:lineRule="auto"/>
                    <w:rPr>
                      <w:rFonts w:hint="default"/>
                      <w:color w:val="auto"/>
                      <w:lang w:val="en-US" w:eastAsia="zh-CN"/>
                    </w:rPr>
                  </w:pPr>
                  <w:r>
                    <w:rPr>
                      <w:rFonts w:hint="eastAsia"/>
                      <w:color w:val="auto"/>
                      <w:lang w:val="en-US" w:eastAsia="zh-CN"/>
                    </w:rPr>
                    <w:t>62.96</w:t>
                  </w:r>
                </w:p>
              </w:tc>
              <w:tc>
                <w:tcPr>
                  <w:tcW w:w="731" w:type="dxa"/>
                  <w:tcBorders>
                    <w:tl2br w:val="nil"/>
                    <w:tr2bl w:val="nil"/>
                  </w:tcBorders>
                  <w:vAlign w:val="center"/>
                </w:tcPr>
                <w:p w14:paraId="54AE778C">
                  <w:pPr>
                    <w:pStyle w:val="35"/>
                    <w:bidi w:val="0"/>
                    <w:spacing w:line="240" w:lineRule="auto"/>
                    <w:rPr>
                      <w:rFonts w:hint="default"/>
                      <w:color w:val="auto"/>
                      <w:lang w:val="en-US" w:eastAsia="zh-CN"/>
                    </w:rPr>
                  </w:pPr>
                  <w:r>
                    <w:rPr>
                      <w:rFonts w:hint="eastAsia"/>
                      <w:color w:val="auto"/>
                      <w:lang w:val="en-US" w:eastAsia="zh-CN"/>
                    </w:rPr>
                    <w:t>61.02</w:t>
                  </w:r>
                </w:p>
              </w:tc>
              <w:tc>
                <w:tcPr>
                  <w:tcW w:w="731" w:type="dxa"/>
                  <w:tcBorders>
                    <w:tl2br w:val="nil"/>
                    <w:tr2bl w:val="nil"/>
                  </w:tcBorders>
                  <w:vAlign w:val="center"/>
                </w:tcPr>
                <w:p w14:paraId="0F737167">
                  <w:pPr>
                    <w:pStyle w:val="35"/>
                    <w:bidi w:val="0"/>
                    <w:spacing w:line="240" w:lineRule="auto"/>
                    <w:rPr>
                      <w:rFonts w:hint="default"/>
                      <w:color w:val="auto"/>
                      <w:lang w:val="en-US" w:eastAsia="zh-CN"/>
                    </w:rPr>
                  </w:pPr>
                  <w:r>
                    <w:rPr>
                      <w:rFonts w:hint="eastAsia"/>
                      <w:color w:val="auto"/>
                      <w:lang w:val="en-US" w:eastAsia="zh-CN"/>
                    </w:rPr>
                    <w:t>55</w:t>
                  </w:r>
                </w:p>
              </w:tc>
              <w:tc>
                <w:tcPr>
                  <w:tcW w:w="731" w:type="dxa"/>
                  <w:tcBorders>
                    <w:tl2br w:val="nil"/>
                    <w:tr2bl w:val="nil"/>
                  </w:tcBorders>
                  <w:vAlign w:val="center"/>
                </w:tcPr>
                <w:p w14:paraId="6BD5045E">
                  <w:pPr>
                    <w:pStyle w:val="35"/>
                    <w:bidi w:val="0"/>
                    <w:spacing w:line="240" w:lineRule="auto"/>
                    <w:rPr>
                      <w:rFonts w:hint="default"/>
                      <w:color w:val="auto"/>
                      <w:lang w:val="en-US" w:eastAsia="zh-CN"/>
                    </w:rPr>
                  </w:pPr>
                  <w:r>
                    <w:rPr>
                      <w:rFonts w:hint="eastAsia"/>
                      <w:color w:val="auto"/>
                      <w:lang w:val="en-US" w:eastAsia="zh-CN"/>
                    </w:rPr>
                    <w:t>51.48</w:t>
                  </w:r>
                </w:p>
              </w:tc>
              <w:tc>
                <w:tcPr>
                  <w:tcW w:w="732" w:type="dxa"/>
                  <w:tcBorders>
                    <w:tl2br w:val="nil"/>
                    <w:tr2bl w:val="nil"/>
                  </w:tcBorders>
                  <w:vAlign w:val="center"/>
                </w:tcPr>
                <w:p w14:paraId="16113B30">
                  <w:pPr>
                    <w:pStyle w:val="35"/>
                    <w:bidi w:val="0"/>
                    <w:spacing w:line="240" w:lineRule="auto"/>
                    <w:rPr>
                      <w:rFonts w:hint="default"/>
                      <w:color w:val="auto"/>
                      <w:lang w:val="en-US" w:eastAsia="zh-CN"/>
                    </w:rPr>
                  </w:pPr>
                  <w:r>
                    <w:rPr>
                      <w:rFonts w:hint="eastAsia"/>
                      <w:color w:val="auto"/>
                      <w:lang w:val="en-US" w:eastAsia="zh-CN"/>
                    </w:rPr>
                    <w:t>48.98</w:t>
                  </w:r>
                </w:p>
              </w:tc>
            </w:tr>
            <w:tr w14:paraId="48B8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50F596DC">
                  <w:pPr>
                    <w:pStyle w:val="35"/>
                    <w:bidi w:val="0"/>
                    <w:spacing w:line="240" w:lineRule="auto"/>
                    <w:ind w:firstLine="0" w:firstLineChars="0"/>
                    <w:rPr>
                      <w:rFonts w:hint="eastAsia"/>
                      <w:color w:val="auto"/>
                      <w:lang w:val="en-US" w:eastAsia="zh-CN"/>
                    </w:rPr>
                  </w:pPr>
                  <w:r>
                    <w:rPr>
                      <w:color w:val="auto"/>
                    </w:rPr>
                    <w:t>空压机</w:t>
                  </w:r>
                </w:p>
              </w:tc>
              <w:tc>
                <w:tcPr>
                  <w:tcW w:w="731" w:type="dxa"/>
                  <w:tcBorders>
                    <w:tl2br w:val="nil"/>
                    <w:tr2bl w:val="nil"/>
                  </w:tcBorders>
                  <w:vAlign w:val="center"/>
                </w:tcPr>
                <w:p w14:paraId="26ABAFA9">
                  <w:pPr>
                    <w:pStyle w:val="35"/>
                    <w:bidi w:val="0"/>
                    <w:spacing w:line="240" w:lineRule="auto"/>
                    <w:rPr>
                      <w:rFonts w:hint="default"/>
                      <w:color w:val="auto"/>
                      <w:lang w:val="en-US" w:eastAsia="zh-CN"/>
                    </w:rPr>
                  </w:pPr>
                  <w:r>
                    <w:rPr>
                      <w:rFonts w:hint="eastAsia"/>
                      <w:color w:val="auto"/>
                      <w:lang w:val="en-US" w:eastAsia="zh-CN"/>
                    </w:rPr>
                    <w:t>90</w:t>
                  </w:r>
                </w:p>
              </w:tc>
              <w:tc>
                <w:tcPr>
                  <w:tcW w:w="731" w:type="dxa"/>
                  <w:tcBorders>
                    <w:tl2br w:val="nil"/>
                    <w:tr2bl w:val="nil"/>
                  </w:tcBorders>
                  <w:vAlign w:val="center"/>
                </w:tcPr>
                <w:p w14:paraId="5BE39904">
                  <w:pPr>
                    <w:pStyle w:val="35"/>
                    <w:bidi w:val="0"/>
                    <w:spacing w:line="240" w:lineRule="auto"/>
                    <w:rPr>
                      <w:rFonts w:hint="default"/>
                      <w:color w:val="auto"/>
                      <w:lang w:val="en-US" w:eastAsia="zh-CN"/>
                    </w:rPr>
                  </w:pPr>
                  <w:r>
                    <w:rPr>
                      <w:rFonts w:hint="eastAsia"/>
                      <w:color w:val="auto"/>
                      <w:lang w:val="en-US" w:eastAsia="zh-CN"/>
                    </w:rPr>
                    <w:t>76.02</w:t>
                  </w:r>
                </w:p>
              </w:tc>
              <w:tc>
                <w:tcPr>
                  <w:tcW w:w="731" w:type="dxa"/>
                  <w:tcBorders>
                    <w:tl2br w:val="nil"/>
                    <w:tr2bl w:val="nil"/>
                  </w:tcBorders>
                  <w:vAlign w:val="center"/>
                </w:tcPr>
                <w:p w14:paraId="2511BD3C">
                  <w:pPr>
                    <w:pStyle w:val="35"/>
                    <w:bidi w:val="0"/>
                    <w:spacing w:line="240" w:lineRule="auto"/>
                    <w:rPr>
                      <w:rFonts w:hint="default"/>
                      <w:color w:val="auto"/>
                      <w:lang w:val="en-US" w:eastAsia="zh-CN"/>
                    </w:rPr>
                  </w:pPr>
                  <w:r>
                    <w:rPr>
                      <w:rFonts w:hint="eastAsia"/>
                      <w:color w:val="auto"/>
                      <w:lang w:val="en-US" w:eastAsia="zh-CN"/>
                    </w:rPr>
                    <w:t>70</w:t>
                  </w:r>
                </w:p>
              </w:tc>
              <w:tc>
                <w:tcPr>
                  <w:tcW w:w="731" w:type="dxa"/>
                  <w:tcBorders>
                    <w:tl2br w:val="nil"/>
                    <w:tr2bl w:val="nil"/>
                  </w:tcBorders>
                  <w:vAlign w:val="center"/>
                </w:tcPr>
                <w:p w14:paraId="7DDE186F">
                  <w:pPr>
                    <w:pStyle w:val="35"/>
                    <w:bidi w:val="0"/>
                    <w:spacing w:line="240" w:lineRule="auto"/>
                    <w:rPr>
                      <w:rFonts w:hint="default"/>
                      <w:color w:val="auto"/>
                      <w:lang w:val="en-US" w:eastAsia="zh-CN"/>
                    </w:rPr>
                  </w:pPr>
                  <w:r>
                    <w:rPr>
                      <w:rFonts w:hint="eastAsia"/>
                      <w:color w:val="auto"/>
                      <w:lang w:val="en-US" w:eastAsia="zh-CN"/>
                    </w:rPr>
                    <w:t>63.98</w:t>
                  </w:r>
                </w:p>
              </w:tc>
              <w:tc>
                <w:tcPr>
                  <w:tcW w:w="731" w:type="dxa"/>
                  <w:tcBorders>
                    <w:tl2br w:val="nil"/>
                    <w:tr2bl w:val="nil"/>
                  </w:tcBorders>
                  <w:vAlign w:val="center"/>
                </w:tcPr>
                <w:p w14:paraId="2E3679DF">
                  <w:pPr>
                    <w:pStyle w:val="35"/>
                    <w:bidi w:val="0"/>
                    <w:spacing w:line="240" w:lineRule="auto"/>
                    <w:rPr>
                      <w:rFonts w:hint="default"/>
                      <w:color w:val="auto"/>
                      <w:lang w:val="en-US" w:eastAsia="zh-CN"/>
                    </w:rPr>
                  </w:pPr>
                  <w:r>
                    <w:rPr>
                      <w:rFonts w:hint="eastAsia"/>
                      <w:color w:val="auto"/>
                      <w:lang w:val="en-US" w:eastAsia="zh-CN"/>
                    </w:rPr>
                    <w:t>60.46</w:t>
                  </w:r>
                </w:p>
              </w:tc>
              <w:tc>
                <w:tcPr>
                  <w:tcW w:w="731" w:type="dxa"/>
                  <w:tcBorders>
                    <w:tl2br w:val="nil"/>
                    <w:tr2bl w:val="nil"/>
                  </w:tcBorders>
                  <w:vAlign w:val="center"/>
                </w:tcPr>
                <w:p w14:paraId="5D8F2363">
                  <w:pPr>
                    <w:pStyle w:val="35"/>
                    <w:bidi w:val="0"/>
                    <w:spacing w:line="240" w:lineRule="auto"/>
                    <w:rPr>
                      <w:rFonts w:hint="default"/>
                      <w:color w:val="auto"/>
                      <w:lang w:val="en-US" w:eastAsia="zh-CN"/>
                    </w:rPr>
                  </w:pPr>
                  <w:r>
                    <w:rPr>
                      <w:rFonts w:hint="eastAsia"/>
                      <w:color w:val="auto"/>
                      <w:lang w:val="en-US" w:eastAsia="zh-CN"/>
                    </w:rPr>
                    <w:t>57.96</w:t>
                  </w:r>
                </w:p>
              </w:tc>
              <w:tc>
                <w:tcPr>
                  <w:tcW w:w="731" w:type="dxa"/>
                  <w:tcBorders>
                    <w:tl2br w:val="nil"/>
                    <w:tr2bl w:val="nil"/>
                  </w:tcBorders>
                  <w:vAlign w:val="center"/>
                </w:tcPr>
                <w:p w14:paraId="3819B9CA">
                  <w:pPr>
                    <w:pStyle w:val="35"/>
                    <w:bidi w:val="0"/>
                    <w:spacing w:line="240" w:lineRule="auto"/>
                    <w:rPr>
                      <w:rFonts w:hint="default"/>
                      <w:color w:val="auto"/>
                      <w:lang w:val="en-US" w:eastAsia="zh-CN"/>
                    </w:rPr>
                  </w:pPr>
                  <w:r>
                    <w:rPr>
                      <w:rFonts w:hint="eastAsia"/>
                      <w:color w:val="auto"/>
                      <w:lang w:val="en-US" w:eastAsia="zh-CN"/>
                    </w:rPr>
                    <w:t>56.02</w:t>
                  </w:r>
                </w:p>
              </w:tc>
              <w:tc>
                <w:tcPr>
                  <w:tcW w:w="731" w:type="dxa"/>
                  <w:tcBorders>
                    <w:tl2br w:val="nil"/>
                    <w:tr2bl w:val="nil"/>
                  </w:tcBorders>
                  <w:vAlign w:val="center"/>
                </w:tcPr>
                <w:p w14:paraId="523FF660">
                  <w:pPr>
                    <w:pStyle w:val="35"/>
                    <w:bidi w:val="0"/>
                    <w:spacing w:line="240" w:lineRule="auto"/>
                    <w:rPr>
                      <w:rFonts w:hint="default"/>
                      <w:color w:val="auto"/>
                      <w:lang w:val="en-US" w:eastAsia="zh-CN"/>
                    </w:rPr>
                  </w:pPr>
                  <w:r>
                    <w:rPr>
                      <w:rFonts w:hint="eastAsia"/>
                      <w:color w:val="auto"/>
                      <w:lang w:val="en-US" w:eastAsia="zh-CN"/>
                    </w:rPr>
                    <w:t>50</w:t>
                  </w:r>
                </w:p>
              </w:tc>
              <w:tc>
                <w:tcPr>
                  <w:tcW w:w="731" w:type="dxa"/>
                  <w:tcBorders>
                    <w:tl2br w:val="nil"/>
                    <w:tr2bl w:val="nil"/>
                  </w:tcBorders>
                  <w:vAlign w:val="center"/>
                </w:tcPr>
                <w:p w14:paraId="3E88381B">
                  <w:pPr>
                    <w:pStyle w:val="35"/>
                    <w:bidi w:val="0"/>
                    <w:spacing w:line="240" w:lineRule="auto"/>
                    <w:rPr>
                      <w:rFonts w:hint="default"/>
                      <w:color w:val="auto"/>
                      <w:lang w:val="en-US" w:eastAsia="zh-CN"/>
                    </w:rPr>
                  </w:pPr>
                  <w:r>
                    <w:rPr>
                      <w:rFonts w:hint="eastAsia"/>
                      <w:color w:val="auto"/>
                      <w:lang w:val="en-US" w:eastAsia="zh-CN"/>
                    </w:rPr>
                    <w:t>46.48</w:t>
                  </w:r>
                </w:p>
              </w:tc>
              <w:tc>
                <w:tcPr>
                  <w:tcW w:w="732" w:type="dxa"/>
                  <w:tcBorders>
                    <w:tl2br w:val="nil"/>
                    <w:tr2bl w:val="nil"/>
                  </w:tcBorders>
                  <w:vAlign w:val="center"/>
                </w:tcPr>
                <w:p w14:paraId="22433932">
                  <w:pPr>
                    <w:pStyle w:val="35"/>
                    <w:bidi w:val="0"/>
                    <w:spacing w:line="240" w:lineRule="auto"/>
                    <w:rPr>
                      <w:rFonts w:hint="default"/>
                      <w:color w:val="auto"/>
                      <w:lang w:val="en-US" w:eastAsia="zh-CN"/>
                    </w:rPr>
                  </w:pPr>
                  <w:r>
                    <w:rPr>
                      <w:rFonts w:hint="eastAsia"/>
                      <w:color w:val="auto"/>
                      <w:lang w:val="en-US" w:eastAsia="zh-CN"/>
                    </w:rPr>
                    <w:t>43.98</w:t>
                  </w:r>
                </w:p>
              </w:tc>
            </w:tr>
            <w:tr w14:paraId="35A19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1677E351">
                  <w:pPr>
                    <w:pStyle w:val="35"/>
                    <w:bidi w:val="0"/>
                    <w:spacing w:line="240" w:lineRule="auto"/>
                    <w:ind w:firstLine="0" w:firstLineChars="0"/>
                    <w:rPr>
                      <w:rFonts w:hint="eastAsia" w:eastAsia="宋体"/>
                      <w:color w:val="auto"/>
                      <w:lang w:eastAsia="zh-CN"/>
                    </w:rPr>
                  </w:pPr>
                  <w:r>
                    <w:rPr>
                      <w:rFonts w:hint="eastAsia"/>
                      <w:color w:val="auto"/>
                      <w:lang w:eastAsia="zh-CN"/>
                    </w:rPr>
                    <w:t>混凝土搅拌机</w:t>
                  </w:r>
                </w:p>
              </w:tc>
              <w:tc>
                <w:tcPr>
                  <w:tcW w:w="731" w:type="dxa"/>
                  <w:tcBorders>
                    <w:tl2br w:val="nil"/>
                    <w:tr2bl w:val="nil"/>
                  </w:tcBorders>
                  <w:vAlign w:val="center"/>
                </w:tcPr>
                <w:p w14:paraId="1BB3DBF0">
                  <w:pPr>
                    <w:pStyle w:val="35"/>
                    <w:bidi w:val="0"/>
                    <w:spacing w:line="240" w:lineRule="auto"/>
                    <w:rPr>
                      <w:rFonts w:hint="default"/>
                      <w:color w:val="auto"/>
                      <w:lang w:val="en-US" w:eastAsia="zh-CN"/>
                    </w:rPr>
                  </w:pPr>
                  <w:r>
                    <w:rPr>
                      <w:rFonts w:hint="eastAsia"/>
                      <w:color w:val="auto"/>
                      <w:lang w:val="en-US" w:eastAsia="zh-CN"/>
                    </w:rPr>
                    <w:t>70</w:t>
                  </w:r>
                </w:p>
              </w:tc>
              <w:tc>
                <w:tcPr>
                  <w:tcW w:w="731" w:type="dxa"/>
                  <w:tcBorders>
                    <w:tl2br w:val="nil"/>
                    <w:tr2bl w:val="nil"/>
                  </w:tcBorders>
                  <w:vAlign w:val="center"/>
                </w:tcPr>
                <w:p w14:paraId="37AF1502">
                  <w:pPr>
                    <w:pStyle w:val="35"/>
                    <w:bidi w:val="0"/>
                    <w:spacing w:line="240" w:lineRule="auto"/>
                    <w:rPr>
                      <w:rFonts w:hint="default"/>
                      <w:color w:val="auto"/>
                      <w:lang w:val="en-US" w:eastAsia="zh-CN"/>
                    </w:rPr>
                  </w:pPr>
                  <w:r>
                    <w:rPr>
                      <w:rFonts w:hint="eastAsia"/>
                      <w:color w:val="auto"/>
                      <w:lang w:val="en-US" w:eastAsia="zh-CN"/>
                    </w:rPr>
                    <w:t>56.02</w:t>
                  </w:r>
                </w:p>
              </w:tc>
              <w:tc>
                <w:tcPr>
                  <w:tcW w:w="731" w:type="dxa"/>
                  <w:tcBorders>
                    <w:tl2br w:val="nil"/>
                    <w:tr2bl w:val="nil"/>
                  </w:tcBorders>
                  <w:vAlign w:val="center"/>
                </w:tcPr>
                <w:p w14:paraId="262A1F6D">
                  <w:pPr>
                    <w:pStyle w:val="35"/>
                    <w:bidi w:val="0"/>
                    <w:spacing w:line="240" w:lineRule="auto"/>
                    <w:rPr>
                      <w:rFonts w:hint="default"/>
                      <w:color w:val="auto"/>
                      <w:lang w:val="en-US" w:eastAsia="zh-CN"/>
                    </w:rPr>
                  </w:pPr>
                  <w:r>
                    <w:rPr>
                      <w:rFonts w:hint="eastAsia"/>
                      <w:color w:val="auto"/>
                      <w:lang w:val="en-US" w:eastAsia="zh-CN"/>
                    </w:rPr>
                    <w:t>50</w:t>
                  </w:r>
                </w:p>
              </w:tc>
              <w:tc>
                <w:tcPr>
                  <w:tcW w:w="731" w:type="dxa"/>
                  <w:tcBorders>
                    <w:tl2br w:val="nil"/>
                    <w:tr2bl w:val="nil"/>
                  </w:tcBorders>
                  <w:vAlign w:val="center"/>
                </w:tcPr>
                <w:p w14:paraId="68728401">
                  <w:pPr>
                    <w:pStyle w:val="35"/>
                    <w:bidi w:val="0"/>
                    <w:spacing w:line="240" w:lineRule="auto"/>
                    <w:rPr>
                      <w:rFonts w:hint="default"/>
                      <w:color w:val="auto"/>
                      <w:lang w:val="en-US" w:eastAsia="zh-CN"/>
                    </w:rPr>
                  </w:pPr>
                  <w:r>
                    <w:rPr>
                      <w:rFonts w:hint="eastAsia"/>
                      <w:color w:val="auto"/>
                      <w:lang w:val="en-US" w:eastAsia="zh-CN"/>
                    </w:rPr>
                    <w:t>43.98</w:t>
                  </w:r>
                </w:p>
              </w:tc>
              <w:tc>
                <w:tcPr>
                  <w:tcW w:w="731" w:type="dxa"/>
                  <w:tcBorders>
                    <w:tl2br w:val="nil"/>
                    <w:tr2bl w:val="nil"/>
                  </w:tcBorders>
                  <w:vAlign w:val="center"/>
                </w:tcPr>
                <w:p w14:paraId="11DEF96F">
                  <w:pPr>
                    <w:pStyle w:val="35"/>
                    <w:bidi w:val="0"/>
                    <w:spacing w:line="240" w:lineRule="auto"/>
                    <w:rPr>
                      <w:rFonts w:hint="default"/>
                      <w:color w:val="auto"/>
                      <w:lang w:val="en-US" w:eastAsia="zh-CN"/>
                    </w:rPr>
                  </w:pPr>
                  <w:r>
                    <w:rPr>
                      <w:rFonts w:hint="eastAsia"/>
                      <w:color w:val="auto"/>
                      <w:lang w:val="en-US" w:eastAsia="zh-CN"/>
                    </w:rPr>
                    <w:t>40.46</w:t>
                  </w:r>
                </w:p>
              </w:tc>
              <w:tc>
                <w:tcPr>
                  <w:tcW w:w="731" w:type="dxa"/>
                  <w:tcBorders>
                    <w:tl2br w:val="nil"/>
                    <w:tr2bl w:val="nil"/>
                  </w:tcBorders>
                  <w:vAlign w:val="center"/>
                </w:tcPr>
                <w:p w14:paraId="0CB9E123">
                  <w:pPr>
                    <w:pStyle w:val="35"/>
                    <w:bidi w:val="0"/>
                    <w:spacing w:line="240" w:lineRule="auto"/>
                    <w:rPr>
                      <w:rFonts w:hint="default"/>
                      <w:color w:val="auto"/>
                      <w:lang w:val="en-US" w:eastAsia="zh-CN"/>
                    </w:rPr>
                  </w:pPr>
                  <w:r>
                    <w:rPr>
                      <w:rFonts w:hint="eastAsia"/>
                      <w:color w:val="auto"/>
                      <w:lang w:val="en-US" w:eastAsia="zh-CN"/>
                    </w:rPr>
                    <w:t>37.96</w:t>
                  </w:r>
                </w:p>
              </w:tc>
              <w:tc>
                <w:tcPr>
                  <w:tcW w:w="731" w:type="dxa"/>
                  <w:tcBorders>
                    <w:tl2br w:val="nil"/>
                    <w:tr2bl w:val="nil"/>
                  </w:tcBorders>
                  <w:vAlign w:val="center"/>
                </w:tcPr>
                <w:p w14:paraId="0604AA6C">
                  <w:pPr>
                    <w:pStyle w:val="35"/>
                    <w:bidi w:val="0"/>
                    <w:spacing w:line="240" w:lineRule="auto"/>
                    <w:rPr>
                      <w:rFonts w:hint="default"/>
                      <w:color w:val="auto"/>
                      <w:lang w:val="en-US" w:eastAsia="zh-CN"/>
                    </w:rPr>
                  </w:pPr>
                  <w:r>
                    <w:rPr>
                      <w:rFonts w:hint="eastAsia"/>
                      <w:color w:val="auto"/>
                      <w:lang w:val="en-US" w:eastAsia="zh-CN"/>
                    </w:rPr>
                    <w:t>36.02</w:t>
                  </w:r>
                </w:p>
              </w:tc>
              <w:tc>
                <w:tcPr>
                  <w:tcW w:w="731" w:type="dxa"/>
                  <w:tcBorders>
                    <w:tl2br w:val="nil"/>
                    <w:tr2bl w:val="nil"/>
                  </w:tcBorders>
                  <w:vAlign w:val="center"/>
                </w:tcPr>
                <w:p w14:paraId="23EF3741">
                  <w:pPr>
                    <w:pStyle w:val="35"/>
                    <w:bidi w:val="0"/>
                    <w:spacing w:line="240" w:lineRule="auto"/>
                    <w:rPr>
                      <w:rFonts w:hint="default"/>
                      <w:color w:val="auto"/>
                      <w:lang w:val="en-US" w:eastAsia="zh-CN"/>
                    </w:rPr>
                  </w:pPr>
                  <w:r>
                    <w:rPr>
                      <w:rFonts w:hint="eastAsia"/>
                      <w:color w:val="auto"/>
                      <w:lang w:val="en-US" w:eastAsia="zh-CN"/>
                    </w:rPr>
                    <w:t>30</w:t>
                  </w:r>
                </w:p>
              </w:tc>
              <w:tc>
                <w:tcPr>
                  <w:tcW w:w="731" w:type="dxa"/>
                  <w:tcBorders>
                    <w:tl2br w:val="nil"/>
                    <w:tr2bl w:val="nil"/>
                  </w:tcBorders>
                  <w:vAlign w:val="center"/>
                </w:tcPr>
                <w:p w14:paraId="0304A404">
                  <w:pPr>
                    <w:pStyle w:val="35"/>
                    <w:bidi w:val="0"/>
                    <w:spacing w:line="240" w:lineRule="auto"/>
                    <w:rPr>
                      <w:rFonts w:hint="default"/>
                      <w:color w:val="auto"/>
                      <w:lang w:val="en-US" w:eastAsia="zh-CN"/>
                    </w:rPr>
                  </w:pPr>
                  <w:r>
                    <w:rPr>
                      <w:rFonts w:hint="eastAsia"/>
                      <w:color w:val="auto"/>
                      <w:lang w:val="en-US" w:eastAsia="zh-CN"/>
                    </w:rPr>
                    <w:t>26.48</w:t>
                  </w:r>
                </w:p>
              </w:tc>
              <w:tc>
                <w:tcPr>
                  <w:tcW w:w="732" w:type="dxa"/>
                  <w:tcBorders>
                    <w:tl2br w:val="nil"/>
                    <w:tr2bl w:val="nil"/>
                  </w:tcBorders>
                  <w:vAlign w:val="center"/>
                </w:tcPr>
                <w:p w14:paraId="7C5A3F1C">
                  <w:pPr>
                    <w:pStyle w:val="35"/>
                    <w:bidi w:val="0"/>
                    <w:spacing w:line="240" w:lineRule="auto"/>
                    <w:rPr>
                      <w:rFonts w:hint="default"/>
                      <w:color w:val="auto"/>
                      <w:lang w:val="en-US" w:eastAsia="zh-CN"/>
                    </w:rPr>
                  </w:pPr>
                  <w:r>
                    <w:rPr>
                      <w:rFonts w:hint="eastAsia"/>
                      <w:color w:val="auto"/>
                      <w:lang w:val="en-US" w:eastAsia="zh-CN"/>
                    </w:rPr>
                    <w:t>23.98</w:t>
                  </w:r>
                </w:p>
              </w:tc>
            </w:tr>
            <w:tr w14:paraId="2715C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691F231C">
                  <w:pPr>
                    <w:pStyle w:val="35"/>
                    <w:bidi w:val="0"/>
                    <w:spacing w:line="240" w:lineRule="auto"/>
                    <w:ind w:firstLine="0" w:firstLineChars="0"/>
                    <w:rPr>
                      <w:rFonts w:hint="eastAsia"/>
                      <w:color w:val="auto"/>
                      <w:lang w:val="en-US" w:eastAsia="zh-CN"/>
                    </w:rPr>
                  </w:pPr>
                  <w:r>
                    <w:rPr>
                      <w:color w:val="auto"/>
                    </w:rPr>
                    <w:t>电焊机</w:t>
                  </w:r>
                </w:p>
              </w:tc>
              <w:tc>
                <w:tcPr>
                  <w:tcW w:w="731" w:type="dxa"/>
                  <w:tcBorders>
                    <w:tl2br w:val="nil"/>
                    <w:tr2bl w:val="nil"/>
                  </w:tcBorders>
                  <w:vAlign w:val="center"/>
                </w:tcPr>
                <w:p w14:paraId="19F3A9F0">
                  <w:pPr>
                    <w:pStyle w:val="35"/>
                    <w:bidi w:val="0"/>
                    <w:spacing w:line="240" w:lineRule="auto"/>
                    <w:rPr>
                      <w:rFonts w:hint="default"/>
                      <w:color w:val="auto"/>
                      <w:lang w:val="en-US" w:eastAsia="zh-CN"/>
                    </w:rPr>
                  </w:pPr>
                  <w:r>
                    <w:rPr>
                      <w:rFonts w:hint="eastAsia"/>
                      <w:color w:val="auto"/>
                      <w:lang w:val="en-US" w:eastAsia="zh-CN"/>
                    </w:rPr>
                    <w:t>85</w:t>
                  </w:r>
                </w:p>
              </w:tc>
              <w:tc>
                <w:tcPr>
                  <w:tcW w:w="731" w:type="dxa"/>
                  <w:tcBorders>
                    <w:tl2br w:val="nil"/>
                    <w:tr2bl w:val="nil"/>
                  </w:tcBorders>
                  <w:vAlign w:val="center"/>
                </w:tcPr>
                <w:p w14:paraId="1D67B20E">
                  <w:pPr>
                    <w:pStyle w:val="35"/>
                    <w:bidi w:val="0"/>
                    <w:spacing w:line="240" w:lineRule="auto"/>
                    <w:rPr>
                      <w:rFonts w:hint="default"/>
                      <w:color w:val="auto"/>
                      <w:lang w:val="en-US" w:eastAsia="zh-CN"/>
                    </w:rPr>
                  </w:pPr>
                  <w:r>
                    <w:rPr>
                      <w:rFonts w:hint="eastAsia"/>
                      <w:color w:val="auto"/>
                      <w:lang w:val="en-US" w:eastAsia="zh-CN"/>
                    </w:rPr>
                    <w:t>71.02</w:t>
                  </w:r>
                </w:p>
              </w:tc>
              <w:tc>
                <w:tcPr>
                  <w:tcW w:w="731" w:type="dxa"/>
                  <w:tcBorders>
                    <w:tl2br w:val="nil"/>
                    <w:tr2bl w:val="nil"/>
                  </w:tcBorders>
                  <w:vAlign w:val="center"/>
                </w:tcPr>
                <w:p w14:paraId="6A286486">
                  <w:pPr>
                    <w:pStyle w:val="35"/>
                    <w:bidi w:val="0"/>
                    <w:spacing w:line="240" w:lineRule="auto"/>
                    <w:rPr>
                      <w:rFonts w:hint="default"/>
                      <w:color w:val="auto"/>
                      <w:lang w:val="en-US" w:eastAsia="zh-CN"/>
                    </w:rPr>
                  </w:pPr>
                  <w:r>
                    <w:rPr>
                      <w:rFonts w:hint="eastAsia"/>
                      <w:color w:val="auto"/>
                      <w:lang w:val="en-US" w:eastAsia="zh-CN"/>
                    </w:rPr>
                    <w:t>65</w:t>
                  </w:r>
                </w:p>
              </w:tc>
              <w:tc>
                <w:tcPr>
                  <w:tcW w:w="731" w:type="dxa"/>
                  <w:tcBorders>
                    <w:tl2br w:val="nil"/>
                    <w:tr2bl w:val="nil"/>
                  </w:tcBorders>
                  <w:vAlign w:val="center"/>
                </w:tcPr>
                <w:p w14:paraId="16307C46">
                  <w:pPr>
                    <w:pStyle w:val="35"/>
                    <w:bidi w:val="0"/>
                    <w:spacing w:line="240" w:lineRule="auto"/>
                    <w:rPr>
                      <w:rFonts w:hint="default"/>
                      <w:color w:val="auto"/>
                      <w:lang w:val="en-US" w:eastAsia="zh-CN"/>
                    </w:rPr>
                  </w:pPr>
                  <w:r>
                    <w:rPr>
                      <w:rFonts w:hint="eastAsia"/>
                      <w:color w:val="auto"/>
                      <w:lang w:val="en-US" w:eastAsia="zh-CN"/>
                    </w:rPr>
                    <w:t>58.98</w:t>
                  </w:r>
                </w:p>
              </w:tc>
              <w:tc>
                <w:tcPr>
                  <w:tcW w:w="731" w:type="dxa"/>
                  <w:tcBorders>
                    <w:tl2br w:val="nil"/>
                    <w:tr2bl w:val="nil"/>
                  </w:tcBorders>
                  <w:vAlign w:val="center"/>
                </w:tcPr>
                <w:p w14:paraId="6B25C57D">
                  <w:pPr>
                    <w:pStyle w:val="35"/>
                    <w:bidi w:val="0"/>
                    <w:spacing w:line="240" w:lineRule="auto"/>
                    <w:rPr>
                      <w:rFonts w:hint="default"/>
                      <w:color w:val="auto"/>
                      <w:lang w:val="en-US" w:eastAsia="zh-CN"/>
                    </w:rPr>
                  </w:pPr>
                  <w:r>
                    <w:rPr>
                      <w:rFonts w:hint="eastAsia"/>
                      <w:color w:val="auto"/>
                      <w:lang w:val="en-US" w:eastAsia="zh-CN"/>
                    </w:rPr>
                    <w:t>55.46</w:t>
                  </w:r>
                </w:p>
              </w:tc>
              <w:tc>
                <w:tcPr>
                  <w:tcW w:w="731" w:type="dxa"/>
                  <w:tcBorders>
                    <w:tl2br w:val="nil"/>
                    <w:tr2bl w:val="nil"/>
                  </w:tcBorders>
                  <w:vAlign w:val="center"/>
                </w:tcPr>
                <w:p w14:paraId="2DFFE261">
                  <w:pPr>
                    <w:pStyle w:val="35"/>
                    <w:bidi w:val="0"/>
                    <w:spacing w:line="240" w:lineRule="auto"/>
                    <w:rPr>
                      <w:rFonts w:hint="default"/>
                      <w:color w:val="auto"/>
                      <w:lang w:val="en-US" w:eastAsia="zh-CN"/>
                    </w:rPr>
                  </w:pPr>
                  <w:r>
                    <w:rPr>
                      <w:rFonts w:hint="eastAsia"/>
                      <w:color w:val="auto"/>
                      <w:lang w:val="en-US" w:eastAsia="zh-CN"/>
                    </w:rPr>
                    <w:t>52.96</w:t>
                  </w:r>
                </w:p>
              </w:tc>
              <w:tc>
                <w:tcPr>
                  <w:tcW w:w="731" w:type="dxa"/>
                  <w:tcBorders>
                    <w:tl2br w:val="nil"/>
                    <w:tr2bl w:val="nil"/>
                  </w:tcBorders>
                  <w:vAlign w:val="center"/>
                </w:tcPr>
                <w:p w14:paraId="050016EB">
                  <w:pPr>
                    <w:pStyle w:val="35"/>
                    <w:bidi w:val="0"/>
                    <w:spacing w:line="240" w:lineRule="auto"/>
                    <w:rPr>
                      <w:rFonts w:hint="default"/>
                      <w:color w:val="auto"/>
                      <w:lang w:val="en-US" w:eastAsia="zh-CN"/>
                    </w:rPr>
                  </w:pPr>
                  <w:r>
                    <w:rPr>
                      <w:rFonts w:hint="eastAsia"/>
                      <w:color w:val="auto"/>
                      <w:lang w:val="en-US" w:eastAsia="zh-CN"/>
                    </w:rPr>
                    <w:t>51.02</w:t>
                  </w:r>
                </w:p>
              </w:tc>
              <w:tc>
                <w:tcPr>
                  <w:tcW w:w="731" w:type="dxa"/>
                  <w:tcBorders>
                    <w:tl2br w:val="nil"/>
                    <w:tr2bl w:val="nil"/>
                  </w:tcBorders>
                  <w:vAlign w:val="center"/>
                </w:tcPr>
                <w:p w14:paraId="0C225DE2">
                  <w:pPr>
                    <w:pStyle w:val="35"/>
                    <w:bidi w:val="0"/>
                    <w:spacing w:line="240" w:lineRule="auto"/>
                    <w:rPr>
                      <w:rFonts w:hint="default"/>
                      <w:color w:val="auto"/>
                      <w:lang w:val="en-US" w:eastAsia="zh-CN"/>
                    </w:rPr>
                  </w:pPr>
                  <w:r>
                    <w:rPr>
                      <w:rFonts w:hint="eastAsia"/>
                      <w:color w:val="auto"/>
                      <w:lang w:val="en-US" w:eastAsia="zh-CN"/>
                    </w:rPr>
                    <w:t>45</w:t>
                  </w:r>
                </w:p>
              </w:tc>
              <w:tc>
                <w:tcPr>
                  <w:tcW w:w="731" w:type="dxa"/>
                  <w:tcBorders>
                    <w:tl2br w:val="nil"/>
                    <w:tr2bl w:val="nil"/>
                  </w:tcBorders>
                  <w:vAlign w:val="center"/>
                </w:tcPr>
                <w:p w14:paraId="47E99CAD">
                  <w:pPr>
                    <w:pStyle w:val="35"/>
                    <w:bidi w:val="0"/>
                    <w:spacing w:line="240" w:lineRule="auto"/>
                    <w:rPr>
                      <w:rFonts w:hint="default"/>
                      <w:color w:val="auto"/>
                      <w:lang w:val="en-US" w:eastAsia="zh-CN"/>
                    </w:rPr>
                  </w:pPr>
                  <w:r>
                    <w:rPr>
                      <w:rFonts w:hint="eastAsia"/>
                      <w:color w:val="auto"/>
                      <w:lang w:val="en-US" w:eastAsia="zh-CN"/>
                    </w:rPr>
                    <w:t>41.48</w:t>
                  </w:r>
                </w:p>
              </w:tc>
              <w:tc>
                <w:tcPr>
                  <w:tcW w:w="732" w:type="dxa"/>
                  <w:tcBorders>
                    <w:tl2br w:val="nil"/>
                    <w:tr2bl w:val="nil"/>
                  </w:tcBorders>
                  <w:vAlign w:val="center"/>
                </w:tcPr>
                <w:p w14:paraId="3D3329ED">
                  <w:pPr>
                    <w:pStyle w:val="35"/>
                    <w:bidi w:val="0"/>
                    <w:spacing w:line="240" w:lineRule="auto"/>
                    <w:rPr>
                      <w:rFonts w:hint="default"/>
                      <w:color w:val="auto"/>
                      <w:lang w:val="en-US" w:eastAsia="zh-CN"/>
                    </w:rPr>
                  </w:pPr>
                  <w:r>
                    <w:rPr>
                      <w:rFonts w:hint="eastAsia"/>
                      <w:color w:val="auto"/>
                      <w:lang w:val="en-US" w:eastAsia="zh-CN"/>
                    </w:rPr>
                    <w:t>38.98</w:t>
                  </w:r>
                </w:p>
              </w:tc>
            </w:tr>
            <w:tr w14:paraId="1D357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3A85BF26">
                  <w:pPr>
                    <w:pStyle w:val="35"/>
                    <w:bidi w:val="0"/>
                    <w:spacing w:line="240" w:lineRule="auto"/>
                    <w:ind w:firstLine="0" w:firstLineChars="0"/>
                    <w:rPr>
                      <w:rFonts w:hint="eastAsia"/>
                      <w:color w:val="auto"/>
                      <w:lang w:val="en-US" w:eastAsia="zh-CN"/>
                    </w:rPr>
                  </w:pPr>
                  <w:r>
                    <w:rPr>
                      <w:color w:val="auto"/>
                    </w:rPr>
                    <w:t>中型载重车</w:t>
                  </w:r>
                </w:p>
              </w:tc>
              <w:tc>
                <w:tcPr>
                  <w:tcW w:w="731" w:type="dxa"/>
                  <w:tcBorders>
                    <w:tl2br w:val="nil"/>
                    <w:tr2bl w:val="nil"/>
                  </w:tcBorders>
                  <w:vAlign w:val="center"/>
                </w:tcPr>
                <w:p w14:paraId="71C3F097">
                  <w:pPr>
                    <w:pStyle w:val="35"/>
                    <w:bidi w:val="0"/>
                    <w:spacing w:line="240" w:lineRule="auto"/>
                    <w:rPr>
                      <w:rFonts w:hint="default"/>
                      <w:color w:val="auto"/>
                      <w:lang w:val="en-US" w:eastAsia="zh-CN"/>
                    </w:rPr>
                  </w:pPr>
                  <w:r>
                    <w:rPr>
                      <w:rFonts w:hint="eastAsia"/>
                      <w:color w:val="auto"/>
                      <w:lang w:val="en-US" w:eastAsia="zh-CN"/>
                    </w:rPr>
                    <w:t>85</w:t>
                  </w:r>
                </w:p>
              </w:tc>
              <w:tc>
                <w:tcPr>
                  <w:tcW w:w="731" w:type="dxa"/>
                  <w:tcBorders>
                    <w:tl2br w:val="nil"/>
                    <w:tr2bl w:val="nil"/>
                  </w:tcBorders>
                  <w:vAlign w:val="center"/>
                </w:tcPr>
                <w:p w14:paraId="4A04C434">
                  <w:pPr>
                    <w:pStyle w:val="35"/>
                    <w:bidi w:val="0"/>
                    <w:spacing w:line="240" w:lineRule="auto"/>
                    <w:rPr>
                      <w:rFonts w:hint="default"/>
                      <w:color w:val="auto"/>
                      <w:lang w:val="en-US" w:eastAsia="zh-CN"/>
                    </w:rPr>
                  </w:pPr>
                  <w:r>
                    <w:rPr>
                      <w:rFonts w:hint="eastAsia"/>
                      <w:color w:val="auto"/>
                      <w:lang w:val="en-US" w:eastAsia="zh-CN"/>
                    </w:rPr>
                    <w:t>71.02</w:t>
                  </w:r>
                </w:p>
              </w:tc>
              <w:tc>
                <w:tcPr>
                  <w:tcW w:w="731" w:type="dxa"/>
                  <w:tcBorders>
                    <w:tl2br w:val="nil"/>
                    <w:tr2bl w:val="nil"/>
                  </w:tcBorders>
                  <w:vAlign w:val="center"/>
                </w:tcPr>
                <w:p w14:paraId="1DD707B5">
                  <w:pPr>
                    <w:pStyle w:val="35"/>
                    <w:bidi w:val="0"/>
                    <w:spacing w:line="240" w:lineRule="auto"/>
                    <w:rPr>
                      <w:rFonts w:hint="default"/>
                      <w:color w:val="auto"/>
                      <w:lang w:val="en-US" w:eastAsia="zh-CN"/>
                    </w:rPr>
                  </w:pPr>
                  <w:r>
                    <w:rPr>
                      <w:rFonts w:hint="eastAsia"/>
                      <w:color w:val="auto"/>
                      <w:lang w:val="en-US" w:eastAsia="zh-CN"/>
                    </w:rPr>
                    <w:t>65</w:t>
                  </w:r>
                </w:p>
              </w:tc>
              <w:tc>
                <w:tcPr>
                  <w:tcW w:w="731" w:type="dxa"/>
                  <w:tcBorders>
                    <w:tl2br w:val="nil"/>
                    <w:tr2bl w:val="nil"/>
                  </w:tcBorders>
                  <w:vAlign w:val="center"/>
                </w:tcPr>
                <w:p w14:paraId="44491114">
                  <w:pPr>
                    <w:pStyle w:val="35"/>
                    <w:bidi w:val="0"/>
                    <w:spacing w:line="240" w:lineRule="auto"/>
                    <w:rPr>
                      <w:rFonts w:hint="default"/>
                      <w:color w:val="auto"/>
                      <w:lang w:val="en-US" w:eastAsia="zh-CN"/>
                    </w:rPr>
                  </w:pPr>
                  <w:r>
                    <w:rPr>
                      <w:rFonts w:hint="eastAsia"/>
                      <w:color w:val="auto"/>
                      <w:lang w:val="en-US" w:eastAsia="zh-CN"/>
                    </w:rPr>
                    <w:t>58.98</w:t>
                  </w:r>
                </w:p>
              </w:tc>
              <w:tc>
                <w:tcPr>
                  <w:tcW w:w="731" w:type="dxa"/>
                  <w:tcBorders>
                    <w:tl2br w:val="nil"/>
                    <w:tr2bl w:val="nil"/>
                  </w:tcBorders>
                  <w:vAlign w:val="center"/>
                </w:tcPr>
                <w:p w14:paraId="2403E5D1">
                  <w:pPr>
                    <w:pStyle w:val="35"/>
                    <w:bidi w:val="0"/>
                    <w:spacing w:line="240" w:lineRule="auto"/>
                    <w:rPr>
                      <w:rFonts w:hint="default"/>
                      <w:color w:val="auto"/>
                      <w:lang w:val="en-US" w:eastAsia="zh-CN"/>
                    </w:rPr>
                  </w:pPr>
                  <w:r>
                    <w:rPr>
                      <w:rFonts w:hint="eastAsia"/>
                      <w:color w:val="auto"/>
                      <w:lang w:val="en-US" w:eastAsia="zh-CN"/>
                    </w:rPr>
                    <w:t>55.46</w:t>
                  </w:r>
                </w:p>
              </w:tc>
              <w:tc>
                <w:tcPr>
                  <w:tcW w:w="731" w:type="dxa"/>
                  <w:tcBorders>
                    <w:tl2br w:val="nil"/>
                    <w:tr2bl w:val="nil"/>
                  </w:tcBorders>
                  <w:vAlign w:val="center"/>
                </w:tcPr>
                <w:p w14:paraId="6CE0DD11">
                  <w:pPr>
                    <w:pStyle w:val="35"/>
                    <w:bidi w:val="0"/>
                    <w:spacing w:line="240" w:lineRule="auto"/>
                    <w:rPr>
                      <w:rFonts w:hint="default"/>
                      <w:color w:val="auto"/>
                      <w:lang w:val="en-US" w:eastAsia="zh-CN"/>
                    </w:rPr>
                  </w:pPr>
                  <w:r>
                    <w:rPr>
                      <w:rFonts w:hint="eastAsia"/>
                      <w:color w:val="auto"/>
                      <w:lang w:val="en-US" w:eastAsia="zh-CN"/>
                    </w:rPr>
                    <w:t>52.96</w:t>
                  </w:r>
                </w:p>
              </w:tc>
              <w:tc>
                <w:tcPr>
                  <w:tcW w:w="731" w:type="dxa"/>
                  <w:tcBorders>
                    <w:tl2br w:val="nil"/>
                    <w:tr2bl w:val="nil"/>
                  </w:tcBorders>
                  <w:vAlign w:val="center"/>
                </w:tcPr>
                <w:p w14:paraId="3758848F">
                  <w:pPr>
                    <w:pStyle w:val="35"/>
                    <w:bidi w:val="0"/>
                    <w:spacing w:line="240" w:lineRule="auto"/>
                    <w:rPr>
                      <w:rFonts w:hint="default"/>
                      <w:color w:val="auto"/>
                      <w:lang w:val="en-US" w:eastAsia="zh-CN"/>
                    </w:rPr>
                  </w:pPr>
                  <w:r>
                    <w:rPr>
                      <w:rFonts w:hint="eastAsia"/>
                      <w:color w:val="auto"/>
                      <w:lang w:val="en-US" w:eastAsia="zh-CN"/>
                    </w:rPr>
                    <w:t>51.02</w:t>
                  </w:r>
                </w:p>
              </w:tc>
              <w:tc>
                <w:tcPr>
                  <w:tcW w:w="731" w:type="dxa"/>
                  <w:tcBorders>
                    <w:tl2br w:val="nil"/>
                    <w:tr2bl w:val="nil"/>
                  </w:tcBorders>
                  <w:vAlign w:val="center"/>
                </w:tcPr>
                <w:p w14:paraId="19F8711C">
                  <w:pPr>
                    <w:pStyle w:val="35"/>
                    <w:bidi w:val="0"/>
                    <w:spacing w:line="240" w:lineRule="auto"/>
                    <w:rPr>
                      <w:rFonts w:hint="default"/>
                      <w:color w:val="auto"/>
                      <w:lang w:val="en-US" w:eastAsia="zh-CN"/>
                    </w:rPr>
                  </w:pPr>
                  <w:r>
                    <w:rPr>
                      <w:rFonts w:hint="eastAsia"/>
                      <w:color w:val="auto"/>
                      <w:lang w:val="en-US" w:eastAsia="zh-CN"/>
                    </w:rPr>
                    <w:t>45</w:t>
                  </w:r>
                </w:p>
              </w:tc>
              <w:tc>
                <w:tcPr>
                  <w:tcW w:w="731" w:type="dxa"/>
                  <w:tcBorders>
                    <w:tl2br w:val="nil"/>
                    <w:tr2bl w:val="nil"/>
                  </w:tcBorders>
                  <w:vAlign w:val="center"/>
                </w:tcPr>
                <w:p w14:paraId="10EFC9EB">
                  <w:pPr>
                    <w:pStyle w:val="35"/>
                    <w:bidi w:val="0"/>
                    <w:spacing w:line="240" w:lineRule="auto"/>
                    <w:rPr>
                      <w:rFonts w:hint="default"/>
                      <w:color w:val="auto"/>
                      <w:lang w:val="en-US" w:eastAsia="zh-CN"/>
                    </w:rPr>
                  </w:pPr>
                  <w:r>
                    <w:rPr>
                      <w:rFonts w:hint="eastAsia"/>
                      <w:color w:val="auto"/>
                      <w:lang w:val="en-US" w:eastAsia="zh-CN"/>
                    </w:rPr>
                    <w:t>41.48</w:t>
                  </w:r>
                </w:p>
              </w:tc>
              <w:tc>
                <w:tcPr>
                  <w:tcW w:w="732" w:type="dxa"/>
                  <w:tcBorders>
                    <w:tl2br w:val="nil"/>
                    <w:tr2bl w:val="nil"/>
                  </w:tcBorders>
                  <w:vAlign w:val="center"/>
                </w:tcPr>
                <w:p w14:paraId="0B1E796A">
                  <w:pPr>
                    <w:pStyle w:val="35"/>
                    <w:bidi w:val="0"/>
                    <w:spacing w:line="240" w:lineRule="auto"/>
                    <w:rPr>
                      <w:rFonts w:hint="default"/>
                      <w:color w:val="auto"/>
                      <w:lang w:val="en-US" w:eastAsia="zh-CN"/>
                    </w:rPr>
                  </w:pPr>
                  <w:r>
                    <w:rPr>
                      <w:rFonts w:hint="eastAsia"/>
                      <w:color w:val="auto"/>
                      <w:lang w:val="en-US" w:eastAsia="zh-CN"/>
                    </w:rPr>
                    <w:t>38.98</w:t>
                  </w:r>
                </w:p>
              </w:tc>
            </w:tr>
            <w:tr w14:paraId="6BCB6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l2br w:val="nil"/>
                    <w:tr2bl w:val="nil"/>
                  </w:tcBorders>
                  <w:vAlign w:val="center"/>
                </w:tcPr>
                <w:p w14:paraId="38B71803">
                  <w:pPr>
                    <w:pStyle w:val="35"/>
                    <w:bidi w:val="0"/>
                    <w:spacing w:line="240" w:lineRule="auto"/>
                    <w:ind w:firstLine="0" w:firstLineChars="0"/>
                    <w:rPr>
                      <w:rFonts w:hint="eastAsia" w:eastAsia="宋体"/>
                      <w:color w:val="auto"/>
                      <w:lang w:eastAsia="zh-CN"/>
                    </w:rPr>
                  </w:pPr>
                  <w:r>
                    <w:rPr>
                      <w:rFonts w:hint="eastAsia"/>
                      <w:color w:val="auto"/>
                      <w:lang w:eastAsia="zh-CN"/>
                    </w:rPr>
                    <w:t>叠加值</w:t>
                  </w:r>
                </w:p>
              </w:tc>
              <w:tc>
                <w:tcPr>
                  <w:tcW w:w="731" w:type="dxa"/>
                  <w:tcBorders>
                    <w:tl2br w:val="nil"/>
                    <w:tr2bl w:val="nil"/>
                  </w:tcBorders>
                  <w:vAlign w:val="center"/>
                </w:tcPr>
                <w:p w14:paraId="2D71E9E9">
                  <w:pPr>
                    <w:pStyle w:val="35"/>
                    <w:bidi w:val="0"/>
                    <w:spacing w:line="240" w:lineRule="auto"/>
                    <w:rPr>
                      <w:rFonts w:hint="default"/>
                      <w:color w:val="auto"/>
                      <w:lang w:val="en-US" w:eastAsia="zh-CN"/>
                    </w:rPr>
                  </w:pPr>
                  <w:r>
                    <w:rPr>
                      <w:rFonts w:hint="eastAsia"/>
                      <w:color w:val="auto"/>
                      <w:lang w:val="en-US" w:eastAsia="zh-CN"/>
                    </w:rPr>
                    <w:t>98.93</w:t>
                  </w:r>
                </w:p>
              </w:tc>
              <w:tc>
                <w:tcPr>
                  <w:tcW w:w="731" w:type="dxa"/>
                  <w:tcBorders>
                    <w:tl2br w:val="nil"/>
                    <w:tr2bl w:val="nil"/>
                  </w:tcBorders>
                  <w:vAlign w:val="center"/>
                </w:tcPr>
                <w:p w14:paraId="1BC8F529">
                  <w:pPr>
                    <w:pStyle w:val="35"/>
                    <w:bidi w:val="0"/>
                    <w:spacing w:line="240" w:lineRule="auto"/>
                    <w:rPr>
                      <w:rFonts w:hint="default"/>
                      <w:color w:val="auto"/>
                      <w:lang w:val="en-US" w:eastAsia="zh-CN"/>
                    </w:rPr>
                  </w:pPr>
                  <w:r>
                    <w:rPr>
                      <w:rFonts w:hint="eastAsia"/>
                      <w:color w:val="auto"/>
                      <w:lang w:val="en-US" w:eastAsia="zh-CN"/>
                    </w:rPr>
                    <w:t>84.95</w:t>
                  </w:r>
                </w:p>
              </w:tc>
              <w:tc>
                <w:tcPr>
                  <w:tcW w:w="731" w:type="dxa"/>
                  <w:tcBorders>
                    <w:tl2br w:val="nil"/>
                    <w:tr2bl w:val="nil"/>
                  </w:tcBorders>
                  <w:vAlign w:val="center"/>
                </w:tcPr>
                <w:p w14:paraId="5993A1F9">
                  <w:pPr>
                    <w:pStyle w:val="35"/>
                    <w:bidi w:val="0"/>
                    <w:spacing w:line="240" w:lineRule="auto"/>
                    <w:rPr>
                      <w:rFonts w:hint="default"/>
                      <w:color w:val="auto"/>
                      <w:lang w:val="en-US" w:eastAsia="zh-CN"/>
                    </w:rPr>
                  </w:pPr>
                  <w:r>
                    <w:rPr>
                      <w:rFonts w:hint="eastAsia"/>
                      <w:color w:val="auto"/>
                      <w:lang w:val="en-US" w:eastAsia="zh-CN"/>
                    </w:rPr>
                    <w:t>78.93</w:t>
                  </w:r>
                </w:p>
              </w:tc>
              <w:tc>
                <w:tcPr>
                  <w:tcW w:w="731" w:type="dxa"/>
                  <w:tcBorders>
                    <w:tl2br w:val="nil"/>
                    <w:tr2bl w:val="nil"/>
                  </w:tcBorders>
                  <w:vAlign w:val="center"/>
                </w:tcPr>
                <w:p w14:paraId="60FA491E">
                  <w:pPr>
                    <w:pStyle w:val="35"/>
                    <w:bidi w:val="0"/>
                    <w:spacing w:line="240" w:lineRule="auto"/>
                    <w:rPr>
                      <w:rFonts w:hint="default"/>
                      <w:color w:val="auto"/>
                      <w:lang w:val="en-US" w:eastAsia="zh-CN"/>
                    </w:rPr>
                  </w:pPr>
                  <w:r>
                    <w:rPr>
                      <w:rFonts w:hint="eastAsia"/>
                      <w:color w:val="auto"/>
                      <w:lang w:val="en-US" w:eastAsia="zh-CN"/>
                    </w:rPr>
                    <w:t>72.91</w:t>
                  </w:r>
                </w:p>
              </w:tc>
              <w:tc>
                <w:tcPr>
                  <w:tcW w:w="731" w:type="dxa"/>
                  <w:tcBorders>
                    <w:tl2br w:val="nil"/>
                    <w:tr2bl w:val="nil"/>
                  </w:tcBorders>
                  <w:vAlign w:val="center"/>
                </w:tcPr>
                <w:p w14:paraId="69252E8D">
                  <w:pPr>
                    <w:pStyle w:val="35"/>
                    <w:bidi w:val="0"/>
                    <w:spacing w:line="240" w:lineRule="auto"/>
                    <w:rPr>
                      <w:rFonts w:hint="default"/>
                      <w:color w:val="auto"/>
                      <w:lang w:val="en-US" w:eastAsia="zh-CN"/>
                    </w:rPr>
                  </w:pPr>
                  <w:r>
                    <w:rPr>
                      <w:rFonts w:hint="eastAsia"/>
                      <w:color w:val="auto"/>
                      <w:lang w:val="en-US" w:eastAsia="zh-CN"/>
                    </w:rPr>
                    <w:t>69.39</w:t>
                  </w:r>
                </w:p>
              </w:tc>
              <w:tc>
                <w:tcPr>
                  <w:tcW w:w="731" w:type="dxa"/>
                  <w:tcBorders>
                    <w:tl2br w:val="nil"/>
                    <w:tr2bl w:val="nil"/>
                  </w:tcBorders>
                  <w:vAlign w:val="center"/>
                </w:tcPr>
                <w:p w14:paraId="51FF073A">
                  <w:pPr>
                    <w:pStyle w:val="35"/>
                    <w:bidi w:val="0"/>
                    <w:spacing w:line="240" w:lineRule="auto"/>
                    <w:rPr>
                      <w:rFonts w:hint="default"/>
                      <w:color w:val="auto"/>
                      <w:lang w:val="en-US" w:eastAsia="zh-CN"/>
                    </w:rPr>
                  </w:pPr>
                  <w:r>
                    <w:rPr>
                      <w:rFonts w:hint="eastAsia"/>
                      <w:color w:val="auto"/>
                      <w:lang w:val="en-US" w:eastAsia="zh-CN"/>
                    </w:rPr>
                    <w:t>66.89</w:t>
                  </w:r>
                </w:p>
              </w:tc>
              <w:tc>
                <w:tcPr>
                  <w:tcW w:w="731" w:type="dxa"/>
                  <w:tcBorders>
                    <w:tl2br w:val="nil"/>
                    <w:tr2bl w:val="nil"/>
                  </w:tcBorders>
                  <w:vAlign w:val="center"/>
                </w:tcPr>
                <w:p w14:paraId="1141A02A">
                  <w:pPr>
                    <w:pStyle w:val="35"/>
                    <w:bidi w:val="0"/>
                    <w:spacing w:line="240" w:lineRule="auto"/>
                    <w:rPr>
                      <w:rFonts w:hint="default"/>
                      <w:color w:val="auto"/>
                      <w:lang w:val="en-US" w:eastAsia="zh-CN"/>
                    </w:rPr>
                  </w:pPr>
                  <w:r>
                    <w:rPr>
                      <w:rFonts w:hint="eastAsia"/>
                      <w:color w:val="auto"/>
                      <w:lang w:val="en-US" w:eastAsia="zh-CN"/>
                    </w:rPr>
                    <w:t>64.95</w:t>
                  </w:r>
                </w:p>
              </w:tc>
              <w:tc>
                <w:tcPr>
                  <w:tcW w:w="731" w:type="dxa"/>
                  <w:tcBorders>
                    <w:tl2br w:val="nil"/>
                    <w:tr2bl w:val="nil"/>
                  </w:tcBorders>
                  <w:vAlign w:val="center"/>
                </w:tcPr>
                <w:p w14:paraId="5C5CC913">
                  <w:pPr>
                    <w:pStyle w:val="35"/>
                    <w:bidi w:val="0"/>
                    <w:spacing w:line="240" w:lineRule="auto"/>
                    <w:rPr>
                      <w:rFonts w:hint="default"/>
                      <w:color w:val="auto"/>
                      <w:lang w:val="en-US" w:eastAsia="zh-CN"/>
                    </w:rPr>
                  </w:pPr>
                  <w:r>
                    <w:rPr>
                      <w:rFonts w:hint="eastAsia"/>
                      <w:color w:val="auto"/>
                      <w:lang w:val="en-US" w:eastAsia="zh-CN"/>
                    </w:rPr>
                    <w:t>58.93</w:t>
                  </w:r>
                </w:p>
              </w:tc>
              <w:tc>
                <w:tcPr>
                  <w:tcW w:w="731" w:type="dxa"/>
                  <w:tcBorders>
                    <w:tl2br w:val="nil"/>
                    <w:tr2bl w:val="nil"/>
                  </w:tcBorders>
                  <w:vAlign w:val="center"/>
                </w:tcPr>
                <w:p w14:paraId="58F14F3A">
                  <w:pPr>
                    <w:pStyle w:val="35"/>
                    <w:bidi w:val="0"/>
                    <w:spacing w:line="240" w:lineRule="auto"/>
                    <w:rPr>
                      <w:rFonts w:hint="default"/>
                      <w:color w:val="auto"/>
                      <w:lang w:val="en-US" w:eastAsia="zh-CN"/>
                    </w:rPr>
                  </w:pPr>
                  <w:r>
                    <w:rPr>
                      <w:rFonts w:hint="eastAsia"/>
                      <w:color w:val="auto"/>
                      <w:lang w:val="en-US" w:eastAsia="zh-CN"/>
                    </w:rPr>
                    <w:t>55.41</w:t>
                  </w:r>
                </w:p>
              </w:tc>
              <w:tc>
                <w:tcPr>
                  <w:tcW w:w="732" w:type="dxa"/>
                  <w:tcBorders>
                    <w:tl2br w:val="nil"/>
                    <w:tr2bl w:val="nil"/>
                  </w:tcBorders>
                  <w:vAlign w:val="center"/>
                </w:tcPr>
                <w:p w14:paraId="590C7F05">
                  <w:pPr>
                    <w:pStyle w:val="35"/>
                    <w:bidi w:val="0"/>
                    <w:spacing w:line="240" w:lineRule="auto"/>
                    <w:rPr>
                      <w:rFonts w:hint="default"/>
                      <w:color w:val="auto"/>
                      <w:lang w:val="en-US" w:eastAsia="zh-CN"/>
                    </w:rPr>
                  </w:pPr>
                  <w:r>
                    <w:rPr>
                      <w:rFonts w:hint="eastAsia"/>
                      <w:color w:val="auto"/>
                      <w:lang w:val="en-US" w:eastAsia="zh-CN"/>
                    </w:rPr>
                    <w:t>52.91</w:t>
                  </w:r>
                </w:p>
              </w:tc>
            </w:tr>
          </w:tbl>
          <w:p w14:paraId="7AEB8098">
            <w:pPr>
              <w:pStyle w:val="37"/>
              <w:bidi w:val="0"/>
              <w:rPr>
                <w:color w:val="auto"/>
              </w:rPr>
            </w:pPr>
            <w:r>
              <w:rPr>
                <w:color w:val="auto"/>
              </w:rPr>
              <w:t>由上表可知，在无遮挡的情况下，在每个施工区会多台设备同时使用，通过距离衰减，项目施工期间昼间噪声超标范围控制在噪声源强外</w:t>
            </w:r>
            <w:r>
              <w:rPr>
                <w:rFonts w:hint="eastAsia"/>
                <w:color w:val="auto"/>
                <w:lang w:val="en-US" w:eastAsia="zh-CN"/>
              </w:rPr>
              <w:t>5</w:t>
            </w:r>
            <w:r>
              <w:rPr>
                <w:color w:val="auto"/>
              </w:rPr>
              <w:t>0m范围内，项目夜间不施工。</w:t>
            </w:r>
          </w:p>
          <w:p w14:paraId="5AF9911F">
            <w:pPr>
              <w:pStyle w:val="37"/>
              <w:bidi w:val="0"/>
              <w:rPr>
                <w:rFonts w:hint="eastAsia" w:eastAsia="宋体"/>
                <w:color w:val="auto"/>
                <w:lang w:eastAsia="zh-CN"/>
              </w:rPr>
            </w:pPr>
            <w:r>
              <w:rPr>
                <w:rFonts w:hint="eastAsia"/>
                <w:color w:val="auto"/>
                <w:lang w:eastAsia="zh-CN"/>
              </w:rPr>
              <w:t>经调查，工程线路周边</w:t>
            </w:r>
            <w:r>
              <w:rPr>
                <w:rFonts w:hint="eastAsia"/>
                <w:color w:val="auto"/>
                <w:lang w:val="en-US" w:eastAsia="zh-CN"/>
              </w:rPr>
              <w:t>50 m范围无声环境保护目标</w:t>
            </w:r>
            <w:r>
              <w:rPr>
                <w:color w:val="auto"/>
              </w:rPr>
              <w:t>。施工期间产噪设备主要集中在河道两侧，施工期间施工噪声对</w:t>
            </w:r>
            <w:r>
              <w:rPr>
                <w:rFonts w:hint="eastAsia"/>
                <w:color w:val="auto"/>
                <w:lang w:eastAsia="zh-CN"/>
              </w:rPr>
              <w:t>周围环境</w:t>
            </w:r>
            <w:r>
              <w:rPr>
                <w:color w:val="auto"/>
              </w:rPr>
              <w:t>影响</w:t>
            </w:r>
            <w:r>
              <w:rPr>
                <w:rFonts w:hint="eastAsia"/>
                <w:color w:val="auto"/>
                <w:lang w:eastAsia="zh-CN"/>
              </w:rPr>
              <w:t>不大。</w:t>
            </w:r>
          </w:p>
          <w:p w14:paraId="76283DFA">
            <w:pPr>
              <w:pStyle w:val="37"/>
              <w:bidi w:val="0"/>
              <w:rPr>
                <w:b/>
                <w:bCs/>
                <w:color w:val="auto"/>
              </w:rPr>
            </w:pPr>
            <w:r>
              <w:rPr>
                <w:rFonts w:hint="eastAsia"/>
                <w:b/>
                <w:bCs/>
                <w:color w:val="auto"/>
                <w:lang w:val="en-US" w:eastAsia="zh-CN"/>
              </w:rPr>
              <w:t>5</w:t>
            </w:r>
            <w:r>
              <w:rPr>
                <w:b/>
                <w:bCs/>
                <w:color w:val="auto"/>
              </w:rPr>
              <w:t>、固体废弃物影响分析</w:t>
            </w:r>
          </w:p>
          <w:p w14:paraId="4F83DB5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工程施工期产生的固体废弃物主要是施工</w:t>
            </w:r>
            <w:r>
              <w:rPr>
                <w:rFonts w:hint="default" w:ascii="Times New Roman" w:hAnsi="Times New Roman" w:cs="Times New Roman"/>
                <w:color w:val="auto"/>
                <w:sz w:val="24"/>
                <w:lang w:eastAsia="zh-CN"/>
              </w:rPr>
              <w:t>土石方</w:t>
            </w:r>
            <w:r>
              <w:rPr>
                <w:rFonts w:hint="default" w:ascii="Times New Roman" w:hAnsi="Times New Roman" w:cs="Times New Roman"/>
                <w:color w:val="auto"/>
                <w:sz w:val="24"/>
              </w:rPr>
              <w:t>、施工建筑垃圾、施工人员生活垃圾。</w:t>
            </w:r>
          </w:p>
          <w:p w14:paraId="0A2A878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w:t>
            </w:r>
            <w:r>
              <w:rPr>
                <w:rFonts w:hint="default" w:ascii="Times New Roman" w:hAnsi="Times New Roman" w:cs="Times New Roman"/>
                <w:color w:val="auto"/>
                <w:sz w:val="24"/>
                <w:lang w:eastAsia="zh-CN"/>
              </w:rPr>
              <w:t>土石方</w:t>
            </w:r>
          </w:p>
          <w:p w14:paraId="3614B52E">
            <w:pPr>
              <w:spacing w:line="360" w:lineRule="auto"/>
              <w:ind w:firstLine="480" w:firstLineChars="200"/>
              <w:rPr>
                <w:rFonts w:hint="default" w:ascii="Times New Roman" w:hAnsi="Times New Roman" w:eastAsia="宋体" w:cs="Times New Roman"/>
                <w:color w:val="auto"/>
                <w:sz w:val="24"/>
              </w:rPr>
            </w:pPr>
            <w:r>
              <w:rPr>
                <w:rFonts w:hint="eastAsia" w:cs="Times New Roman"/>
                <w:b w:val="0"/>
                <w:bCs/>
                <w:color w:val="auto"/>
                <w:kern w:val="0"/>
                <w:sz w:val="24"/>
                <w:lang w:val="en-US" w:eastAsia="zh-CN"/>
              </w:rPr>
              <w:t>根据</w:t>
            </w:r>
            <w:r>
              <w:rPr>
                <w:rFonts w:hint="default" w:ascii="Times New Roman" w:hAnsi="Times New Roman" w:eastAsia="宋体" w:cs="Times New Roman"/>
                <w:b w:val="0"/>
                <w:bCs/>
                <w:color w:val="auto"/>
                <w:kern w:val="0"/>
                <w:sz w:val="24"/>
                <w:lang w:val="en-US" w:eastAsia="zh-CN"/>
              </w:rPr>
              <w:t>芒市大河新桥电站至洞坎大桥段河道治理工程施工土石方平衡分析</w:t>
            </w:r>
            <w:r>
              <w:rPr>
                <w:rFonts w:hint="eastAsia" w:cs="Times New Roman"/>
                <w:b w:val="0"/>
                <w:bCs/>
                <w:color w:val="auto"/>
                <w:kern w:val="0"/>
                <w:sz w:val="24"/>
                <w:lang w:val="en-US" w:eastAsia="zh-CN"/>
              </w:rPr>
              <w:t>，</w:t>
            </w:r>
            <w:r>
              <w:rPr>
                <w:rFonts w:hint="default" w:ascii="Times New Roman" w:hAnsi="Times New Roman" w:eastAsia="宋体" w:cs="Times New Roman"/>
                <w:b w:val="0"/>
                <w:bCs/>
                <w:color w:val="auto"/>
                <w:kern w:val="0"/>
                <w:sz w:val="24"/>
                <w:lang w:val="en-US" w:eastAsia="zh-CN"/>
              </w:rPr>
              <w:t xml:space="preserve">包括堤防建设区、施工生产生活区、临时道路区。土石方平衡涉及项目包括土方开挖、石方开挖和开挖料回填等。 </w:t>
            </w:r>
            <w:r>
              <w:rPr>
                <w:rFonts w:hint="eastAsia" w:cs="Times New Roman"/>
                <w:b w:val="0"/>
                <w:bCs/>
                <w:color w:val="auto"/>
                <w:kern w:val="0"/>
                <w:sz w:val="24"/>
                <w:lang w:val="en-US" w:eastAsia="zh-CN"/>
              </w:rPr>
              <w:t>施工共计开挖</w:t>
            </w:r>
            <w:r>
              <w:rPr>
                <w:rFonts w:hint="default" w:ascii="Times New Roman" w:hAnsi="Times New Roman" w:eastAsia="宋体" w:cs="Times New Roman"/>
                <w:b w:val="0"/>
                <w:bCs/>
                <w:color w:val="auto"/>
                <w:kern w:val="0"/>
                <w:sz w:val="24"/>
                <w:lang w:val="en-US" w:eastAsia="zh-CN"/>
              </w:rPr>
              <w:t>土石方35116.35 m³（包括砂砾土25249.68 m³和表土9866.67 m³），综合回填利用土石方35116.34 m³（其中建筑物回填25249.68 m³，表土利用9866.67 m³），产生弃渣0m³</w:t>
            </w:r>
            <w:r>
              <w:rPr>
                <w:rFonts w:hint="default" w:ascii="Times New Roman" w:hAnsi="Times New Roman" w:eastAsia="宋体" w:cs="Times New Roman"/>
                <w:b w:val="0"/>
                <w:bCs w:val="0"/>
                <w:color w:val="auto"/>
                <w:sz w:val="24"/>
                <w:szCs w:val="24"/>
                <w:lang w:val="en-US" w:eastAsia="zh-CN"/>
              </w:rPr>
              <w:t>。堆存表土用于后期工程复耕及方案中绿化覆土。</w:t>
            </w:r>
            <w:r>
              <w:rPr>
                <w:rFonts w:hint="default" w:ascii="Times New Roman" w:hAnsi="Times New Roman" w:eastAsia="宋体" w:cs="Times New Roman"/>
                <w:color w:val="auto"/>
                <w:sz w:val="24"/>
              </w:rPr>
              <w:t>工程建设无永久弃渣产生，项目不设置弃渣场。</w:t>
            </w:r>
          </w:p>
          <w:p w14:paraId="65F07BF4">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lang w:val="en-US" w:eastAsia="zh-CN"/>
              </w:rPr>
              <w:t>在施工生产生活区、临时道路区工程占地范围内规划了表土临时堆场</w:t>
            </w:r>
            <w:r>
              <w:rPr>
                <w:rFonts w:hint="eastAsia" w:ascii="Times New Roman" w:hAnsi="Times New Roman" w:eastAsia="宋体" w:cs="Times New Roman"/>
                <w:color w:val="auto"/>
                <w:lang w:val="en-US" w:eastAsia="zh-CN"/>
              </w:rPr>
              <w:t>，施工生产区表土堆场面积为0.25hm</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，临时道路区表土堆场</w:t>
            </w:r>
            <w:r>
              <w:rPr>
                <w:rFonts w:hint="eastAsia" w:ascii="Times New Roman" w:hAnsi="Times New Roman" w:eastAsia="宋体" w:cs="Times New Roman"/>
                <w:color w:val="auto"/>
                <w:lang w:val="en-US" w:eastAsia="zh-CN"/>
              </w:rPr>
              <w:t>面积为0.26hm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eastAsia"/>
                <w:color w:val="auto"/>
                <w:lang w:eastAsia="zh-CN"/>
              </w:rPr>
              <w:t>堆存过程中采取降尘及防止水土流失措施。严禁长期堆存，施工结束后及时对临时占用土地进行恢复治理</w:t>
            </w:r>
            <w:r>
              <w:rPr>
                <w:rFonts w:hint="default" w:ascii="Times New Roman" w:hAnsi="Times New Roman" w:eastAsia="宋体" w:cs="Times New Roman"/>
                <w:color w:val="auto"/>
                <w:sz w:val="24"/>
              </w:rPr>
              <w:t>，本项目工程临时堆土对周围环境的影响较小。</w:t>
            </w:r>
          </w:p>
          <w:p w14:paraId="4C9D7E4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施工建筑垃圾</w:t>
            </w:r>
          </w:p>
          <w:p w14:paraId="4D89A3A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工程建筑垃圾主要来自各施工区临时建筑物拆除，施工废料等，均为一般性建筑垃圾，无放射性和有毒垃圾。随着施工结束，大量的建筑垃圾及各种杂物堆放在施工区，形成杂乱的施工迹地，若不采取施工迹地恢复或改造措施，将会影响新建建筑物的视觉景观。建筑垃圾应分类堆放，能回收利用的尽量回收利用，能出售给废品回收站的出售给废品回收站，不能回收利用的按住建部门要求进行规范处置。</w:t>
            </w:r>
          </w:p>
          <w:p w14:paraId="0852A75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生活垃圾</w:t>
            </w:r>
          </w:p>
          <w:p w14:paraId="750B06D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根据施工组织设计，本工程施工人数为</w:t>
            </w:r>
            <w:r>
              <w:rPr>
                <w:rFonts w:hint="eastAsia" w:ascii="Times New Roman" w:hAnsi="Times New Roman" w:cs="Times New Roman"/>
                <w:color w:val="auto"/>
                <w:sz w:val="24"/>
                <w:lang w:val="en-US" w:eastAsia="zh-CN"/>
              </w:rPr>
              <w:t>75</w:t>
            </w:r>
            <w:r>
              <w:rPr>
                <w:rFonts w:hint="default" w:ascii="Times New Roman" w:hAnsi="Times New Roman" w:cs="Times New Roman"/>
                <w:color w:val="auto"/>
                <w:sz w:val="24"/>
              </w:rPr>
              <w:t>人，生活垃圾产生量按每人0.5kg/d计算，则日生活垃圾产生量为</w:t>
            </w:r>
            <w:r>
              <w:rPr>
                <w:rFonts w:hint="eastAsia" w:ascii="Times New Roman" w:hAnsi="Times New Roman" w:cs="Times New Roman"/>
                <w:color w:val="auto"/>
                <w:sz w:val="24"/>
                <w:lang w:val="en-US" w:eastAsia="zh-CN"/>
              </w:rPr>
              <w:t>37.5</w:t>
            </w:r>
            <w:r>
              <w:rPr>
                <w:rFonts w:hint="default" w:ascii="Times New Roman" w:hAnsi="Times New Roman" w:cs="Times New Roman"/>
                <w:color w:val="auto"/>
                <w:sz w:val="24"/>
              </w:rPr>
              <w:t>kg/d。</w:t>
            </w:r>
            <w:r>
              <w:rPr>
                <w:rFonts w:hint="eastAsia" w:ascii="Times New Roman" w:hAnsi="Times New Roman" w:cs="Times New Roman"/>
                <w:color w:val="auto"/>
                <w:sz w:val="24"/>
                <w:lang w:eastAsia="zh-CN"/>
              </w:rPr>
              <w:t>项目主体工程</w:t>
            </w:r>
            <w:r>
              <w:rPr>
                <w:rFonts w:hint="default" w:ascii="Times New Roman" w:hAnsi="Times New Roman" w:cs="Times New Roman"/>
                <w:color w:val="auto"/>
                <w:sz w:val="24"/>
              </w:rPr>
              <w:t>施工期</w:t>
            </w:r>
            <w:r>
              <w:rPr>
                <w:rFonts w:hint="eastAsia"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个月，累计垃圾产生量</w:t>
            </w:r>
            <w:r>
              <w:rPr>
                <w:rFonts w:hint="eastAsia" w:ascii="Times New Roman" w:hAnsi="Times New Roman" w:cs="Times New Roman"/>
                <w:color w:val="auto"/>
                <w:sz w:val="24"/>
                <w:lang w:val="en-US" w:eastAsia="zh-CN"/>
              </w:rPr>
              <w:t>7.87</w:t>
            </w:r>
            <w:r>
              <w:rPr>
                <w:rFonts w:hint="default" w:ascii="Times New Roman" w:hAnsi="Times New Roman" w:cs="Times New Roman"/>
                <w:color w:val="auto"/>
                <w:sz w:val="24"/>
              </w:rPr>
              <w:t>t</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，垃圾成分以有机垃圾为主。生活垃圾收集后运至周边村庄生活垃圾堆存点统一处置。</w:t>
            </w:r>
          </w:p>
          <w:p w14:paraId="5AB508AA">
            <w:pPr>
              <w:pStyle w:val="3"/>
              <w:ind w:firstLine="240" w:firstLineChars="100"/>
              <w:rPr>
                <w:rFonts w:hint="eastAsia" w:eastAsia="宋体"/>
                <w:lang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lang w:eastAsia="zh-CN"/>
              </w:rPr>
              <w:t>）废机油</w:t>
            </w:r>
          </w:p>
          <w:p w14:paraId="5EB82A05">
            <w:pPr>
              <w:spacing w:line="360" w:lineRule="auto"/>
              <w:ind w:firstLine="480" w:firstLineChars="200"/>
              <w:rPr>
                <w:rFonts w:hint="default" w:ascii="Times New Roman" w:hAnsi="Times New Roman" w:cs="Times New Roman"/>
                <w:b/>
                <w:bCs/>
                <w:color w:val="auto"/>
                <w:sz w:val="24"/>
                <w:lang w:eastAsia="zh-CN"/>
              </w:rPr>
            </w:pPr>
            <w:r>
              <w:rPr>
                <w:rFonts w:hint="default" w:ascii="Times New Roman" w:hAnsi="Times New Roman" w:eastAsia="宋体" w:cs="Times New Roman"/>
                <w:color w:val="auto"/>
                <w:lang w:val="en-US" w:eastAsia="zh-CN"/>
              </w:rPr>
              <w:t>施工机械不在施工场地维修，车辆维修，施工机械设备开往附近修理厂维修，维修过程产生的废矿物油处置责任由修理厂承担，施工场地不涉及废矿物油的产生及储存</w:t>
            </w:r>
            <w:r>
              <w:rPr>
                <w:rFonts w:hint="eastAsia" w:ascii="Times New Roman" w:hAnsi="Times New Roman" w:eastAsia="宋体" w:cs="Times New Roman"/>
                <w:color w:val="auto"/>
                <w:lang w:val="en-US" w:eastAsia="zh-CN"/>
              </w:rPr>
              <w:t>。</w:t>
            </w:r>
          </w:p>
          <w:p w14:paraId="17072A95">
            <w:pPr>
              <w:spacing w:line="360" w:lineRule="auto"/>
              <w:ind w:firstLine="482" w:firstLineChars="200"/>
              <w:rPr>
                <w:rFonts w:hint="default" w:ascii="Times New Roman" w:hAnsi="Times New Roman" w:cs="Times New Roman"/>
                <w:b/>
                <w:bCs/>
                <w:color w:val="auto"/>
                <w:sz w:val="24"/>
                <w:lang w:eastAsia="zh-CN"/>
              </w:rPr>
            </w:pPr>
            <w:r>
              <w:rPr>
                <w:rFonts w:hint="default" w:ascii="Times New Roman" w:hAnsi="Times New Roman" w:cs="Times New Roman"/>
                <w:b/>
                <w:bCs/>
                <w:color w:val="auto"/>
                <w:sz w:val="24"/>
                <w:lang w:eastAsia="zh-CN"/>
              </w:rPr>
              <w:t>三、施工期环境风险分析</w:t>
            </w:r>
          </w:p>
          <w:p w14:paraId="0957DF12">
            <w:pPr>
              <w:spacing w:line="360" w:lineRule="auto"/>
              <w:ind w:firstLine="480" w:firstLineChars="200"/>
              <w:rPr>
                <w:rFonts w:hint="eastAsia" w:cs="Times New Roman"/>
                <w:bCs/>
                <w:color w:val="auto"/>
                <w:lang w:eastAsia="zh-CN"/>
              </w:rPr>
            </w:pPr>
            <w:r>
              <w:rPr>
                <w:rFonts w:hint="default" w:ascii="Times New Roman" w:hAnsi="Times New Roman" w:eastAsia="宋体" w:cs="Times New Roman"/>
                <w:color w:val="auto"/>
                <w:sz w:val="24"/>
                <w:lang w:val="en-US" w:eastAsia="zh-CN"/>
              </w:rPr>
              <w:t>本项目属于防洪除涝工程</w:t>
            </w:r>
            <w:r>
              <w:rPr>
                <w:rFonts w:hint="default" w:ascii="Times New Roman" w:hAnsi="Times New Roman" w:eastAsia="宋体" w:cs="Times New Roman"/>
                <w:color w:val="auto"/>
                <w:sz w:val="24"/>
                <w:lang w:eastAsia="zh-CN"/>
              </w:rPr>
              <w:t>。此类工程属于常见的水利建设工程，参考同类工程来看，此类水利建设工程基本不存在突发或非突发的环境风险的</w:t>
            </w:r>
            <w:r>
              <w:rPr>
                <w:rFonts w:hint="eastAsia" w:ascii="Times New Roman" w:hAnsi="Times New Roman" w:eastAsia="宋体" w:cs="Times New Roman"/>
                <w:color w:val="auto"/>
                <w:sz w:val="24"/>
                <w:lang w:eastAsia="zh-CN"/>
              </w:rPr>
              <w:t>概率</w:t>
            </w:r>
            <w:r>
              <w:rPr>
                <w:rFonts w:hint="default" w:ascii="Times New Roman" w:hAnsi="Times New Roman" w:eastAsia="宋体" w:cs="Times New Roman"/>
                <w:color w:val="auto"/>
                <w:sz w:val="24"/>
                <w:lang w:eastAsia="zh-CN"/>
              </w:rPr>
              <w:t>。结合实践经验，从本次工程组成及施工过程分析，本项目产生突发或非突发的环境风险</w:t>
            </w:r>
            <w:r>
              <w:rPr>
                <w:rFonts w:hint="eastAsia" w:ascii="Times New Roman" w:hAnsi="Times New Roman" w:eastAsia="宋体" w:cs="Times New Roman"/>
                <w:color w:val="auto"/>
                <w:sz w:val="24"/>
                <w:lang w:eastAsia="zh-CN"/>
              </w:rPr>
              <w:t>概率</w:t>
            </w:r>
            <w:r>
              <w:rPr>
                <w:rFonts w:hint="default" w:ascii="Times New Roman" w:hAnsi="Times New Roman" w:eastAsia="宋体" w:cs="Times New Roman"/>
                <w:color w:val="auto"/>
                <w:sz w:val="24"/>
                <w:lang w:eastAsia="zh-CN"/>
              </w:rPr>
              <w:t>极低。目前国内混凝土搅拌施工过程中的灌浆剂不含有毒有害物质，不会对河流水质安全造成影响。本项目不涉及油库等风险源，施工区不设置机械修配厂，</w:t>
            </w:r>
            <w:r>
              <w:rPr>
                <w:rFonts w:hint="default" w:ascii="Times New Roman" w:hAnsi="Times New Roman" w:eastAsia="宋体" w:cs="Times New Roman"/>
                <w:color w:val="auto"/>
                <w:lang w:val="en-US" w:eastAsia="zh-CN"/>
              </w:rPr>
              <w:t>车辆维修，施工机械设备开往附近修理厂维修，维修过程产生的废矿物油处置责任由修理厂承担，施工场地不涉及废矿物油的产生及储存</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但</w:t>
            </w:r>
            <w:r>
              <w:rPr>
                <w:rFonts w:hint="default" w:ascii="Times New Roman" w:hAnsi="Times New Roman" w:eastAsia="宋体" w:cs="Times New Roman"/>
                <w:color w:val="auto"/>
                <w:sz w:val="24"/>
                <w:lang w:eastAsia="zh-CN"/>
              </w:rPr>
              <w:t>施工期涉油机械在使用过程中存在机械设备油料泄漏风险。柴油或润滑油的泄漏，可能会导致水体发生油类污染的风险。虑到项目所在区域自然地理以及社会经济条件，评价认为工程施工期潜在环境风险主要在于施工设备油料的泄漏产生的环境风险。</w:t>
            </w:r>
          </w:p>
        </w:tc>
      </w:tr>
      <w:tr w14:paraId="43B71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Mar>
              <w:left w:w="28" w:type="dxa"/>
              <w:right w:w="28" w:type="dxa"/>
            </w:tcMar>
            <w:vAlign w:val="center"/>
          </w:tcPr>
          <w:p w14:paraId="31ED80C9">
            <w:pPr>
              <w:pStyle w:val="20"/>
              <w:adjustRightInd w:val="0"/>
              <w:snapToGrid w:val="0"/>
              <w:spacing w:before="0" w:beforeAutospacing="0" w:after="0" w:afterAutospacing="0"/>
              <w:ind w:left="0" w:leftChars="0" w:firstLine="0" w:firstLineChars="0"/>
              <w:jc w:val="center"/>
              <w:rPr>
                <w:rFonts w:hint="default" w:ascii="Times New Roman" w:hAnsi="Times New Roman" w:cs="Times New Roman"/>
                <w:bCs/>
                <w:color w:val="auto"/>
                <w:kern w:val="2"/>
              </w:rPr>
            </w:pPr>
            <w:r>
              <w:rPr>
                <w:rFonts w:hint="default" w:ascii="Times New Roman" w:hAnsi="Times New Roman" w:cs="Times New Roman"/>
                <w:bCs/>
                <w:color w:val="auto"/>
                <w:spacing w:val="10"/>
                <w:kern w:val="2"/>
              </w:rPr>
              <w:t>运营期生态环境影响分析</w:t>
            </w:r>
          </w:p>
        </w:tc>
        <w:tc>
          <w:tcPr>
            <w:tcW w:w="4755" w:type="pct"/>
          </w:tcPr>
          <w:p w14:paraId="1ADCE820">
            <w:pPr>
              <w:pStyle w:val="37"/>
              <w:bidi w:val="0"/>
              <w:rPr>
                <w:rFonts w:hint="default"/>
                <w:b/>
                <w:bCs/>
                <w:color w:val="auto"/>
              </w:rPr>
            </w:pPr>
            <w:r>
              <w:rPr>
                <w:rFonts w:hint="default"/>
                <w:b/>
                <w:bCs/>
                <w:color w:val="auto"/>
              </w:rPr>
              <w:t>一、运营期生态环境影响分析</w:t>
            </w:r>
          </w:p>
          <w:p w14:paraId="36A9C5B1">
            <w:pPr>
              <w:spacing w:line="360" w:lineRule="auto"/>
              <w:ind w:firstLine="482" w:firstLineChars="200"/>
              <w:rPr>
                <w:rFonts w:hint="eastAsia"/>
                <w:b/>
                <w:bCs/>
                <w:color w:val="auto"/>
                <w:lang w:val="en-US" w:eastAsia="zh-CN"/>
              </w:rPr>
            </w:pPr>
            <w:r>
              <w:rPr>
                <w:rFonts w:hint="eastAsia"/>
                <w:b/>
                <w:bCs/>
                <w:color w:val="auto"/>
                <w:lang w:val="en-US" w:eastAsia="zh-CN"/>
              </w:rPr>
              <w:t>1、生态影响分析</w:t>
            </w:r>
          </w:p>
          <w:p w14:paraId="08AEF4B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（1）对生态系统的影响</w:t>
            </w:r>
          </w:p>
          <w:p w14:paraId="7DB1138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工程建成后，</w:t>
            </w:r>
            <w:r>
              <w:rPr>
                <w:rFonts w:hint="eastAsia" w:ascii="Times New Roman" w:hAnsi="Times New Roman" w:eastAsia="宋体" w:cs="Times New Roman"/>
                <w:color w:val="auto"/>
                <w:sz w:val="24"/>
                <w:lang w:eastAsia="zh-CN"/>
              </w:rPr>
              <w:t>芒市大河工程段</w:t>
            </w:r>
            <w:r>
              <w:rPr>
                <w:rFonts w:hint="default" w:ascii="Times New Roman" w:hAnsi="Times New Roman" w:eastAsia="宋体" w:cs="Times New Roman"/>
                <w:color w:val="auto"/>
                <w:sz w:val="24"/>
              </w:rPr>
              <w:t>两岸的植被和生态系统的恢复建设，可改善项目区域的生态环境和自然景观，有利于改善所涉河道的水质状况，使流域的水生生态系统趋向于稳定，对水生生态环境也将带来较大的有利影响。</w:t>
            </w:r>
          </w:p>
          <w:p w14:paraId="3499669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（2）对陆生植物</w:t>
            </w:r>
            <w:r>
              <w:rPr>
                <w:rFonts w:hint="default" w:ascii="Times New Roman" w:hAnsi="Times New Roman" w:eastAsia="宋体" w:cs="Times New Roman"/>
                <w:color w:val="auto"/>
                <w:sz w:val="24"/>
                <w:lang w:eastAsia="zh-CN"/>
              </w:rPr>
              <w:t>、植被</w:t>
            </w:r>
            <w:r>
              <w:rPr>
                <w:rFonts w:hint="default" w:ascii="Times New Roman" w:hAnsi="Times New Roman" w:eastAsia="宋体" w:cs="Times New Roman"/>
                <w:color w:val="auto"/>
                <w:sz w:val="24"/>
              </w:rPr>
              <w:t>的影响</w:t>
            </w:r>
          </w:p>
          <w:p w14:paraId="5573DE7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成后，临时占用的土地将恢复原有的使用性质，项目受影响的植被和自然生态系统也将逐渐得到恢复和发展，工程建设对生态环境的影响将逐渐减小和消失，项目建设及运行不会对评价区土地利用格局产生大的影响。本次</w:t>
            </w:r>
            <w:r>
              <w:rPr>
                <w:rFonts w:hint="default" w:ascii="Times New Roman" w:hAnsi="Times New Roman" w:eastAsia="宋体" w:cs="Times New Roman"/>
                <w:color w:val="auto"/>
                <w:sz w:val="24"/>
                <w:lang w:eastAsia="zh-CN"/>
              </w:rPr>
              <w:t>治理</w:t>
            </w:r>
            <w:r>
              <w:rPr>
                <w:rFonts w:hint="default" w:ascii="Times New Roman" w:hAnsi="Times New Roman" w:eastAsia="宋体" w:cs="Times New Roman"/>
                <w:color w:val="auto"/>
                <w:sz w:val="24"/>
              </w:rPr>
              <w:t>工程影响区无保护植物分布，工程占地不存在生态阻隔问题，也基本不改变景观体系的结构，不会对区域</w:t>
            </w:r>
            <w:r>
              <w:rPr>
                <w:rFonts w:hint="eastAsia" w:ascii="Times New Roman" w:hAnsi="Times New Roman" w:eastAsia="宋体" w:cs="Times New Roman"/>
                <w:color w:val="auto"/>
                <w:sz w:val="24"/>
                <w:lang w:eastAsia="zh-CN"/>
              </w:rPr>
              <w:t>植被</w:t>
            </w:r>
            <w:r>
              <w:rPr>
                <w:rFonts w:hint="default" w:ascii="Times New Roman" w:hAnsi="Times New Roman" w:eastAsia="宋体" w:cs="Times New Roman"/>
                <w:color w:val="auto"/>
                <w:sz w:val="24"/>
              </w:rPr>
              <w:t>生态完整性构成影响。</w:t>
            </w:r>
          </w:p>
          <w:p w14:paraId="304C976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（3）对陆生动物的影响</w:t>
            </w:r>
          </w:p>
          <w:p w14:paraId="7D75A24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所处区域为人类经济活动强烈区域，在人为活动的干扰下，评价区域内陆生动物种类较少，多为昆虫类、鼠类和飞禽类等常见小型动物，没有较大型的野生动物栖息，工程占地对项目区野生动物产生的影响将非常有限。</w:t>
            </w:r>
            <w:r>
              <w:rPr>
                <w:rFonts w:hint="eastAsia" w:ascii="Times New Roman" w:hAnsi="Times New Roman" w:eastAsia="宋体" w:cs="Times New Roman"/>
                <w:color w:val="auto"/>
                <w:sz w:val="24"/>
                <w:lang w:eastAsia="zh-CN"/>
              </w:rPr>
              <w:t>施工结束后，随着生态环境的回复被迫迁移的动物回到原来栖息地，</w:t>
            </w:r>
            <w:r>
              <w:rPr>
                <w:rFonts w:hint="eastAsia"/>
                <w:color w:val="auto"/>
                <w:lang w:eastAsia="zh-CN"/>
              </w:rPr>
              <w:t>项目实施后基本不产生对动物有害的污染物，运营期对陆生脊椎动物的影响主要体现为正面影响，项目区内植物资源的增加、栖息地的连通将对陆生脊椎动物是有利的</w:t>
            </w:r>
            <w:r>
              <w:rPr>
                <w:rFonts w:hint="default" w:ascii="Times New Roman" w:hAnsi="Times New Roman" w:eastAsia="宋体" w:cs="Times New Roman"/>
                <w:color w:val="auto"/>
                <w:sz w:val="24"/>
              </w:rPr>
              <w:t>。</w:t>
            </w:r>
          </w:p>
          <w:p w14:paraId="763CD16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（4）对水生生态的影响</w:t>
            </w:r>
          </w:p>
          <w:p w14:paraId="315BAD8E">
            <w:pPr>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本工程整治完成后，对</w:t>
            </w:r>
            <w:r>
              <w:rPr>
                <w:rFonts w:hint="eastAsia" w:ascii="Times New Roman" w:hAnsi="Times New Roman" w:eastAsia="宋体" w:cs="Times New Roman"/>
                <w:color w:val="auto"/>
                <w:sz w:val="24"/>
                <w:lang w:eastAsia="zh-CN"/>
              </w:rPr>
              <w:t>芒市大河</w:t>
            </w:r>
            <w:r>
              <w:rPr>
                <w:rFonts w:hint="default" w:ascii="Times New Roman" w:hAnsi="Times New Roman" w:eastAsia="宋体" w:cs="Times New Roman"/>
                <w:color w:val="auto"/>
                <w:sz w:val="24"/>
              </w:rPr>
              <w:t>水环境有一定的改善作用，在一定程度上有利于河道内水生植物的生长。本工程实施以后，通过提升防洪标准可有效降低河道两岸居民、土地等被洪水淹没的风险，进而减轻洪水对河道沿线土地淹没后造成污染物汇集入河道的环境影响。总之，本工程建设后提高了防洪标准，在一定程度上减少了流域两岸的水土流失量，地表水水质得到改善</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项目建成后，不会改变治理河段的水文情势，不减少河道水量，临时占地的区域经植被恢复后对环境影响较小</w:t>
            </w:r>
            <w:r>
              <w:rPr>
                <w:rFonts w:hint="eastAsia"/>
                <w:color w:val="auto"/>
                <w:lang w:eastAsia="zh-CN"/>
              </w:rPr>
              <w:t>。项目实施后基本不产生污染物，且可有效提升项目区生态环境质量，对水生生态的影响是正面的。</w:t>
            </w:r>
          </w:p>
          <w:p w14:paraId="45522783">
            <w:pPr>
              <w:ind w:left="0" w:leftChars="0" w:firstLine="480" w:firstLineChars="200"/>
              <w:jc w:val="left"/>
              <w:rPr>
                <w:rFonts w:hint="default"/>
                <w:color w:val="auto"/>
              </w:rPr>
            </w:pPr>
            <w:r>
              <w:rPr>
                <w:rFonts w:hint="default" w:ascii="Times New Roman" w:hAnsi="Times New Roman" w:eastAsia="宋体" w:cs="Times New Roman"/>
                <w:color w:val="auto"/>
                <w:sz w:val="24"/>
                <w:lang w:eastAsia="zh-CN"/>
              </w:rPr>
              <w:t>总体而言，</w:t>
            </w:r>
            <w:r>
              <w:rPr>
                <w:rFonts w:hint="eastAsia"/>
                <w:bCs/>
                <w:color w:val="auto"/>
                <w:lang w:eastAsia="zh-CN"/>
              </w:rPr>
              <w:t>本项目实施不会造成评价区生态系统结构、功能，生态系统多样性的显著变化，项目实施前后评价区占主导地位的生态系统不会发生变化，工程建设及运营期对评价区生态系统的总体影响较小。</w:t>
            </w:r>
          </w:p>
          <w:p w14:paraId="3C837B1D">
            <w:pPr>
              <w:pStyle w:val="37"/>
              <w:bidi w:val="0"/>
              <w:rPr>
                <w:rFonts w:hint="default"/>
                <w:b/>
                <w:bCs/>
                <w:color w:val="auto"/>
              </w:rPr>
            </w:pPr>
            <w:r>
              <w:rPr>
                <w:rFonts w:hint="default"/>
                <w:b/>
                <w:bCs/>
                <w:color w:val="auto"/>
              </w:rPr>
              <w:t>二、运营期污染影响分析</w:t>
            </w:r>
          </w:p>
          <w:p w14:paraId="76088427">
            <w:pPr>
              <w:pStyle w:val="37"/>
              <w:bidi w:val="0"/>
              <w:rPr>
                <w:rFonts w:hint="default"/>
                <w:b/>
                <w:bCs/>
                <w:color w:val="auto"/>
              </w:rPr>
            </w:pPr>
            <w:r>
              <w:rPr>
                <w:rFonts w:hint="default"/>
                <w:b/>
                <w:bCs/>
                <w:color w:val="auto"/>
              </w:rPr>
              <w:t>1、大气环境影响分析</w:t>
            </w:r>
          </w:p>
          <w:p w14:paraId="6E210653">
            <w:pPr>
              <w:pStyle w:val="37"/>
              <w:bidi w:val="0"/>
              <w:rPr>
                <w:rFonts w:hint="default"/>
                <w:color w:val="auto"/>
              </w:rPr>
            </w:pPr>
            <w:r>
              <w:rPr>
                <w:rFonts w:hint="default"/>
                <w:color w:val="auto"/>
              </w:rPr>
              <w:t>本项目影响主要存在于施工期，工程运营期项目本身无废气产生。</w:t>
            </w:r>
          </w:p>
          <w:p w14:paraId="09AAAAFF">
            <w:pPr>
              <w:pStyle w:val="37"/>
              <w:bidi w:val="0"/>
              <w:rPr>
                <w:rFonts w:hint="default"/>
                <w:b/>
                <w:bCs/>
                <w:color w:val="auto"/>
              </w:rPr>
            </w:pPr>
            <w:r>
              <w:rPr>
                <w:rFonts w:hint="default"/>
                <w:b/>
                <w:bCs/>
                <w:color w:val="auto"/>
              </w:rPr>
              <w:t>2、水环境影响分析</w:t>
            </w:r>
          </w:p>
          <w:p w14:paraId="7B864A0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（1）防洪影响</w:t>
            </w:r>
          </w:p>
          <w:p w14:paraId="6F9CA3E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本工程建成后，不仅起到很好的防洪作用，而且由于堤岸稳定，不因冲刷而产生水土流失，河道平顺，</w:t>
            </w:r>
            <w:r>
              <w:rPr>
                <w:rFonts w:hint="eastAsia" w:ascii="Times New Roman" w:hAnsi="Times New Roman" w:eastAsia="宋体" w:cs="Times New Roman"/>
                <w:color w:val="auto"/>
                <w:sz w:val="24"/>
                <w:lang w:eastAsia="zh-CN"/>
              </w:rPr>
              <w:t>有利</w:t>
            </w:r>
            <w:r>
              <w:rPr>
                <w:rFonts w:hint="default" w:ascii="Times New Roman" w:hAnsi="Times New Roman" w:eastAsia="宋体" w:cs="Times New Roman"/>
                <w:color w:val="auto"/>
                <w:sz w:val="24"/>
              </w:rPr>
              <w:t>行洪，减少河道泥沙淤塞，河岸两侧的土地不再受洪涝灾害，提高了土地利用率，保护了</w:t>
            </w:r>
            <w:r>
              <w:rPr>
                <w:rFonts w:hint="eastAsia" w:ascii="Times New Roman" w:hAnsi="Times New Roman" w:eastAsia="宋体" w:cs="Times New Roman"/>
                <w:color w:val="auto"/>
                <w:sz w:val="24"/>
                <w:lang w:eastAsia="zh-CN"/>
              </w:rPr>
              <w:t>芒市大河工程段</w:t>
            </w:r>
            <w:r>
              <w:rPr>
                <w:rFonts w:hint="default" w:ascii="Times New Roman" w:hAnsi="Times New Roman" w:eastAsia="宋体" w:cs="Times New Roman"/>
                <w:color w:val="auto"/>
                <w:sz w:val="24"/>
              </w:rPr>
              <w:t>的生态环境及</w:t>
            </w:r>
            <w:r>
              <w:rPr>
                <w:rFonts w:hint="default" w:ascii="Times New Roman" w:hAnsi="Times New Roman" w:eastAsia="宋体" w:cs="Times New Roman"/>
                <w:color w:val="auto"/>
                <w:sz w:val="24"/>
                <w:lang w:eastAsia="zh-CN"/>
              </w:rPr>
              <w:t>周边村庄</w:t>
            </w:r>
            <w:r>
              <w:rPr>
                <w:rFonts w:hint="default" w:ascii="Times New Roman" w:hAnsi="Times New Roman" w:eastAsia="宋体" w:cs="Times New Roman"/>
                <w:color w:val="auto"/>
                <w:sz w:val="24"/>
              </w:rPr>
              <w:t>的安全。</w:t>
            </w:r>
          </w:p>
          <w:p w14:paraId="3900BFA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（2）水文情势</w:t>
            </w:r>
          </w:p>
          <w:p w14:paraId="297FF2C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本工程治理河道长度</w:t>
            </w:r>
            <w:r>
              <w:rPr>
                <w:rFonts w:hint="eastAsia"/>
                <w:color w:val="auto"/>
                <w:lang w:val="en-US" w:eastAsia="zh-CN"/>
              </w:rPr>
              <w:t>3.83k</w:t>
            </w:r>
            <w:r>
              <w:rPr>
                <w:rFonts w:hint="default" w:ascii="Times New Roman" w:hAnsi="Times New Roman" w:eastAsia="宋体" w:cs="Times New Roman"/>
                <w:color w:val="auto"/>
                <w:sz w:val="24"/>
              </w:rPr>
              <w:t>m，工程基本沿原有河岸修筑，不改变原来河道的宽度、河流的位置，也不改变原有堤岸位置和水系的关系，因而不改变河道的格局，不致对水文泥沙产生大的影响。工程建成后，提高了堤防的防洪能力，取得明显的防洪效益。河道泥沙输移及冲淤有其本身的自然规律。新建防洪工程提高了原有堤岸的抗洪能力，堤防本身对泥沙的输移无直接影响。因此，本工程对水文情势影响未发生明显变化，环境影响可接受。</w:t>
            </w:r>
          </w:p>
          <w:p w14:paraId="0220ED6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（3）水质影响</w:t>
            </w:r>
          </w:p>
          <w:p w14:paraId="3A6C70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本工程运行期无污染物排放至地表水中，不会降低</w:t>
            </w:r>
            <w:r>
              <w:rPr>
                <w:rFonts w:hint="eastAsia" w:ascii="Times New Roman" w:hAnsi="Times New Roman" w:eastAsia="宋体" w:cs="Times New Roman"/>
                <w:color w:val="auto"/>
                <w:sz w:val="24"/>
                <w:lang w:eastAsia="zh-CN"/>
              </w:rPr>
              <w:t>芒市大河</w:t>
            </w:r>
            <w:r>
              <w:rPr>
                <w:rFonts w:hint="default" w:ascii="Times New Roman" w:hAnsi="Times New Roman" w:eastAsia="宋体" w:cs="Times New Roman"/>
                <w:color w:val="auto"/>
                <w:sz w:val="24"/>
              </w:rPr>
              <w:t>原有水环境功能。</w:t>
            </w:r>
          </w:p>
          <w:p w14:paraId="104667CF">
            <w:pPr>
              <w:pStyle w:val="37"/>
              <w:bidi w:val="0"/>
              <w:rPr>
                <w:rFonts w:hint="default"/>
                <w:b/>
                <w:bCs/>
                <w:color w:val="auto"/>
              </w:rPr>
            </w:pPr>
            <w:r>
              <w:rPr>
                <w:rFonts w:hint="default"/>
                <w:b/>
                <w:bCs/>
                <w:color w:val="auto"/>
              </w:rPr>
              <w:t>3、声环境影响分析</w:t>
            </w:r>
          </w:p>
          <w:p w14:paraId="06C7FBEF">
            <w:pPr>
              <w:pStyle w:val="37"/>
              <w:bidi w:val="0"/>
              <w:rPr>
                <w:rFonts w:hint="default"/>
                <w:color w:val="auto"/>
              </w:rPr>
            </w:pPr>
            <w:r>
              <w:rPr>
                <w:rFonts w:hint="default"/>
                <w:color w:val="auto"/>
              </w:rPr>
              <w:t>工程运行期项目本身不产生噪声，因此项目运行期间不会对周边产生噪声影响。</w:t>
            </w:r>
          </w:p>
          <w:p w14:paraId="6B5B9FB4">
            <w:pPr>
              <w:pStyle w:val="37"/>
              <w:bidi w:val="0"/>
              <w:rPr>
                <w:rFonts w:hint="default"/>
                <w:b/>
                <w:bCs/>
                <w:color w:val="auto"/>
              </w:rPr>
            </w:pPr>
            <w:r>
              <w:rPr>
                <w:rFonts w:hint="default"/>
                <w:b/>
                <w:bCs/>
                <w:color w:val="auto"/>
              </w:rPr>
              <w:t>4、固体废物影响分析</w:t>
            </w:r>
          </w:p>
          <w:p w14:paraId="4EE259AB">
            <w:pPr>
              <w:pStyle w:val="37"/>
              <w:bidi w:val="0"/>
              <w:rPr>
                <w:rFonts w:hint="default"/>
                <w:color w:val="auto"/>
              </w:rPr>
            </w:pPr>
            <w:r>
              <w:rPr>
                <w:rFonts w:hint="default"/>
                <w:color w:val="auto"/>
              </w:rPr>
              <w:t>工程完工后，运行期无固体废物产生。</w:t>
            </w:r>
          </w:p>
        </w:tc>
      </w:tr>
      <w:tr w14:paraId="2688B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244" w:type="pct"/>
            <w:vAlign w:val="center"/>
          </w:tcPr>
          <w:p w14:paraId="0BB14836">
            <w:pPr>
              <w:pStyle w:val="20"/>
              <w:adjustRightInd w:val="0"/>
              <w:snapToGrid w:val="0"/>
              <w:spacing w:before="0" w:beforeAutospacing="0" w:after="0" w:afterAutospacing="0"/>
              <w:ind w:left="0" w:leftChars="0" w:firstLine="0" w:firstLineChars="0"/>
              <w:jc w:val="center"/>
              <w:rPr>
                <w:rFonts w:hint="default" w:ascii="Times New Roman" w:hAnsi="Times New Roman" w:cs="Times New Roman"/>
                <w:bCs/>
                <w:color w:val="auto"/>
                <w:kern w:val="2"/>
              </w:rPr>
            </w:pPr>
            <w:r>
              <w:rPr>
                <w:rFonts w:hint="default" w:ascii="Times New Roman" w:hAnsi="Times New Roman" w:cs="Times New Roman"/>
                <w:bCs/>
                <w:color w:val="auto"/>
                <w:kern w:val="2"/>
              </w:rPr>
              <w:t>选址选线环境合理性分析</w:t>
            </w:r>
          </w:p>
        </w:tc>
        <w:tc>
          <w:tcPr>
            <w:tcW w:w="4755" w:type="pct"/>
          </w:tcPr>
          <w:p w14:paraId="7BEAFC2A">
            <w:pPr>
              <w:pStyle w:val="37"/>
              <w:bidi w:val="0"/>
              <w:rPr>
                <w:rFonts w:hint="default"/>
                <w:b/>
                <w:bCs/>
                <w:color w:val="auto"/>
              </w:rPr>
            </w:pPr>
            <w:r>
              <w:rPr>
                <w:rFonts w:hint="default"/>
                <w:b/>
                <w:bCs/>
                <w:color w:val="auto"/>
              </w:rPr>
              <w:t>选线选址环境合理性分析</w:t>
            </w:r>
          </w:p>
          <w:p w14:paraId="6BF808A4">
            <w:pPr>
              <w:pStyle w:val="37"/>
              <w:bidi w:val="0"/>
              <w:rPr>
                <w:rFonts w:hint="default"/>
                <w:b/>
                <w:bCs/>
                <w:color w:val="auto"/>
              </w:rPr>
            </w:pPr>
            <w:r>
              <w:rPr>
                <w:rFonts w:hint="default"/>
                <w:b/>
                <w:bCs/>
                <w:color w:val="auto"/>
              </w:rPr>
              <w:t>1</w:t>
            </w:r>
            <w:r>
              <w:rPr>
                <w:rFonts w:hint="eastAsia"/>
                <w:b/>
                <w:bCs/>
                <w:color w:val="auto"/>
                <w:lang w:eastAsia="zh-CN"/>
              </w:rPr>
              <w:t>、</w:t>
            </w:r>
            <w:r>
              <w:rPr>
                <w:rFonts w:hint="default"/>
                <w:b/>
                <w:bCs/>
                <w:color w:val="auto"/>
              </w:rPr>
              <w:t>环境制约因素</w:t>
            </w:r>
          </w:p>
          <w:p w14:paraId="54B1C72F">
            <w:pPr>
              <w:pStyle w:val="13"/>
              <w:spacing w:line="360" w:lineRule="auto"/>
              <w:ind w:left="0" w:leftChars="0" w:right="0" w:rightChars="0" w:firstLine="480" w:firstLineChars="200"/>
              <w:rPr>
                <w:rFonts w:hint="default"/>
                <w:color w:val="auto"/>
              </w:rPr>
            </w:pPr>
            <w:r>
              <w:rPr>
                <w:rFonts w:hint="default"/>
                <w:color w:val="auto"/>
              </w:rPr>
              <w:t>工程选址不涉及自然保护区、风景名胜区及其他需要特殊保护的区域，不属于饮用水水源保护区、饮用水取水口、涉水的自然保护区、风景名胜区、重要湿地、重点保护与珍稀水生生物的栖息地、重要水生生物的自然产卵场及索饵场、越冬场和洄游通道，天然渔场等渔业水体等。项目无环境制约因素。</w:t>
            </w:r>
            <w:r>
              <w:rPr>
                <w:rFonts w:hint="default" w:ascii="Times New Roman" w:hAnsi="Times New Roman" w:cs="Times New Roman"/>
                <w:color w:val="auto"/>
                <w:sz w:val="24"/>
              </w:rPr>
              <w:t>本工程选线沿河道布设，具有唯一性，存在一定的水土保持限制性因素，通过提高防治标准，优化施工工艺，减少地表扰动和植被损坏范围，有效控制可能造成的水土流失及环境影响。本工程选址选线符合环境要求。</w:t>
            </w:r>
          </w:p>
          <w:p w14:paraId="584578C4">
            <w:pPr>
              <w:pStyle w:val="37"/>
              <w:bidi w:val="0"/>
              <w:rPr>
                <w:rFonts w:hint="default"/>
                <w:color w:val="auto"/>
              </w:rPr>
            </w:pPr>
            <w:r>
              <w:rPr>
                <w:rFonts w:hint="default"/>
                <w:color w:val="auto"/>
              </w:rPr>
              <w:t>本项目属于《产业结构调整指导目录（2024年本）</w:t>
            </w:r>
            <w:r>
              <w:rPr>
                <w:rFonts w:hint="eastAsia"/>
                <w:color w:val="auto"/>
                <w:lang w:eastAsia="zh-CN"/>
              </w:rPr>
              <w:t>》</w:t>
            </w:r>
            <w:r>
              <w:rPr>
                <w:rFonts w:hint="default"/>
                <w:color w:val="auto"/>
              </w:rPr>
              <w:t>鼓励类：第二大类：水利中第三条防洪提升工程中的江河湖海堤防建设及河道治理工程。属于环境治理项目，符合《云南省长江经济带发展负面清单指南实施细则（试行）》的要求，对因施工期间破坏的各种植被、临时占用的施工便道、临时堆土区，工程按照水土选址选线保持措施，通过实施生态恢复措施使其逐步得到恢复。</w:t>
            </w:r>
          </w:p>
          <w:p w14:paraId="0BD62CAA">
            <w:pPr>
              <w:pStyle w:val="37"/>
              <w:bidi w:val="0"/>
              <w:rPr>
                <w:rFonts w:hint="default"/>
                <w:color w:val="auto"/>
              </w:rPr>
            </w:pPr>
            <w:r>
              <w:rPr>
                <w:rFonts w:hint="default"/>
                <w:color w:val="auto"/>
              </w:rPr>
              <w:t>项目施工时间短，对河道环境的治理随着施工期的结束而结束，项目施工期间对环境影响程度较小。运营期无污染物产生，对周围环境无影响。项目建设完成后有利于改善</w:t>
            </w:r>
            <w:r>
              <w:rPr>
                <w:rFonts w:hint="eastAsia"/>
                <w:color w:val="auto"/>
                <w:lang w:eastAsia="zh-CN"/>
              </w:rPr>
              <w:t>芒市大河</w:t>
            </w:r>
            <w:r>
              <w:rPr>
                <w:rFonts w:hint="default"/>
                <w:color w:val="auto"/>
              </w:rPr>
              <w:t>治理河段生态环境，有利于减少水土流失，促进生态环境的可持续发展，确保安全行洪，提高防洪能力，有效保护沿线居民和耕地的防洪安全。</w:t>
            </w:r>
          </w:p>
          <w:p w14:paraId="4A45177E">
            <w:pPr>
              <w:pStyle w:val="13"/>
              <w:spacing w:line="360" w:lineRule="auto"/>
              <w:ind w:left="0" w:leftChars="0" w:right="0" w:rightChars="0" w:firstLine="482" w:firstLineChars="200"/>
              <w:rPr>
                <w:rFonts w:hint="default" w:ascii="Times New Roman" w:hAnsi="Times New Roman" w:cs="Times New Roman"/>
                <w:b/>
                <w:bCs/>
                <w:color w:val="auto"/>
                <w:sz w:val="24"/>
              </w:rPr>
            </w:pPr>
            <w:r>
              <w:rPr>
                <w:rFonts w:hint="eastAsia" w:cs="Times New Roman"/>
                <w:b/>
                <w:bCs/>
                <w:color w:val="auto"/>
                <w:kern w:val="0"/>
                <w:sz w:val="24"/>
                <w:szCs w:val="24"/>
                <w:lang w:val="en-US" w:eastAsia="zh-CN" w:bidi="ar-SA"/>
              </w:rPr>
              <w:t>2、</w:t>
            </w:r>
            <w:r>
              <w:rPr>
                <w:rFonts w:hint="default" w:ascii="Times New Roman" w:hAnsi="Times New Roman" w:cs="Times New Roman"/>
                <w:b/>
                <w:bCs/>
                <w:color w:val="auto"/>
                <w:sz w:val="24"/>
              </w:rPr>
              <w:t>施工场地选址合理性分析</w:t>
            </w:r>
          </w:p>
          <w:p w14:paraId="758E0CD5">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SA"/>
              </w:rPr>
              <w:t>芒市大河新桥电站至洞坎大桥段河道治理工程主要以保护农田为主，治理段河道长3.83km，治理河段设计防洪标准为10年一遇，保护人口0.6 万人，保护耕地0.4万亩</w:t>
            </w:r>
            <w:r>
              <w:rPr>
                <w:rFonts w:hint="default" w:ascii="Times New Roman" w:hAnsi="Times New Roman" w:eastAsia="宋体" w:cs="Times New Roman"/>
                <w:kern w:val="0"/>
                <w:sz w:val="24"/>
                <w:szCs w:val="24"/>
                <w:lang w:val="en-US" w:eastAsia="zh-CN" w:bidi="ar"/>
              </w:rPr>
              <w:t>。本工程选址不位于生态脆弱区、自然保护区和国家划定的水土流失重点预防保护区。工程区不属于国家级水土流失重点治理区、监督区及预防保护区。工程区不涉及饮用水水源保护区，不在风景名胜区内。工程占地范围内无水土流失专项治理设施，也不属于重点治理成果区。本工程选线沿河道布设，具有唯一性，存在一定的水土保持限制性因素，通过提高防治标准，优化施工工艺，减少地表扰动和植被损坏范围，有效控制可能造成的水土流失及环境影响。本工程选址选线符合环境要求。</w:t>
            </w:r>
          </w:p>
          <w:p w14:paraId="3A605A67">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宋体" w:cs="Times New Roman"/>
                <w:kern w:val="0"/>
                <w:sz w:val="24"/>
                <w:szCs w:val="24"/>
                <w:lang w:val="en-US" w:eastAsia="zh-CN" w:bidi="ar"/>
              </w:rPr>
              <w:t>项目选址区域周边50m范围内</w:t>
            </w:r>
            <w:r>
              <w:rPr>
                <w:rFonts w:hint="eastAsia" w:ascii="Times New Roman" w:hAnsi="Times New Roman" w:eastAsia="宋体" w:cs="Times New Roman"/>
                <w:kern w:val="0"/>
                <w:sz w:val="24"/>
                <w:szCs w:val="24"/>
                <w:lang w:val="en-US" w:eastAsia="zh-CN" w:bidi="ar"/>
              </w:rPr>
              <w:t>无</w:t>
            </w:r>
            <w:r>
              <w:rPr>
                <w:rFonts w:hint="default" w:ascii="Times New Roman" w:hAnsi="Times New Roman" w:eastAsia="宋体" w:cs="Times New Roman"/>
                <w:kern w:val="0"/>
                <w:sz w:val="24"/>
                <w:szCs w:val="24"/>
                <w:lang w:val="en-US" w:eastAsia="zh-CN" w:bidi="ar"/>
              </w:rPr>
              <w:t>声环境敏感点</w:t>
            </w:r>
            <w:r>
              <w:rPr>
                <w:rFonts w:hint="eastAsia" w:ascii="Times New Roman" w:hAnsi="Times New Roman" w:eastAsia="宋体" w:cs="Times New Roman"/>
                <w:kern w:val="0"/>
                <w:sz w:val="24"/>
                <w:szCs w:val="24"/>
                <w:lang w:val="en-US" w:eastAsia="zh-CN" w:bidi="ar"/>
              </w:rPr>
              <w:t>，施工期</w:t>
            </w:r>
            <w:r>
              <w:rPr>
                <w:rFonts w:hint="default" w:ascii="Times New Roman" w:hAnsi="Times New Roman" w:eastAsia="宋体" w:cs="Times New Roman"/>
                <w:kern w:val="0"/>
                <w:sz w:val="24"/>
                <w:szCs w:val="24"/>
                <w:lang w:val="en-US" w:eastAsia="zh-CN" w:bidi="ar"/>
              </w:rPr>
              <w:t>合理安排施工进度和时间，</w:t>
            </w:r>
            <w:r>
              <w:rPr>
                <w:rFonts w:hint="default" w:ascii="Times New Roman" w:hAnsi="Times New Roman" w:cs="Times New Roman"/>
                <w:color w:val="auto"/>
                <w:sz w:val="24"/>
              </w:rPr>
              <w:t>加强对施工场地的监督管理，对高噪音运输设备应采取相应的限时作业，</w:t>
            </w:r>
            <w:r>
              <w:rPr>
                <w:rFonts w:hint="eastAsia" w:ascii="Times New Roman" w:hAnsi="Times New Roman" w:cs="Times New Roman"/>
                <w:color w:val="auto"/>
                <w:sz w:val="24"/>
                <w:lang w:eastAsia="zh-CN"/>
              </w:rPr>
              <w:t>尽量远离敏感点；</w:t>
            </w:r>
            <w:r>
              <w:rPr>
                <w:rFonts w:hint="default" w:ascii="Times New Roman" w:hAnsi="Times New Roman" w:cs="Times New Roman"/>
                <w:color w:val="auto"/>
                <w:sz w:val="24"/>
              </w:rPr>
              <w:t>选取低噪声、低振动的施工机械和运输车辆，加强机械、车辆的日常维修、保养工作，使其始终保持良好的正常运行状态，维持施工机械低声级水平，避免超过正常噪声运转</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做好施工机械和运输车辆的调度和交通疏导工作</w:t>
            </w:r>
            <w:r>
              <w:rPr>
                <w:rFonts w:hint="eastAsia" w:ascii="Times New Roman" w:hAnsi="Times New Roman" w:cs="Times New Roman"/>
                <w:color w:val="auto"/>
                <w:sz w:val="24"/>
                <w:lang w:eastAsia="zh-CN"/>
              </w:rPr>
              <w:t>。</w:t>
            </w:r>
            <w:r>
              <w:rPr>
                <w:rFonts w:hint="default" w:ascii="Times New Roman" w:hAnsi="Times New Roman" w:cs="Times New Roman"/>
                <w:color w:val="auto"/>
                <w:kern w:val="0"/>
                <w:sz w:val="24"/>
                <w:lang w:bidi="ar"/>
              </w:rPr>
              <w:t>项目施工期大气污染主要来源于施工机械及机动车辆燃油排放的废气、工程施工</w:t>
            </w:r>
            <w:r>
              <w:rPr>
                <w:rFonts w:hint="default" w:ascii="Times New Roman" w:hAnsi="Times New Roman" w:cs="Times New Roman"/>
                <w:color w:val="auto"/>
                <w:kern w:val="0"/>
                <w:sz w:val="24"/>
                <w:lang w:eastAsia="zh-CN" w:bidi="ar"/>
              </w:rPr>
              <w:t>及交通</w:t>
            </w:r>
            <w:r>
              <w:rPr>
                <w:rFonts w:hint="default" w:ascii="Times New Roman" w:hAnsi="Times New Roman" w:cs="Times New Roman"/>
                <w:color w:val="auto"/>
                <w:kern w:val="0"/>
                <w:sz w:val="24"/>
                <w:lang w:bidi="ar"/>
              </w:rPr>
              <w:t>运输产生的扬尘。废气会给施工区的大气环境及施工人员带来不利影响，工程建设和交通扬尘会对主干道交通和附近生活居民带来一定影响。由于施工区地形开阔，扩散条件较好</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施工期对施工场进行洒水降尘，堆放物料进行遮盖，及时进行地面清扫，减轻施工扬尘对周围环境的影响；施工机械、</w:t>
            </w:r>
            <w:r>
              <w:rPr>
                <w:rFonts w:hint="default" w:ascii="Times New Roman" w:hAnsi="Times New Roman" w:cs="Times New Roman"/>
                <w:color w:val="auto"/>
                <w:kern w:val="0"/>
                <w:sz w:val="24"/>
                <w:lang w:eastAsia="zh-CN" w:bidi="ar"/>
              </w:rPr>
              <w:t>车辆</w:t>
            </w:r>
            <w:r>
              <w:rPr>
                <w:rFonts w:hint="default" w:ascii="Times New Roman" w:hAnsi="Times New Roman" w:cs="Times New Roman"/>
                <w:color w:val="auto"/>
                <w:kern w:val="0"/>
                <w:sz w:val="24"/>
                <w:lang w:bidi="ar"/>
              </w:rPr>
              <w:t>均采用优质油品，加强施工机</w:t>
            </w:r>
            <w:r>
              <w:rPr>
                <w:rFonts w:hint="default" w:ascii="Times New Roman" w:hAnsi="Times New Roman" w:cs="Times New Roman"/>
                <w:color w:val="auto"/>
                <w:sz w:val="24"/>
              </w:rPr>
              <w:t>械、</w:t>
            </w:r>
            <w:r>
              <w:rPr>
                <w:rFonts w:hint="default" w:ascii="Times New Roman" w:hAnsi="Times New Roman" w:cs="Times New Roman"/>
                <w:color w:val="auto"/>
                <w:sz w:val="24"/>
                <w:lang w:eastAsia="zh-CN"/>
              </w:rPr>
              <w:t>车辆</w:t>
            </w:r>
            <w:r>
              <w:rPr>
                <w:rFonts w:hint="default" w:ascii="Times New Roman" w:hAnsi="Times New Roman" w:cs="Times New Roman"/>
                <w:color w:val="auto"/>
                <w:sz w:val="24"/>
              </w:rPr>
              <w:t>的维修和保养等措施，减少废气排放对周围环境的影响。</w:t>
            </w:r>
          </w:p>
          <w:p w14:paraId="1CCE421D">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0"/>
                <w:sz w:val="24"/>
                <w:szCs w:val="24"/>
                <w:lang w:val="en-US" w:eastAsia="zh-CN" w:bidi="ar"/>
              </w:rPr>
              <w:t>项目施工时间短，对河道环境的治理随着施工期的结束而结束，项目为线性工程，且分段施工，施工人员不在项目区内食宿，不设置施工营地，项目施工期间对环境影响程度较小。运营期无污染物产生，对周围环境无影响。项目建设完成后有</w:t>
            </w:r>
            <w:r>
              <w:rPr>
                <w:rFonts w:hint="default" w:ascii="Times New Roman" w:hAnsi="Times New Roman" w:eastAsia="宋体" w:cs="Times New Roman"/>
                <w:color w:val="auto"/>
                <w:kern w:val="0"/>
                <w:sz w:val="24"/>
                <w:szCs w:val="24"/>
                <w:lang w:val="en-US" w:eastAsia="zh-CN" w:bidi="ar-SA"/>
              </w:rPr>
              <w:t>利于改善</w:t>
            </w:r>
            <w:r>
              <w:rPr>
                <w:rFonts w:hint="eastAsia" w:ascii="Times New Roman" w:hAnsi="Times New Roman" w:eastAsia="宋体" w:cs="Times New Roman"/>
                <w:color w:val="auto"/>
                <w:kern w:val="0"/>
                <w:sz w:val="24"/>
                <w:szCs w:val="24"/>
                <w:lang w:val="en-US" w:eastAsia="zh-CN" w:bidi="ar-SA"/>
              </w:rPr>
              <w:t>芒市大河</w:t>
            </w:r>
            <w:r>
              <w:rPr>
                <w:rFonts w:hint="default" w:ascii="Times New Roman" w:hAnsi="Times New Roman" w:eastAsia="宋体" w:cs="Times New Roman"/>
                <w:color w:val="auto"/>
                <w:kern w:val="0"/>
                <w:sz w:val="24"/>
                <w:szCs w:val="24"/>
                <w:lang w:val="en-US" w:eastAsia="zh-CN" w:bidi="ar-SA"/>
              </w:rPr>
              <w:t>治理河段生态环境，有利于减少水土流失，促进生态环境的可持续发展，确保安全行洪，提高防洪能力，有效保护沿线居民和耕地的防洪安全。</w:t>
            </w:r>
          </w:p>
          <w:p w14:paraId="5D0B49DD">
            <w:pPr>
              <w:pStyle w:val="37"/>
              <w:numPr>
                <w:ilvl w:val="0"/>
                <w:numId w:val="0"/>
              </w:numPr>
              <w:bidi w:val="0"/>
              <w:ind w:left="0" w:leftChars="0" w:right="0" w:rightChars="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综上所述，项目选址合理。</w:t>
            </w:r>
          </w:p>
          <w:p w14:paraId="75081C26">
            <w:pPr>
              <w:pStyle w:val="37"/>
              <w:numPr>
                <w:ilvl w:val="0"/>
                <w:numId w:val="0"/>
              </w:numPr>
              <w:bidi w:val="0"/>
              <w:ind w:left="0" w:leftChars="0" w:right="0" w:rightChars="0" w:firstLine="482" w:firstLineChars="200"/>
              <w:rPr>
                <w:rFonts w:hint="eastAsia"/>
                <w:b/>
                <w:bCs/>
                <w:color w:val="auto"/>
                <w:lang w:val="en-US" w:eastAsia="zh-CN"/>
              </w:rPr>
            </w:pPr>
            <w:r>
              <w:rPr>
                <w:rFonts w:hint="eastAsia" w:ascii="Times New Roman" w:hAnsi="Times New Roman" w:eastAsia="宋体" w:cs="Times New Roman"/>
                <w:b/>
                <w:bCs/>
                <w:color w:val="auto"/>
                <w:kern w:val="0"/>
                <w:sz w:val="24"/>
                <w:szCs w:val="24"/>
                <w:lang w:val="en-US" w:eastAsia="zh-CN" w:bidi="ar-SA"/>
              </w:rPr>
              <w:t>3、</w:t>
            </w:r>
            <w:r>
              <w:rPr>
                <w:rFonts w:hint="eastAsia" w:cs="Times New Roman"/>
                <w:b/>
                <w:bCs/>
                <w:color w:val="auto"/>
                <w:kern w:val="0"/>
                <w:sz w:val="24"/>
                <w:szCs w:val="24"/>
                <w:lang w:val="en-US" w:eastAsia="zh-CN" w:bidi="ar-SA"/>
              </w:rPr>
              <w:t>施工三场选址合理性分析</w:t>
            </w:r>
          </w:p>
          <w:p w14:paraId="4B16D10E">
            <w:pPr>
              <w:pStyle w:val="37"/>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施工生产区主要布置于河道两岸临时征地范围内的开阔地带，沿岸共设3个综合施工生产区</w:t>
            </w:r>
            <w:r>
              <w:rPr>
                <w:rFonts w:hint="eastAsia" w:ascii="Times New Roman" w:hAnsi="Times New Roman" w:eastAsia="宋体" w:cs="Times New Roman"/>
                <w:color w:val="auto"/>
                <w:lang w:val="en-US" w:eastAsia="zh-CN"/>
              </w:rPr>
              <w:t>，施工生活办公用房租用</w:t>
            </w:r>
            <w:r>
              <w:rPr>
                <w:rFonts w:hint="default" w:ascii="Times New Roman" w:hAnsi="Times New Roman" w:eastAsia="宋体" w:cs="Times New Roman"/>
                <w:color w:val="auto"/>
                <w:lang w:val="en-US" w:eastAsia="zh-CN"/>
              </w:rPr>
              <w:t>周边村庄房屋</w:t>
            </w:r>
            <w:r>
              <w:rPr>
                <w:rFonts w:hint="eastAsia" w:ascii="Times New Roman" w:hAnsi="Times New Roman" w:eastAsia="宋体" w:cs="Times New Roman"/>
                <w:color w:val="auto"/>
                <w:lang w:val="en-US" w:eastAsia="zh-CN"/>
              </w:rPr>
              <w:t>，项目施工营地共计占地0.94hm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601E7733">
            <w:pPr>
              <w:pStyle w:val="37"/>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在施工生产生活区、临时道路区工程占地范围内规划了表土临时堆场</w:t>
            </w:r>
            <w:r>
              <w:rPr>
                <w:rFonts w:hint="eastAsia" w:ascii="Times New Roman" w:hAnsi="Times New Roman" w:eastAsia="宋体" w:cs="Times New Roman"/>
                <w:color w:val="auto"/>
                <w:lang w:val="en-US" w:eastAsia="zh-CN"/>
              </w:rPr>
              <w:t>，施工生产区表土堆场面积为0.25hm</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，临时道路区表土堆场</w:t>
            </w:r>
            <w:r>
              <w:rPr>
                <w:rFonts w:hint="eastAsia" w:ascii="Times New Roman" w:hAnsi="Times New Roman" w:eastAsia="宋体" w:cs="Times New Roman"/>
                <w:color w:val="auto"/>
                <w:lang w:val="en-US" w:eastAsia="zh-CN"/>
              </w:rPr>
              <w:t>面积为0.26hm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427C69CD">
            <w:pPr>
              <w:pStyle w:val="37"/>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工程建设无永久弃渣产生，项目不设置弃渣场。</w:t>
            </w:r>
            <w:r>
              <w:rPr>
                <w:rFonts w:hint="default" w:ascii="Times New Roman" w:hAnsi="Times New Roman" w:eastAsia="宋体" w:cs="Times New Roman"/>
                <w:color w:val="auto"/>
                <w:lang w:val="en-US" w:eastAsia="zh-CN"/>
              </w:rPr>
              <w:t>本工程砂石料全部外购，不设置砂石料加工系统</w:t>
            </w:r>
            <w:r>
              <w:rPr>
                <w:rFonts w:hint="eastAsia" w:ascii="Times New Roman" w:hAnsi="Times New Roman" w:eastAsia="宋体" w:cs="Times New Roman"/>
                <w:color w:val="auto"/>
                <w:lang w:val="en-US" w:eastAsia="zh-CN"/>
              </w:rPr>
              <w:t>，不再设置砂石料场，砂石料及水泥等外购后运至施工区临时堆存。</w:t>
            </w:r>
          </w:p>
          <w:p w14:paraId="1AD1FB7D">
            <w:pPr>
              <w:bidi w:val="0"/>
              <w:rPr>
                <w:rFonts w:hint="eastAsia"/>
                <w:color w:val="auto"/>
                <w:lang w:val="en-US" w:eastAsia="zh-CN"/>
              </w:rPr>
            </w:pPr>
            <w:r>
              <w:rPr>
                <w:rFonts w:hint="eastAsia"/>
                <w:color w:val="auto"/>
              </w:rPr>
              <w:t>根据本工程的施工条件，施工场地布置综合考虑本工程地形、地质条件、场内外交通布置，供水供电、防洪排水、安全环保等要求，施工总布置按集中布置与分散布置相结合的原则进行，方便施工及管理，减少干扰</w:t>
            </w:r>
            <w:r>
              <w:rPr>
                <w:rFonts w:hint="eastAsia"/>
                <w:color w:val="auto"/>
                <w:lang w:val="en-US" w:eastAsia="zh-CN"/>
              </w:rPr>
              <w:t>。从安全环保角度出发，生活设施靠近仓库布置，远离混凝土拌和站。噪声较大的施工设备应布置在远离村庄的一侧。因此，从环境保护角度分析，项目施工场地的选址是合理的。</w:t>
            </w:r>
          </w:p>
          <w:p w14:paraId="783B352C">
            <w:pPr>
              <w:pStyle w:val="37"/>
              <w:bidi w:val="0"/>
              <w:rPr>
                <w:rFonts w:hint="eastAsia" w:eastAsia="宋体"/>
                <w:b/>
                <w:bCs/>
                <w:color w:val="auto"/>
                <w:lang w:val="en-US" w:eastAsia="zh-CN"/>
              </w:rPr>
            </w:pPr>
            <w:r>
              <w:rPr>
                <w:rFonts w:hint="eastAsia"/>
                <w:b/>
                <w:bCs/>
                <w:color w:val="auto"/>
                <w:lang w:val="en-US" w:eastAsia="zh-CN"/>
              </w:rPr>
              <w:t>5、临时道路选址合理性分析</w:t>
            </w:r>
          </w:p>
          <w:p w14:paraId="728AFA04">
            <w:pPr>
              <w:pStyle w:val="3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rPr>
                <w:rFonts w:hint="default"/>
                <w:color w:val="auto"/>
              </w:rPr>
            </w:pPr>
            <w:r>
              <w:rPr>
                <w:color w:val="auto"/>
              </w:rPr>
              <w:t>根据主体工程设计，为了满足施工需要，工程施工期间拟新建</w:t>
            </w:r>
            <w:r>
              <w:rPr>
                <w:color w:val="auto"/>
                <w:lang w:val="en-GB"/>
              </w:rPr>
              <w:t>施工临时道路</w:t>
            </w:r>
            <w:r>
              <w:rPr>
                <w:rFonts w:hint="eastAsia"/>
                <w:color w:val="auto"/>
                <w:lang w:val="en-US" w:eastAsia="zh-CN"/>
              </w:rPr>
              <w:t>5</w:t>
            </w:r>
            <w:r>
              <w:rPr>
                <w:rFonts w:hint="default"/>
                <w:color w:val="auto"/>
                <w:lang w:val="en-US" w:eastAsia="zh-CN"/>
              </w:rPr>
              <w:t>km</w:t>
            </w:r>
            <w:r>
              <w:rPr>
                <w:rFonts w:hint="eastAsia"/>
                <w:color w:val="auto"/>
                <w:lang w:val="en-US" w:eastAsia="zh-CN"/>
              </w:rPr>
              <w:t>，组成施工道路网，以保证工程建设物资运输和施工的顺利进行。新建临时道路</w:t>
            </w:r>
            <w:r>
              <w:rPr>
                <w:color w:val="auto"/>
              </w:rPr>
              <w:t>为临时占地，占地类型为</w:t>
            </w:r>
            <w:r>
              <w:rPr>
                <w:rFonts w:hint="eastAsia"/>
                <w:color w:val="auto"/>
                <w:lang w:eastAsia="zh-CN"/>
              </w:rPr>
              <w:t>耕地及园地</w:t>
            </w:r>
            <w:r>
              <w:rPr>
                <w:color w:val="auto"/>
              </w:rPr>
              <w:t>，在工程建设完毕后对</w:t>
            </w:r>
            <w:r>
              <w:rPr>
                <w:rFonts w:hint="eastAsia"/>
                <w:color w:val="auto"/>
                <w:lang w:eastAsia="zh-CN"/>
              </w:rPr>
              <w:t>占用的耕地</w:t>
            </w:r>
            <w:r>
              <w:rPr>
                <w:color w:val="auto"/>
              </w:rPr>
              <w:t>进行复耕</w:t>
            </w:r>
            <w:r>
              <w:rPr>
                <w:rFonts w:hint="eastAsia"/>
                <w:color w:val="auto"/>
                <w:lang w:val="en-US" w:eastAsia="zh-CN"/>
              </w:rPr>
              <w:t>。项目施工时应加强施工人员管理，施工车辆和</w:t>
            </w:r>
            <w:r>
              <w:rPr>
                <w:rFonts w:hint="eastAsia" w:ascii="Times New Roman" w:hAnsi="Times New Roman" w:cs="Times New Roman"/>
                <w:color w:val="auto"/>
                <w:lang w:val="en-US" w:eastAsia="zh-CN"/>
              </w:rPr>
              <w:t>各种设备应按规定的路线行驶，不得随意破坏道路和碾压道路范围外的植被。</w:t>
            </w:r>
            <w:r>
              <w:rPr>
                <w:rFonts w:hint="default"/>
                <w:color w:val="auto"/>
              </w:rPr>
              <w:t>综上，项目的建设对环境影响程度较小。</w:t>
            </w:r>
          </w:p>
          <w:p w14:paraId="18D5F4D7">
            <w:pPr>
              <w:pStyle w:val="37"/>
              <w:bidi w:val="0"/>
              <w:rPr>
                <w:rFonts w:hint="default"/>
                <w:color w:val="auto"/>
              </w:rPr>
            </w:pPr>
          </w:p>
          <w:p w14:paraId="3FE6DFA7">
            <w:pPr>
              <w:pStyle w:val="45"/>
              <w:bidi w:val="0"/>
              <w:ind w:left="0" w:leftChars="0" w:firstLine="0" w:firstLineChars="0"/>
              <w:rPr>
                <w:rFonts w:hint="default"/>
                <w:color w:val="auto"/>
              </w:rPr>
            </w:pPr>
          </w:p>
        </w:tc>
      </w:tr>
    </w:tbl>
    <w:p w14:paraId="4DBD5E3A">
      <w:pPr>
        <w:pStyle w:val="13"/>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F8D9613">
      <w:pPr>
        <w:pStyle w:val="4"/>
        <w:keepNext w:val="0"/>
        <w:keepLines w:val="0"/>
        <w:pageBreakBefore/>
        <w:widowControl w:val="0"/>
        <w:kinsoku/>
        <w:wordWrap/>
        <w:overflowPunct/>
        <w:topLinePunct w:val="0"/>
        <w:autoSpaceDE/>
        <w:autoSpaceDN/>
        <w:bidi w:val="0"/>
        <w:adjustRightInd/>
        <w:snapToGrid w:val="0"/>
        <w:ind w:firstLine="0" w:firstLineChars="0"/>
        <w:textAlignment w:val="auto"/>
        <w:rPr>
          <w:rFonts w:hint="default"/>
          <w:color w:val="auto"/>
        </w:rPr>
      </w:pPr>
      <w:bookmarkStart w:id="38" w:name="_Toc3119"/>
      <w:r>
        <w:rPr>
          <w:rFonts w:hint="default"/>
          <w:color w:val="auto"/>
        </w:rPr>
        <w:t>五、主要生态环境保护措施</w:t>
      </w:r>
      <w:bookmarkEnd w:id="38"/>
    </w:p>
    <w:tbl>
      <w:tblPr>
        <w:tblStyle w:val="23"/>
        <w:tblW w:w="50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7"/>
      </w:tblGrid>
      <w:tr w14:paraId="6370C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6" w:type="pct"/>
            <w:tcMar>
              <w:left w:w="28" w:type="dxa"/>
              <w:right w:w="28" w:type="dxa"/>
            </w:tcMar>
            <w:vAlign w:val="center"/>
          </w:tcPr>
          <w:p w14:paraId="38BBFFBE">
            <w:pPr>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cs="Times New Roman"/>
                <w:bCs/>
                <w:color w:val="auto"/>
                <w:sz w:val="24"/>
              </w:rPr>
            </w:pPr>
            <w:r>
              <w:rPr>
                <w:rFonts w:hint="default" w:ascii="Times New Roman" w:hAnsi="Times New Roman" w:cs="Times New Roman"/>
                <w:bCs/>
                <w:color w:val="auto"/>
                <w:spacing w:val="10"/>
                <w:sz w:val="24"/>
              </w:rPr>
              <w:t>施工期生态环境保护措施</w:t>
            </w:r>
          </w:p>
        </w:tc>
        <w:tc>
          <w:tcPr>
            <w:tcW w:w="4733" w:type="pct"/>
          </w:tcPr>
          <w:p w14:paraId="1E41516D">
            <w:pPr>
              <w:pStyle w:val="37"/>
              <w:bidi w:val="0"/>
              <w:rPr>
                <w:b/>
                <w:bCs/>
                <w:color w:val="auto"/>
              </w:rPr>
            </w:pPr>
            <w:r>
              <w:rPr>
                <w:b/>
                <w:bCs/>
                <w:color w:val="auto"/>
              </w:rPr>
              <w:t>一、生态环境保护措施</w:t>
            </w:r>
          </w:p>
          <w:p w14:paraId="320A9C49">
            <w:pPr>
              <w:pStyle w:val="37"/>
              <w:bidi w:val="0"/>
              <w:rPr>
                <w:b/>
                <w:bCs/>
                <w:color w:val="auto"/>
              </w:rPr>
            </w:pPr>
            <w:r>
              <w:rPr>
                <w:b/>
                <w:bCs/>
                <w:color w:val="auto"/>
              </w:rPr>
              <w:t>1、生态影响避让措施</w:t>
            </w:r>
          </w:p>
          <w:p w14:paraId="110371AD">
            <w:pPr>
              <w:pStyle w:val="37"/>
              <w:bidi w:val="0"/>
              <w:rPr>
                <w:color w:val="auto"/>
              </w:rPr>
            </w:pPr>
            <w:r>
              <w:rPr>
                <w:color w:val="auto"/>
              </w:rPr>
              <w:t>（1）项目进场道路施工</w:t>
            </w:r>
            <w:r>
              <w:rPr>
                <w:rFonts w:hint="eastAsia"/>
                <w:color w:val="auto"/>
                <w:lang w:eastAsia="zh-CN"/>
              </w:rPr>
              <w:t>、</w:t>
            </w:r>
            <w:r>
              <w:rPr>
                <w:color w:val="auto"/>
              </w:rPr>
              <w:t>施工生产生活场地</w:t>
            </w:r>
            <w:r>
              <w:rPr>
                <w:rFonts w:hint="eastAsia"/>
                <w:color w:val="auto"/>
                <w:lang w:eastAsia="zh-CN"/>
              </w:rPr>
              <w:t>、</w:t>
            </w:r>
            <w:r>
              <w:rPr>
                <w:color w:val="auto"/>
              </w:rPr>
              <w:t>临时堆土场等禁止布置在生态红线范围</w:t>
            </w:r>
            <w:r>
              <w:rPr>
                <w:rFonts w:hint="eastAsia"/>
                <w:color w:val="auto"/>
                <w:lang w:eastAsia="zh-CN"/>
              </w:rPr>
              <w:t>及基本农田内</w:t>
            </w:r>
            <w:r>
              <w:rPr>
                <w:color w:val="auto"/>
              </w:rPr>
              <w:t>；</w:t>
            </w:r>
          </w:p>
          <w:p w14:paraId="79967C5A">
            <w:pPr>
              <w:pStyle w:val="37"/>
              <w:bidi w:val="0"/>
              <w:rPr>
                <w:rFonts w:hint="eastAsia"/>
                <w:color w:val="auto"/>
                <w:lang w:eastAsia="zh-CN"/>
              </w:rPr>
            </w:pPr>
            <w:r>
              <w:rPr>
                <w:color w:val="auto"/>
              </w:rPr>
              <w:t>（2）严格控制施工用地范围，禁止在用地范围以外场地设置施工场地或进行施工活动</w:t>
            </w:r>
            <w:r>
              <w:rPr>
                <w:rFonts w:hint="eastAsia"/>
                <w:color w:val="auto"/>
                <w:lang w:eastAsia="zh-CN"/>
              </w:rPr>
              <w:t>；</w:t>
            </w:r>
          </w:p>
          <w:p w14:paraId="32ED98D9">
            <w:pPr>
              <w:ind w:firstLine="480"/>
              <w:rPr>
                <w:rFonts w:hint="eastAsia"/>
                <w:color w:val="auto"/>
                <w:lang w:eastAsia="zh-CN"/>
              </w:rPr>
            </w:pPr>
            <w:r>
              <w:rPr>
                <w:color w:val="auto"/>
              </w:rPr>
              <w:t>（3）对施工区内的高大乔木，应尽量避让，能不砍伐的尽量不砍伐，以减少工程建设对植物的影响。</w:t>
            </w:r>
          </w:p>
          <w:p w14:paraId="2FFB0C71">
            <w:pPr>
              <w:pStyle w:val="37"/>
              <w:bidi w:val="0"/>
              <w:rPr>
                <w:b/>
                <w:bCs/>
                <w:color w:val="auto"/>
              </w:rPr>
            </w:pPr>
            <w:r>
              <w:rPr>
                <w:b/>
                <w:bCs/>
                <w:color w:val="auto"/>
              </w:rPr>
              <w:t>2、生态影响减缓措施</w:t>
            </w:r>
          </w:p>
          <w:p w14:paraId="1CBD4359">
            <w:pPr>
              <w:pStyle w:val="37"/>
              <w:bidi w:val="0"/>
              <w:rPr>
                <w:color w:val="auto"/>
              </w:rPr>
            </w:pPr>
            <w:r>
              <w:rPr>
                <w:color w:val="auto"/>
              </w:rPr>
              <w:t>（1）施工期间</w:t>
            </w:r>
            <w:r>
              <w:rPr>
                <w:rFonts w:hint="eastAsia"/>
                <w:color w:val="auto"/>
                <w:lang w:eastAsia="zh-CN"/>
              </w:rPr>
              <w:t>，</w:t>
            </w:r>
            <w:r>
              <w:rPr>
                <w:color w:val="auto"/>
              </w:rPr>
              <w:t>施工单位应加强施工人员的管理</w:t>
            </w:r>
            <w:r>
              <w:rPr>
                <w:rFonts w:hint="eastAsia"/>
                <w:color w:val="auto"/>
                <w:lang w:eastAsia="zh-CN"/>
              </w:rPr>
              <w:t>，</w:t>
            </w:r>
            <w:r>
              <w:rPr>
                <w:color w:val="auto"/>
              </w:rPr>
              <w:t>严禁到非施工区活动，施工区外严禁烟火；</w:t>
            </w:r>
          </w:p>
          <w:p w14:paraId="04D92000">
            <w:pPr>
              <w:ind w:firstLine="480"/>
              <w:rPr>
                <w:color w:val="auto"/>
              </w:rPr>
            </w:pPr>
            <w:r>
              <w:rPr>
                <w:color w:val="auto"/>
              </w:rPr>
              <w:t>（2）工程施工期间加强施工人员管理，确保施工人员在规定的施工占地区域范围内施工，严禁擅自扩大施工场地，减少不必要的植被破坏。对施工人员和附近居民加强施工区生态环境保护的宣传教育，以公告、发放宣传册等形式，教育施工人员，通过制度严禁施工人员非法捕杀野生动物，严禁施工人员捕鱼、毒鱼，以减轻施工对当地陆生动物的影响。</w:t>
            </w:r>
          </w:p>
          <w:p w14:paraId="3BBACDC0">
            <w:pPr>
              <w:pStyle w:val="37"/>
              <w:bidi w:val="0"/>
              <w:rPr>
                <w:b/>
                <w:bCs/>
                <w:color w:val="auto"/>
              </w:rPr>
            </w:pPr>
            <w:r>
              <w:rPr>
                <w:b/>
                <w:bCs/>
                <w:color w:val="auto"/>
              </w:rPr>
              <w:t>3、生态影响补偿措施</w:t>
            </w:r>
          </w:p>
          <w:p w14:paraId="38BE83D5">
            <w:pPr>
              <w:pStyle w:val="37"/>
              <w:bidi w:val="0"/>
              <w:rPr>
                <w:color w:val="auto"/>
              </w:rPr>
            </w:pPr>
            <w:r>
              <w:rPr>
                <w:color w:val="auto"/>
              </w:rPr>
              <w:t>施工完毕后及时绿化、恢复植被、覆盖良土、复垦，并做好临时用地区绿化、恢复植被或覆盖良土复垦的监督和监管工作，确保临时用地的正常有序恢复。</w:t>
            </w:r>
          </w:p>
          <w:p w14:paraId="43F4C52C">
            <w:pPr>
              <w:pStyle w:val="37"/>
              <w:bidi w:val="0"/>
              <w:rPr>
                <w:b/>
                <w:bCs/>
                <w:color w:val="auto"/>
              </w:rPr>
            </w:pPr>
            <w:r>
              <w:rPr>
                <w:b/>
                <w:bCs/>
                <w:color w:val="auto"/>
              </w:rPr>
              <w:t>4、生态影响重建措施</w:t>
            </w:r>
          </w:p>
          <w:p w14:paraId="53FDADE9">
            <w:pPr>
              <w:pStyle w:val="37"/>
              <w:bidi w:val="0"/>
              <w:rPr>
                <w:color w:val="auto"/>
              </w:rPr>
            </w:pPr>
            <w:r>
              <w:rPr>
                <w:color w:val="auto"/>
              </w:rPr>
              <w:t>工程建设产生的不可避免的生态影响和暂时性的生态影响可以通过生态恢复技术予以消除</w:t>
            </w:r>
            <w:r>
              <w:rPr>
                <w:rFonts w:hint="eastAsia"/>
                <w:color w:val="auto"/>
                <w:lang w:eastAsia="zh-CN"/>
              </w:rPr>
              <w:t>。</w:t>
            </w:r>
            <w:r>
              <w:rPr>
                <w:color w:val="auto"/>
              </w:rPr>
              <w:t>需进行生态恢复的地段主要是受工程施工影响的区域，包括临时堆土场和施工生产生活区，除施工期间采取必要的防护措施外，主要采取绿化和恢复绿化两种恢复方式进行恢复。</w:t>
            </w:r>
          </w:p>
          <w:p w14:paraId="13353557">
            <w:pPr>
              <w:pStyle w:val="37"/>
              <w:bidi w:val="0"/>
              <w:rPr>
                <w:color w:val="auto"/>
              </w:rPr>
            </w:pPr>
            <w:r>
              <w:rPr>
                <w:rFonts w:hint="eastAsia"/>
                <w:color w:val="auto"/>
                <w:lang w:eastAsia="zh-CN"/>
              </w:rPr>
              <w:t>对于临时道路及施工营地临时</w:t>
            </w:r>
            <w:r>
              <w:rPr>
                <w:color w:val="auto"/>
              </w:rPr>
              <w:t>占用</w:t>
            </w:r>
            <w:r>
              <w:rPr>
                <w:rFonts w:hint="eastAsia"/>
                <w:color w:val="auto"/>
                <w:lang w:eastAsia="zh-CN"/>
              </w:rPr>
              <w:t>的耕地</w:t>
            </w:r>
            <w:r>
              <w:rPr>
                <w:color w:val="auto"/>
              </w:rPr>
              <w:t>，将表层土单独收集堆放，并采取水土流失防治措施。施工结束后，先将</w:t>
            </w:r>
            <w:r>
              <w:rPr>
                <w:rFonts w:hint="eastAsia"/>
                <w:color w:val="auto"/>
                <w:lang w:eastAsia="zh-CN"/>
              </w:rPr>
              <w:t>下层土翻耕恢复疏松</w:t>
            </w:r>
            <w:r>
              <w:rPr>
                <w:color w:val="auto"/>
              </w:rPr>
              <w:t>，之后再将表土均匀覆盖于表面，将场地进行平整。这样可以减轻对耕地质量的破坏。施工中临时踏压的土地会硬化、板结，在施工结束后应立即翻耕，恢复其疏松状态。</w:t>
            </w:r>
          </w:p>
          <w:p w14:paraId="3442A064">
            <w:pPr>
              <w:pStyle w:val="37"/>
              <w:bidi w:val="0"/>
              <w:rPr>
                <w:b/>
                <w:bCs/>
                <w:color w:val="auto"/>
              </w:rPr>
            </w:pPr>
            <w:r>
              <w:rPr>
                <w:b/>
                <w:bCs/>
                <w:color w:val="auto"/>
              </w:rPr>
              <w:t>5、植物保护措施</w:t>
            </w:r>
          </w:p>
          <w:p w14:paraId="7C7850FE">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施工人员在施工过程中避免乱砍滥伐，尽可能减小和消除对生态环境的影响范围和程度。主要措施有以下几个方面：</w:t>
            </w:r>
          </w:p>
          <w:p w14:paraId="737891CF">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（1）在工程建设期间，加强对施工人员的生态保护宣传教育，严禁施工人员随意砍伐树木；</w:t>
            </w:r>
          </w:p>
          <w:p w14:paraId="0106333C">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施工期应该严格按照设计施工，尽量避开农田和林地。施工时应采取尽量少占地、少破坏植被的原则，各施工活动应严洛控制在施工区域内进行，以免造成周围植被、土壤的大面积破坏；</w:t>
            </w:r>
          </w:p>
          <w:p w14:paraId="263C2EDC">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为了减少对农业生产的损失，施工过程中应尽量保护好表层土，施工还应尽量避开农作物生长季节。</w:t>
            </w:r>
          </w:p>
          <w:p w14:paraId="13F5CB3A">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在保证顺利施工的前提下，严格控制施工车辆、机械及施工人员活动范围，尽可能缩小施工作业带宽度，以减少对地表的碾压；在施工作业带以外，不准随意砍伐、破坏树木和植被，不准乱挖植被，减少对生态环境的影响。</w:t>
            </w:r>
          </w:p>
          <w:p w14:paraId="0C85C4D1">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注意施工后对临时占用的</w:t>
            </w:r>
            <w:r>
              <w:rPr>
                <w:rFonts w:hint="eastAsia" w:ascii="Times New Roman" w:hAnsi="Times New Roman" w:cs="Times New Roman"/>
                <w:color w:val="auto"/>
                <w:sz w:val="24"/>
                <w:lang w:eastAsia="zh-CN"/>
              </w:rPr>
              <w:t>迹地</w:t>
            </w:r>
            <w:r>
              <w:rPr>
                <w:rFonts w:hint="default" w:ascii="Times New Roman" w:hAnsi="Times New Roman" w:cs="Times New Roman"/>
                <w:color w:val="auto"/>
                <w:sz w:val="24"/>
              </w:rPr>
              <w:t>恢复，使之尽量恢复原状，将施工期对临时占地的影响降到尽可能低的程度。应督促施工单位及时拆除施工临时建筑，清理和平整场地，恢复土层，施工迹地按原有土地利用性质恢复。</w:t>
            </w:r>
          </w:p>
          <w:p w14:paraId="2FD05892">
            <w:pPr>
              <w:pStyle w:val="37"/>
              <w:bidi w:val="0"/>
              <w:rPr>
                <w:b/>
                <w:bCs/>
                <w:color w:val="auto"/>
              </w:rPr>
            </w:pPr>
            <w:r>
              <w:rPr>
                <w:b/>
                <w:bCs/>
                <w:color w:val="auto"/>
              </w:rPr>
              <w:t>6、陆生脊椎动物保护措施</w:t>
            </w:r>
          </w:p>
          <w:p w14:paraId="37FF7D10">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工程建设对栖息于该区域的陆生脊椎动物影响不大，不会造成毁灭性破坏，但是也必须采取相应的措施对其进行保护。具体保护措施如下：</w:t>
            </w:r>
          </w:p>
          <w:p w14:paraId="0A14E179">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在施工前采取相关措施对施工区域的爬行动物、飞鸟等进行驱离，这里分布的爬行动物、飞鸟在施工区之外的类似生境均有分布，尤其需加强蛙、蛇类的保护，施工过程中如出现蛇等应进行放生，如遇幼鸟或施工误伤的动物应进行救治；</w:t>
            </w:r>
          </w:p>
          <w:p w14:paraId="414F9D9D">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增强</w:t>
            </w:r>
            <w:r>
              <w:rPr>
                <w:rFonts w:hint="default" w:ascii="Times New Roman" w:hAnsi="Times New Roman" w:eastAsia="宋体" w:cs="Times New Roman"/>
                <w:color w:val="auto"/>
                <w:kern w:val="2"/>
                <w:sz w:val="24"/>
                <w:szCs w:val="24"/>
                <w:lang w:val="en-US" w:eastAsia="zh-CN" w:bidi="ar-SA"/>
              </w:rPr>
              <w:t>施工人员的保护意识，严禁捕猎野生动物。施工人员必须遵守《中华人民共和国野生动物保护法》，严禁在施工区及其周围捕猎野生动物，在施工时严禁对其进行猎捕，严禁施工人员和当地居民捕杀野生动物。</w:t>
            </w:r>
          </w:p>
          <w:p w14:paraId="23C38F84">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施工时应采取尽量少占地、少破坏植被的原则，各施工活动应严格控制在施工区域内进行，以免干扰动物的栖息环境；工程完工后尽快做好生态环境的恢复工作，尤其是临时占地处，应尽快恢复原状，以尽量减少生境破坏对动物的不利影响。</w:t>
            </w:r>
          </w:p>
          <w:p w14:paraId="51EE2FA9">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（3）以公告、宣传单、板报和会议等形式，加强施工人员有关野生动物保护方面的教育，使他们在施工期间注意保护野生动物，不乱砍滥伐树木，维持现有生境，不捕猎鸟兽，做到文明施工；</w:t>
            </w:r>
          </w:p>
          <w:p w14:paraId="7CC70027">
            <w:pPr>
              <w:keepNext/>
              <w:keepLines/>
              <w:autoSpaceDE w:val="0"/>
              <w:spacing w:line="360" w:lineRule="auto"/>
              <w:ind w:firstLine="480" w:firstLineChars="200"/>
              <w:rPr>
                <w:color w:val="auto"/>
                <w:sz w:val="24"/>
                <w:szCs w:val="24"/>
              </w:rPr>
            </w:pPr>
            <w:r>
              <w:rPr>
                <w:color w:val="auto"/>
                <w:sz w:val="24"/>
                <w:szCs w:val="24"/>
              </w:rPr>
              <w:t>（</w:t>
            </w:r>
            <w:r>
              <w:rPr>
                <w:rFonts w:hint="eastAsia"/>
                <w:color w:val="auto"/>
                <w:sz w:val="24"/>
                <w:szCs w:val="24"/>
                <w:lang w:val="en-US" w:eastAsia="zh-CN"/>
              </w:rPr>
              <w:t>4</w:t>
            </w:r>
            <w:r>
              <w:rPr>
                <w:color w:val="auto"/>
                <w:sz w:val="24"/>
                <w:szCs w:val="24"/>
              </w:rPr>
              <w:t>）</w:t>
            </w:r>
            <w:r>
              <w:rPr>
                <w:rFonts w:hint="eastAsia"/>
                <w:color w:val="auto"/>
                <w:sz w:val="24"/>
                <w:szCs w:val="24"/>
              </w:rPr>
              <w:t>严格落实水土保持方案，禁止废土方进入河流污染水体，以保证两栖动物的栖息地尽量少受影响。处理好施工“三废”，禁止向自然环境中排放，以免对动物生境造成污染和破坏。</w:t>
            </w:r>
          </w:p>
          <w:p w14:paraId="32561B95">
            <w:pPr>
              <w:pStyle w:val="37"/>
              <w:bidi w:val="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）施工中避免集中使用高噪设备，以尽量减少对动物惊吓，防止其产生应激反应。</w:t>
            </w:r>
          </w:p>
          <w:p w14:paraId="4F6F6A93">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在工程管理机构中设置相应的环境保护管理机构，配备专业管理人员，确保工程施工期和运行期中各项野生动物保护政策法规的贯彻以及环保措施落实，负责组织、落实、监督本工程的野生动物保护措施：以确保工程环境保护目标的实现，野生动物的生存不受到威胁。</w:t>
            </w:r>
          </w:p>
          <w:p w14:paraId="516DA046">
            <w:pPr>
              <w:adjustRightInd w:val="0"/>
              <w:snapToGrid w:val="0"/>
              <w:spacing w:line="360" w:lineRule="auto"/>
              <w:ind w:firstLine="482" w:firstLineChars="200"/>
              <w:jc w:val="left"/>
              <w:rPr>
                <w:rFonts w:hint="default" w:ascii="Times New Roman" w:hAnsi="Times New Roman" w:eastAsia="宋体" w:cs="Times New Roman"/>
                <w:b/>
                <w:bCs/>
                <w:color w:val="auto"/>
                <w:sz w:val="24"/>
                <w:lang w:val="en-US" w:eastAsia="zh-CN"/>
              </w:rPr>
            </w:pPr>
            <w:r>
              <w:rPr>
                <w:b/>
                <w:bCs/>
                <w:color w:val="auto"/>
              </w:rPr>
              <w:t>7、</w:t>
            </w:r>
            <w:r>
              <w:rPr>
                <w:rFonts w:hint="default" w:ascii="Times New Roman" w:hAnsi="Times New Roman" w:eastAsia="宋体" w:cs="Times New Roman"/>
                <w:b/>
                <w:bCs/>
                <w:color w:val="auto"/>
                <w:sz w:val="24"/>
                <w:lang w:val="en-US" w:eastAsia="zh-CN"/>
              </w:rPr>
              <w:t>水生生态影响减缓措施</w:t>
            </w:r>
          </w:p>
          <w:p w14:paraId="372D78FF">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项目施工期应选在</w:t>
            </w:r>
            <w:r>
              <w:rPr>
                <w:rFonts w:hint="default" w:ascii="Times New Roman" w:hAnsi="Times New Roman" w:eastAsia="宋体" w:cs="Times New Roman"/>
                <w:color w:val="auto"/>
                <w:kern w:val="2"/>
                <w:sz w:val="24"/>
                <w:szCs w:val="24"/>
                <w:lang w:val="en-US" w:eastAsia="zh-CN" w:bidi="ar-SA"/>
              </w:rPr>
              <w:t>枯水期作业。</w:t>
            </w:r>
          </w:p>
          <w:p w14:paraId="1C432F24">
            <w:pPr>
              <w:pStyle w:val="37"/>
              <w:bidi w:val="0"/>
              <w:ind w:left="0" w:leftChars="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（2）根据防洪堤建设特点，选择符合水生生态保护的低影响工艺，禁止爆破施工，采用人工+机械相结合的低扰动施工工艺</w:t>
            </w:r>
            <w:r>
              <w:rPr>
                <w:rFonts w:hint="eastAsia" w:ascii="Times New Roman" w:hAnsi="Times New Roman" w:eastAsia="宋体" w:cs="Times New Roman"/>
                <w:color w:val="auto"/>
                <w:kern w:val="2"/>
                <w:sz w:val="24"/>
                <w:szCs w:val="24"/>
                <w:lang w:val="en-US" w:eastAsia="zh-CN" w:bidi="ar-SA"/>
              </w:rPr>
              <w:t>，项目护岸采用钢筋石笼护岸，无需进行施工导流</w:t>
            </w:r>
            <w:r>
              <w:rPr>
                <w:rFonts w:hint="default" w:ascii="Times New Roman" w:hAnsi="Times New Roman" w:eastAsia="宋体" w:cs="Times New Roman"/>
                <w:color w:val="auto"/>
                <w:kern w:val="2"/>
                <w:sz w:val="24"/>
                <w:szCs w:val="24"/>
                <w:lang w:val="en-US" w:eastAsia="zh-CN" w:bidi="ar-SA"/>
              </w:rPr>
              <w:t>。</w:t>
            </w:r>
          </w:p>
          <w:p w14:paraId="66ABB519">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（3）选择符合环保标准的施工机械设备，维护良好的机械运行工况，禁止存在漏油或受油类污染的机械设施进入河道。</w:t>
            </w:r>
          </w:p>
          <w:p w14:paraId="171EBFAC">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（4）施工期严禁向周边水体直接排放生产废水和生活污水；禁止施工人员在临近水域进行一切具有破坏性质的活动。</w:t>
            </w:r>
          </w:p>
          <w:p w14:paraId="5CBEA622">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（5）本工程施工期落实鱼类救护，施工期间加强施工人员的渔业管理法律法规、禁渔制度、环境保护、生物多样性保护的宣传工作，严禁利用施工之便捕杀珍稀保护水生生物，禁止炸鱼、毒鱼。</w:t>
            </w:r>
          </w:p>
          <w:p w14:paraId="6DBB157D">
            <w:pPr>
              <w:pStyle w:val="37"/>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（6）项目施工产生的建筑垃圾、</w:t>
            </w:r>
            <w:r>
              <w:rPr>
                <w:rFonts w:hint="eastAsia" w:ascii="Times New Roman" w:hAnsi="Times New Roman" w:eastAsia="宋体" w:cs="Times New Roman"/>
                <w:color w:val="auto"/>
                <w:kern w:val="2"/>
                <w:sz w:val="24"/>
                <w:szCs w:val="24"/>
                <w:lang w:val="en-US" w:eastAsia="zh-CN" w:bidi="ar-SA"/>
              </w:rPr>
              <w:t>土石方</w:t>
            </w:r>
            <w:r>
              <w:rPr>
                <w:rFonts w:hint="default" w:ascii="Times New Roman" w:hAnsi="Times New Roman" w:eastAsia="宋体" w:cs="Times New Roman"/>
                <w:color w:val="auto"/>
                <w:kern w:val="2"/>
                <w:sz w:val="24"/>
                <w:szCs w:val="24"/>
                <w:lang w:val="en-US" w:eastAsia="zh-CN" w:bidi="ar-SA"/>
              </w:rPr>
              <w:t>、生活垃圾等应及时清运处理，禁止进入河道。</w:t>
            </w:r>
          </w:p>
          <w:p w14:paraId="1C57DB71">
            <w:pPr>
              <w:pStyle w:val="37"/>
              <w:keepNext w:val="0"/>
              <w:keepLines w:val="0"/>
              <w:pageBreakBefore w:val="0"/>
              <w:widowControl w:val="0"/>
              <w:kinsoku/>
              <w:wordWrap/>
              <w:overflowPunct/>
              <w:topLinePunct w:val="0"/>
              <w:autoSpaceDE/>
              <w:autoSpaceDN/>
              <w:bidi w:val="0"/>
              <w:adjustRightInd w:val="0"/>
              <w:spacing w:line="360" w:lineRule="auto"/>
              <w:rPr>
                <w:color w:val="auto"/>
              </w:rPr>
            </w:pP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）施工活动应尽量减少对河岸带植被的破坏，施工完成后，应及时对破坏的河岸带植被进行修复，维护近岸的水生生态环境。</w:t>
            </w:r>
          </w:p>
          <w:p w14:paraId="19842B22">
            <w:pPr>
              <w:pStyle w:val="37"/>
              <w:bidi w:val="0"/>
              <w:rPr>
                <w:b/>
                <w:bCs/>
                <w:color w:val="auto"/>
              </w:rPr>
            </w:pPr>
            <w:r>
              <w:rPr>
                <w:b/>
                <w:bCs/>
                <w:color w:val="auto"/>
              </w:rPr>
              <w:t>二、施工期污染防治对策措施</w:t>
            </w:r>
          </w:p>
          <w:p w14:paraId="6C7A7E09">
            <w:pPr>
              <w:pStyle w:val="37"/>
              <w:bidi w:val="0"/>
              <w:rPr>
                <w:b/>
                <w:bCs/>
                <w:color w:val="auto"/>
              </w:rPr>
            </w:pPr>
            <w:r>
              <w:rPr>
                <w:rFonts w:hint="eastAsia"/>
                <w:b/>
                <w:bCs/>
                <w:color w:val="auto"/>
                <w:lang w:val="en-US" w:eastAsia="zh-CN"/>
              </w:rPr>
              <w:t>1、</w:t>
            </w:r>
            <w:r>
              <w:rPr>
                <w:b/>
                <w:bCs/>
                <w:color w:val="auto"/>
              </w:rPr>
              <w:t>大气环境保护措施</w:t>
            </w:r>
          </w:p>
          <w:p w14:paraId="3066D453">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（1）制定严格的施工期扬尘防治管理制度，防治责任落实到人，实行责任人制度。</w:t>
            </w:r>
          </w:p>
          <w:p w14:paraId="236BE228">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（2）在靠近敏感点的施工场地的边界设置2.5m以上的围挡，尤其在下风向场界处设置连续、密闭的围挡。</w:t>
            </w:r>
          </w:p>
          <w:p w14:paraId="07D1FDF0">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（3）施工场地每天定时洒水，防止浮尘产生，在大风日加大洒水量及次数。</w:t>
            </w:r>
          </w:p>
          <w:p w14:paraId="3D1D5B12">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（4）容易产生扬尘的建筑材料，堆放在远离附近敏感点的地方，采取密闭存储、设置围挡或堆砌围墙、采用防尘布苫盖或者其他防尘措施。</w:t>
            </w:r>
          </w:p>
          <w:p w14:paraId="1A61DF91">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（6）项目建筑砂石料在运输过程中，应采用防尘布遮盖，防止运输过程中施工材料的洒落</w:t>
            </w:r>
            <w:r>
              <w:rPr>
                <w:rFonts w:hint="eastAsia" w:ascii="Times New Roman" w:hAnsi="Times New Roman" w:eastAsia="宋体" w:cs="Times New Roman"/>
                <w:color w:val="auto"/>
                <w:kern w:val="0"/>
                <w:sz w:val="24"/>
                <w:lang w:eastAsia="zh-CN" w:bidi="ar"/>
              </w:rPr>
              <w:t>，途经施工</w:t>
            </w:r>
            <w:r>
              <w:rPr>
                <w:rFonts w:hint="default" w:ascii="Times New Roman" w:hAnsi="Times New Roman" w:eastAsia="宋体" w:cs="Times New Roman"/>
                <w:color w:val="auto"/>
                <w:kern w:val="0"/>
                <w:sz w:val="24"/>
                <w:lang w:bidi="ar"/>
              </w:rPr>
              <w:t>区乡镇干道及居民区的运输车辆实行限速管理，运输 车辆进入施工场地应低速行驶，或限速行驶，减少扬尘产生量。</w:t>
            </w:r>
          </w:p>
          <w:p w14:paraId="032605D8">
            <w:pPr>
              <w:widowControl/>
              <w:spacing w:line="360" w:lineRule="auto"/>
              <w:ind w:firstLine="480" w:firstLineChars="200"/>
              <w:jc w:val="left"/>
              <w:rPr>
                <w:rFonts w:hint="default"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7</w:t>
            </w:r>
            <w:r>
              <w:rPr>
                <w:rFonts w:hint="default" w:ascii="Times New Roman" w:hAnsi="Times New Roman" w:eastAsia="宋体" w:cs="Times New Roman"/>
                <w:color w:val="auto"/>
                <w:kern w:val="0"/>
                <w:sz w:val="24"/>
                <w:lang w:eastAsia="zh-CN" w:bidi="ar"/>
              </w:rPr>
              <w:t>）临时堆存表土堆放的四周采用编织袋挡墙，采用土工布覆盖。</w:t>
            </w:r>
          </w:p>
          <w:p w14:paraId="7C596587">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施工期在严格采取防治措施后，会大大降低扬尘的产生，有效减轻施工期扬尘对周围环境的影响。施工扬尘对大气环境质量的不利影响是偶然的、短暂的、局部的，也是施工中不可避免的，其将随施工的结束而消失。类比同类施工场地，拟建项目采取的施工扬尘防治措施合理可行。</w:t>
            </w:r>
          </w:p>
          <w:p w14:paraId="104DC1DF">
            <w:pPr>
              <w:widowControl/>
              <w:spacing w:line="360" w:lineRule="auto"/>
              <w:ind w:firstLine="480" w:firstLineChars="200"/>
              <w:jc w:val="left"/>
              <w:rPr>
                <w:rFonts w:hint="default"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8</w:t>
            </w:r>
            <w:r>
              <w:rPr>
                <w:rFonts w:hint="eastAsia"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选用低能耗、低污染排放的施工机械和车辆，对于运输车辆需安装 尾气净化装置；加强对燃油机械设备的维护和保养，使发动机处于正常、良好的工作状态；使用优质燃油。</w:t>
            </w:r>
          </w:p>
          <w:p w14:paraId="3B292A92">
            <w:pPr>
              <w:pStyle w:val="37"/>
              <w:bidi w:val="0"/>
              <w:rPr>
                <w:b/>
                <w:bCs/>
                <w:color w:val="auto"/>
              </w:rPr>
            </w:pPr>
            <w:r>
              <w:rPr>
                <w:rFonts w:hint="eastAsia"/>
                <w:b/>
                <w:bCs/>
                <w:color w:val="auto"/>
                <w:lang w:val="en-US" w:eastAsia="zh-CN"/>
              </w:rPr>
              <w:t>2、</w:t>
            </w:r>
            <w:r>
              <w:rPr>
                <w:b/>
                <w:bCs/>
                <w:color w:val="auto"/>
              </w:rPr>
              <w:t>水环境保护措施</w:t>
            </w:r>
          </w:p>
          <w:p w14:paraId="696FC60C">
            <w:pPr>
              <w:widowControl/>
              <w:spacing w:line="360" w:lineRule="auto"/>
              <w:ind w:firstLine="480" w:firstLineChars="200"/>
              <w:jc w:val="left"/>
              <w:rPr>
                <w:rFonts w:hint="default" w:ascii="Times New Roman" w:hAnsi="Times New Roman" w:cs="Times New Roman"/>
                <w:color w:val="auto"/>
                <w:kern w:val="0"/>
                <w:sz w:val="24"/>
                <w:lang w:bidi="ar"/>
              </w:rPr>
            </w:pPr>
            <w:r>
              <w:rPr>
                <w:rFonts w:hint="eastAsia" w:ascii="Times New Roman" w:hAnsi="Times New Roman" w:cs="Times New Roman"/>
                <w:color w:val="auto"/>
                <w:kern w:val="0"/>
                <w:sz w:val="24"/>
                <w:lang w:eastAsia="zh-CN" w:bidi="ar"/>
              </w:rPr>
              <w:t>（</w:t>
            </w:r>
            <w:r>
              <w:rPr>
                <w:rFonts w:hint="eastAsia" w:ascii="Times New Roman" w:hAnsi="Times New Roman" w:cs="Times New Roman"/>
                <w:color w:val="auto"/>
                <w:kern w:val="0"/>
                <w:sz w:val="24"/>
                <w:lang w:val="en-US" w:eastAsia="zh-CN" w:bidi="ar"/>
              </w:rPr>
              <w:t>1</w:t>
            </w:r>
            <w:r>
              <w:rPr>
                <w:rFonts w:hint="eastAsia"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机械清洗废水</w:t>
            </w:r>
          </w:p>
          <w:p w14:paraId="4EA14989">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lang w:bidi="ar"/>
              </w:rPr>
              <w:t>在每个混凝土搅拌机旁边设置一个废水收集桶，机械清洗废水沉淀处理后排入二次沉淀桶收集上清液，处理后的上清液综合利用于</w:t>
            </w:r>
            <w:r>
              <w:rPr>
                <w:rFonts w:hint="eastAsia" w:ascii="Times New Roman" w:hAnsi="Times New Roman" w:cs="Times New Roman"/>
                <w:color w:val="auto"/>
                <w:kern w:val="0"/>
                <w:sz w:val="24"/>
                <w:lang w:eastAsia="zh-CN" w:bidi="ar"/>
              </w:rPr>
              <w:t>施工工序</w:t>
            </w:r>
            <w:r>
              <w:rPr>
                <w:rFonts w:hint="default" w:ascii="Times New Roman" w:hAnsi="Times New Roman" w:cs="Times New Roman"/>
                <w:color w:val="auto"/>
                <w:kern w:val="0"/>
                <w:sz w:val="24"/>
                <w:lang w:bidi="ar"/>
              </w:rPr>
              <w:t>和施工现场洒水抑尘，不外排，沉砂回用于施工。</w:t>
            </w:r>
          </w:p>
          <w:p w14:paraId="6B2DD417">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val="en-US" w:eastAsia="zh-CN" w:bidi="ar"/>
              </w:rPr>
              <w:t>2</w:t>
            </w:r>
            <w:r>
              <w:rPr>
                <w:rFonts w:hint="default" w:ascii="Times New Roman" w:hAnsi="Times New Roman" w:cs="Times New Roman"/>
                <w:color w:val="auto"/>
                <w:sz w:val="24"/>
                <w:lang w:eastAsia="zh-CN" w:bidi="ar"/>
              </w:rPr>
              <w:t>）</w:t>
            </w:r>
            <w:r>
              <w:rPr>
                <w:rFonts w:hint="eastAsia" w:ascii="Times New Roman" w:hAnsi="Times New Roman" w:cs="Times New Roman"/>
                <w:color w:val="auto"/>
                <w:sz w:val="24"/>
                <w:lang w:eastAsia="zh-CN" w:bidi="ar"/>
              </w:rPr>
              <w:t>生活污水</w:t>
            </w:r>
          </w:p>
          <w:p w14:paraId="51FFCE85">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eastAsia="zh-CN" w:bidi="ar"/>
              </w:rPr>
              <w:t>项目</w:t>
            </w:r>
            <w:r>
              <w:rPr>
                <w:rFonts w:hint="default" w:ascii="Times New Roman" w:hAnsi="Times New Roman" w:cs="Times New Roman"/>
                <w:color w:val="auto"/>
                <w:sz w:val="24"/>
                <w:lang w:bidi="ar"/>
              </w:rPr>
              <w:t>施工期共有</w:t>
            </w:r>
            <w:r>
              <w:rPr>
                <w:rFonts w:hint="eastAsia" w:ascii="Times New Roman" w:hAnsi="Times New Roman" w:cs="Times New Roman"/>
                <w:color w:val="auto"/>
                <w:sz w:val="24"/>
                <w:lang w:val="en-US" w:eastAsia="zh-CN" w:bidi="ar"/>
              </w:rPr>
              <w:t>75</w:t>
            </w:r>
            <w:r>
              <w:rPr>
                <w:rFonts w:hint="default" w:ascii="Times New Roman" w:hAnsi="Times New Roman" w:cs="Times New Roman"/>
                <w:color w:val="auto"/>
                <w:sz w:val="24"/>
                <w:lang w:bidi="ar"/>
              </w:rPr>
              <w:t>人，</w:t>
            </w:r>
            <w:r>
              <w:rPr>
                <w:rFonts w:hint="default" w:ascii="Times New Roman" w:hAnsi="Times New Roman" w:eastAsia="宋体" w:cs="Times New Roman"/>
                <w:color w:val="auto"/>
                <w:kern w:val="0"/>
                <w:sz w:val="24"/>
                <w:lang w:val="en-US" w:eastAsia="zh-CN" w:bidi="ar"/>
              </w:rPr>
              <w:t>租赁周边村庄房屋办公及食宿，</w:t>
            </w:r>
            <w:r>
              <w:rPr>
                <w:rFonts w:hint="default" w:ascii="Times New Roman" w:hAnsi="Times New Roman" w:cs="Times New Roman"/>
                <w:color w:val="auto"/>
                <w:sz w:val="24"/>
                <w:lang w:bidi="ar"/>
              </w:rPr>
              <w:t>均不在项目区食宿，生活污水仅涉及少量的洗手、如厕废水，该部分废水依托村落及乡镇现有生活设施解决生活污水排放问题，废水不外排。</w:t>
            </w:r>
          </w:p>
          <w:p w14:paraId="35F9BFAA">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3）雨季施工区地表径流防治措施：合理安排工期，施工过程选择在枯水期进行；施工过程中临时堆土采取覆盖措施，建筑材料、弃渣堆场应远离河道，并进行覆盖；靠近河道一侧的施工场地设置临时截流沟，地表径流截留、收集沉淀后回用于施工过程及周边植被绿化浇洒。</w:t>
            </w:r>
          </w:p>
          <w:p w14:paraId="74BFB305">
            <w:pPr>
              <w:widowControl/>
              <w:spacing w:line="360" w:lineRule="auto"/>
              <w:ind w:firstLine="480" w:firstLineChars="200"/>
              <w:jc w:val="left"/>
              <w:rPr>
                <w:color w:val="auto"/>
              </w:rPr>
            </w:pPr>
            <w:r>
              <w:rPr>
                <w:rFonts w:hint="default" w:ascii="Times New Roman" w:hAnsi="Times New Roman" w:cs="Times New Roman"/>
                <w:color w:val="auto"/>
                <w:kern w:val="0"/>
                <w:sz w:val="24"/>
                <w:lang w:bidi="ar"/>
              </w:rPr>
              <w:t>（4）水土保持措施：在施工区对表土收集、布设拦挡、覆盖措施及部分裸露区域绿化措施。</w:t>
            </w:r>
          </w:p>
          <w:p w14:paraId="398AA068">
            <w:pPr>
              <w:pStyle w:val="37"/>
              <w:bidi w:val="0"/>
              <w:rPr>
                <w:b/>
                <w:bCs/>
                <w:color w:val="auto"/>
              </w:rPr>
            </w:pPr>
            <w:r>
              <w:rPr>
                <w:b/>
                <w:bCs/>
                <w:color w:val="auto"/>
              </w:rPr>
              <w:t>3、噪声环境保护措施</w:t>
            </w:r>
          </w:p>
          <w:p w14:paraId="505CD4E0">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bidi="ar"/>
              </w:rPr>
              <w:t>（1）噪声源控制：施工过程中要尽量选用低噪声设备，对机械设备</w:t>
            </w:r>
            <w:r>
              <w:rPr>
                <w:rFonts w:hint="eastAsia" w:ascii="Times New Roman" w:hAnsi="Times New Roman" w:eastAsia="宋体" w:cs="Times New Roman"/>
                <w:color w:val="auto"/>
                <w:sz w:val="24"/>
                <w:lang w:eastAsia="zh-CN" w:bidi="ar"/>
              </w:rPr>
              <w:t>定期</w:t>
            </w:r>
            <w:r>
              <w:rPr>
                <w:rFonts w:hint="default" w:ascii="Times New Roman" w:hAnsi="Times New Roman" w:eastAsia="宋体" w:cs="Times New Roman"/>
                <w:color w:val="auto"/>
                <w:sz w:val="24"/>
                <w:lang w:bidi="ar"/>
              </w:rPr>
              <w:t>养护，保持良好的运行工况，减低设备运行噪声；加强设备的维护和管理，以减少运行噪声；降低混凝土振动器噪音，将高频振动器施工改为低频率振动器以减少施工噪声</w:t>
            </w:r>
            <w:r>
              <w:rPr>
                <w:rFonts w:hint="default" w:ascii="Times New Roman" w:hAnsi="Times New Roman" w:eastAsia="宋体" w:cs="Times New Roman"/>
                <w:color w:val="auto"/>
                <w:sz w:val="24"/>
                <w:lang w:eastAsia="zh-CN" w:bidi="ar"/>
              </w:rPr>
              <w:t>；</w:t>
            </w:r>
          </w:p>
          <w:p w14:paraId="0F390E54">
            <w:pPr>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（2）在施工布置上力求噪声源远离附近居民区，合理安排施工计划，施工单位应采取合理安排施工机械操作时间的方法加以缓解，并减少同时作业的高噪施工机械数量，尽可能减轻声源叠加影响。应避免夜间 22:00-06:00 时段作业，以减少对周围村居民的影响。施工车辆经过居民点和施工营地等敏感点时，减少鸣笛次数，合理安排运输时间，尽量避免道路车辆扰民</w:t>
            </w:r>
          </w:p>
          <w:p w14:paraId="78950CC1">
            <w:pPr>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bidi="ar"/>
              </w:rPr>
              <w:t>（</w:t>
            </w:r>
            <w:r>
              <w:rPr>
                <w:rFonts w:hint="eastAsia" w:ascii="Times New Roman" w:hAnsi="Times New Roman" w:eastAsia="宋体" w:cs="Times New Roman"/>
                <w:color w:val="auto"/>
                <w:sz w:val="24"/>
                <w:lang w:val="en-US" w:eastAsia="zh-CN" w:bidi="ar"/>
              </w:rPr>
              <w:t>3</w:t>
            </w:r>
            <w:r>
              <w:rPr>
                <w:rFonts w:hint="default" w:ascii="Times New Roman" w:hAnsi="Times New Roman" w:eastAsia="宋体" w:cs="Times New Roman"/>
                <w:color w:val="auto"/>
                <w:sz w:val="24"/>
                <w:lang w:bidi="ar"/>
              </w:rPr>
              <w:t>）传播途径控制：建设单位在施工场地周围</w:t>
            </w:r>
            <w:r>
              <w:rPr>
                <w:rFonts w:hint="eastAsia" w:ascii="Times New Roman" w:hAnsi="Times New Roman" w:eastAsia="宋体" w:cs="Times New Roman"/>
                <w:color w:val="auto"/>
                <w:sz w:val="24"/>
                <w:lang w:eastAsia="zh-CN" w:bidi="ar"/>
              </w:rPr>
              <w:t>距离居民点较近</w:t>
            </w:r>
            <w:r>
              <w:rPr>
                <w:rFonts w:hint="default" w:ascii="Times New Roman" w:hAnsi="Times New Roman" w:eastAsia="宋体" w:cs="Times New Roman"/>
                <w:color w:val="auto"/>
                <w:sz w:val="24"/>
                <w:lang w:bidi="ar"/>
              </w:rPr>
              <w:t>的地方设立临时声屏障，以减轻设备噪声对周围环境的影响。</w:t>
            </w:r>
          </w:p>
          <w:p w14:paraId="31FC8AF6">
            <w:pPr>
              <w:pStyle w:val="37"/>
              <w:bidi w:val="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由于本工程为线性工程，各保护目标仅在其附近施工点施工期间会受到施工噪声影响，每个工程点的施工时间较短，随着施工点的移动其噪声对周围保护目标的影响将随着消失。采取上述措施后，施工期对声环境的影响可接受。</w:t>
            </w:r>
          </w:p>
          <w:p w14:paraId="7C64E4FB">
            <w:pPr>
              <w:pStyle w:val="37"/>
              <w:bidi w:val="0"/>
              <w:rPr>
                <w:b/>
                <w:bCs/>
                <w:color w:val="auto"/>
              </w:rPr>
            </w:pPr>
            <w:r>
              <w:rPr>
                <w:b/>
                <w:bCs/>
                <w:color w:val="auto"/>
              </w:rPr>
              <w:t>4、固体废物治理措施</w:t>
            </w:r>
          </w:p>
          <w:p w14:paraId="7459BE22">
            <w:pPr>
              <w:pStyle w:val="37"/>
              <w:numPr>
                <w:ilvl w:val="0"/>
                <w:numId w:val="0"/>
              </w:numPr>
              <w:bidi w:val="0"/>
              <w:ind w:left="0" w:leftChars="0" w:right="0" w:rightChars="0" w:firstLine="482" w:firstLineChars="200"/>
              <w:rPr>
                <w:rFonts w:hint="eastAsia"/>
                <w:b/>
                <w:bCs/>
                <w:color w:val="auto"/>
                <w:lang w:eastAsia="zh-CN"/>
              </w:rPr>
            </w:pPr>
            <w:r>
              <w:rPr>
                <w:rFonts w:hint="eastAsia" w:ascii="Times New Roman" w:hAnsi="Times New Roman" w:eastAsia="宋体" w:cs="Times New Roman"/>
                <w:b/>
                <w:bCs/>
                <w:color w:val="auto"/>
                <w:kern w:val="0"/>
                <w:sz w:val="24"/>
                <w:szCs w:val="24"/>
                <w:lang w:val="en-US" w:eastAsia="zh-CN" w:bidi="ar-SA"/>
              </w:rPr>
              <w:t>（1）</w:t>
            </w:r>
            <w:r>
              <w:rPr>
                <w:rFonts w:hint="eastAsia"/>
                <w:b/>
                <w:bCs/>
                <w:color w:val="auto"/>
                <w:lang w:eastAsia="zh-CN"/>
              </w:rPr>
              <w:t>施工土石方</w:t>
            </w:r>
          </w:p>
          <w:p w14:paraId="689ABA5D">
            <w:pPr>
              <w:ind w:firstLine="480"/>
              <w:rPr>
                <w:color w:val="auto"/>
              </w:rPr>
            </w:pPr>
            <w:r>
              <w:rPr>
                <w:rFonts w:hint="eastAsia" w:cs="Times New Roman"/>
                <w:b w:val="0"/>
                <w:bCs/>
                <w:color w:val="auto"/>
                <w:kern w:val="0"/>
                <w:sz w:val="24"/>
                <w:lang w:val="en-US" w:eastAsia="zh-CN"/>
              </w:rPr>
              <w:t>根据</w:t>
            </w:r>
            <w:r>
              <w:rPr>
                <w:rFonts w:hint="default" w:ascii="Times New Roman" w:hAnsi="Times New Roman" w:eastAsia="宋体" w:cs="Times New Roman"/>
                <w:b w:val="0"/>
                <w:bCs/>
                <w:color w:val="auto"/>
                <w:kern w:val="0"/>
                <w:sz w:val="24"/>
                <w:lang w:val="en-US" w:eastAsia="zh-CN"/>
              </w:rPr>
              <w:t xml:space="preserve">芒市大河新桥电站至洞坎大桥段河道治理工程施工土石方平衡分析。 </w:t>
            </w:r>
            <w:r>
              <w:rPr>
                <w:rFonts w:hint="eastAsia" w:cs="Times New Roman"/>
                <w:b w:val="0"/>
                <w:bCs/>
                <w:color w:val="auto"/>
                <w:kern w:val="0"/>
                <w:sz w:val="24"/>
                <w:lang w:val="en-US" w:eastAsia="zh-CN"/>
              </w:rPr>
              <w:t>施工共计开挖</w:t>
            </w:r>
            <w:r>
              <w:rPr>
                <w:rFonts w:hint="default" w:ascii="Times New Roman" w:hAnsi="Times New Roman" w:eastAsia="宋体" w:cs="Times New Roman"/>
                <w:b w:val="0"/>
                <w:bCs/>
                <w:color w:val="auto"/>
                <w:kern w:val="0"/>
                <w:sz w:val="24"/>
                <w:lang w:val="en-US" w:eastAsia="zh-CN"/>
              </w:rPr>
              <w:t>土石方35116.35 m³（包括砂砾土25249.68 m³和表土9866.67 m³），综合回填利用土石方35116.34 m³（其中建筑物回填25249.68 m³，表土利用9866.67 m³），产生弃渣0m³</w:t>
            </w:r>
            <w:r>
              <w:rPr>
                <w:rFonts w:hint="default" w:ascii="Times New Roman" w:hAnsi="Times New Roman" w:eastAsia="宋体" w:cs="Times New Roman"/>
                <w:b w:val="0"/>
                <w:bCs w:val="0"/>
                <w:color w:val="auto"/>
                <w:sz w:val="24"/>
                <w:szCs w:val="24"/>
                <w:lang w:val="en-US" w:eastAsia="zh-CN"/>
              </w:rPr>
              <w:t>。堆存表土用于后期工程复耕及方案中绿化覆土。</w:t>
            </w:r>
            <w:r>
              <w:rPr>
                <w:rFonts w:hint="default" w:ascii="Times New Roman" w:hAnsi="Times New Roman" w:eastAsia="宋体" w:cs="Times New Roman"/>
                <w:color w:val="auto"/>
                <w:sz w:val="24"/>
              </w:rPr>
              <w:t>工程建设无永久弃渣产生，项目不设置弃渣场</w:t>
            </w:r>
            <w:r>
              <w:rPr>
                <w:color w:val="auto"/>
              </w:rPr>
              <w:t>。</w:t>
            </w:r>
          </w:p>
          <w:p w14:paraId="6DCC337A">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施工期间临时</w:t>
            </w:r>
            <w:r>
              <w:rPr>
                <w:rFonts w:hint="eastAsia" w:ascii="Times New Roman" w:hAnsi="Times New Roman" w:eastAsia="宋体" w:cs="Times New Roman"/>
                <w:color w:val="auto"/>
                <w:sz w:val="24"/>
                <w:lang w:eastAsia="zh-CN"/>
              </w:rPr>
              <w:t>表土</w:t>
            </w:r>
            <w:r>
              <w:rPr>
                <w:rFonts w:hint="default" w:ascii="Times New Roman" w:hAnsi="Times New Roman" w:eastAsia="宋体" w:cs="Times New Roman"/>
                <w:color w:val="auto"/>
                <w:sz w:val="24"/>
              </w:rPr>
              <w:t>场应尽量远离保护目标，临时表土堆存过程中，堆放的四周采用编织袋挡墙，采用土工布覆盖，定期洒水抑尘；建设方在落实临时</w:t>
            </w:r>
            <w:r>
              <w:rPr>
                <w:rFonts w:hint="eastAsia" w:ascii="Times New Roman" w:hAnsi="Times New Roman" w:eastAsia="宋体" w:cs="Times New Roman"/>
                <w:color w:val="auto"/>
                <w:sz w:val="24"/>
                <w:lang w:eastAsia="zh-CN"/>
              </w:rPr>
              <w:t>表</w:t>
            </w:r>
            <w:r>
              <w:rPr>
                <w:rFonts w:hint="default" w:ascii="Times New Roman" w:hAnsi="Times New Roman" w:eastAsia="宋体" w:cs="Times New Roman"/>
                <w:color w:val="auto"/>
                <w:sz w:val="24"/>
              </w:rPr>
              <w:t>土防护方案，及时清运工程临时</w:t>
            </w:r>
            <w:r>
              <w:rPr>
                <w:rFonts w:hint="eastAsia" w:ascii="Times New Roman" w:hAnsi="Times New Roman" w:eastAsia="宋体" w:cs="Times New Roman"/>
                <w:color w:val="auto"/>
                <w:sz w:val="24"/>
                <w:lang w:eastAsia="zh-CN"/>
              </w:rPr>
              <w:t>表</w:t>
            </w:r>
            <w:r>
              <w:rPr>
                <w:rFonts w:hint="default" w:ascii="Times New Roman" w:hAnsi="Times New Roman" w:eastAsia="宋体" w:cs="Times New Roman"/>
                <w:color w:val="auto"/>
                <w:sz w:val="24"/>
              </w:rPr>
              <w:t>土的基础上，本项目工程临时</w:t>
            </w:r>
            <w:r>
              <w:rPr>
                <w:rFonts w:hint="eastAsia" w:ascii="Times New Roman" w:hAnsi="Times New Roman" w:eastAsia="宋体" w:cs="Times New Roman"/>
                <w:color w:val="auto"/>
                <w:sz w:val="24"/>
                <w:lang w:eastAsia="zh-CN"/>
              </w:rPr>
              <w:t>表</w:t>
            </w:r>
            <w:r>
              <w:rPr>
                <w:rFonts w:hint="default" w:ascii="Times New Roman" w:hAnsi="Times New Roman" w:eastAsia="宋体" w:cs="Times New Roman"/>
                <w:color w:val="auto"/>
                <w:sz w:val="24"/>
              </w:rPr>
              <w:t>土对周围环境的影响较小。</w:t>
            </w:r>
          </w:p>
          <w:p w14:paraId="385499F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施工建筑垃圾</w:t>
            </w:r>
          </w:p>
          <w:p w14:paraId="59DBD79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建筑垃圾应分类堆放，能回收利用的尽量回收利用，能出售给废品回收站的出售给废品回收站，不能回收利用的按住建部门要求进行规范处置。防止其因长期堆放而产生污染，禁止乱丢乱弃。</w:t>
            </w:r>
          </w:p>
          <w:p w14:paraId="0095C2A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生活垃圾</w:t>
            </w:r>
          </w:p>
          <w:p w14:paraId="2753867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施工区内设置垃圾箱，收集施工人员生活垃圾；划定卫生责任区，并确定责任人和定期清扫的周期；生活垃圾收集后运至周边村庄生活垃圾堆存</w:t>
            </w:r>
            <w:r>
              <w:rPr>
                <w:rFonts w:hint="default" w:ascii="Times New Roman" w:hAnsi="Times New Roman" w:cs="Times New Roman"/>
                <w:color w:val="auto"/>
                <w:sz w:val="24"/>
                <w:lang w:eastAsia="zh-CN"/>
              </w:rPr>
              <w:t>。</w:t>
            </w:r>
          </w:p>
          <w:p w14:paraId="648C727C">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三</w:t>
            </w:r>
            <w:r>
              <w:rPr>
                <w:rFonts w:hint="default" w:ascii="Times New Roman" w:hAnsi="Times New Roman" w:cs="Times New Roman"/>
                <w:b/>
                <w:bCs/>
                <w:color w:val="auto"/>
                <w:sz w:val="24"/>
              </w:rPr>
              <w:t>、施工期环境风险对策措施</w:t>
            </w:r>
          </w:p>
          <w:p w14:paraId="2568FA04">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施工期环境风险主要为自然灾害风险和施工</w:t>
            </w:r>
            <w:r>
              <w:rPr>
                <w:rFonts w:hint="default" w:ascii="Times New Roman" w:hAnsi="Times New Roman" w:cs="Times New Roman"/>
                <w:color w:val="auto"/>
                <w:sz w:val="24"/>
                <w:lang w:eastAsia="zh-CN"/>
              </w:rPr>
              <w:t>机械漏油</w:t>
            </w:r>
            <w:r>
              <w:rPr>
                <w:rFonts w:hint="default" w:ascii="Times New Roman" w:hAnsi="Times New Roman" w:cs="Times New Roman"/>
                <w:color w:val="auto"/>
                <w:sz w:val="24"/>
              </w:rPr>
              <w:t>环境风险。建设单位应采取如下环境风险防范措施：</w:t>
            </w:r>
          </w:p>
          <w:p w14:paraId="23EB5BA3">
            <w:pPr>
              <w:numPr>
                <w:ilvl w:val="0"/>
                <w:numId w:val="5"/>
              </w:num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天气恶劣的情况下，禁止施工；</w:t>
            </w:r>
          </w:p>
          <w:p w14:paraId="1689CFA9">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（2）重视对施工人员的管理和培训，尤其是提高</w:t>
            </w:r>
            <w:r>
              <w:rPr>
                <w:rFonts w:hint="default" w:ascii="Times New Roman" w:hAnsi="Times New Roman" w:cs="Times New Roman"/>
                <w:color w:val="auto"/>
                <w:sz w:val="24"/>
                <w:lang w:eastAsia="zh-CN"/>
              </w:rPr>
              <w:t>施工人员</w:t>
            </w:r>
            <w:r>
              <w:rPr>
                <w:rFonts w:hint="default" w:ascii="Times New Roman" w:hAnsi="Times New Roman" w:cs="Times New Roman"/>
                <w:color w:val="auto"/>
                <w:sz w:val="24"/>
              </w:rPr>
              <w:t>安全生产的高度责任感和责任心，增强对潜在事故风险的认识，提高实际操作应变能力，避免人为因素导致的风险事故；</w:t>
            </w:r>
          </w:p>
          <w:p w14:paraId="4A8D297E">
            <w:pPr>
              <w:pStyle w:val="37"/>
              <w:bidi w:val="0"/>
              <w:rPr>
                <w:rFonts w:hint="default" w:ascii="Times New Roman" w:hAnsi="Times New Roman" w:cs="Times New Roman"/>
                <w:color w:val="auto"/>
                <w:sz w:val="24"/>
              </w:rPr>
            </w:pPr>
            <w:r>
              <w:rPr>
                <w:rFonts w:hint="default" w:ascii="Times New Roman" w:hAnsi="Times New Roman" w:cs="Times New Roman"/>
                <w:color w:val="auto"/>
                <w:sz w:val="24"/>
              </w:rPr>
              <w:t>（3）配备一定数量的吸油毡、围油栏、消油剂，用于处理施工水域发生的</w:t>
            </w:r>
            <w:r>
              <w:rPr>
                <w:rFonts w:hint="default" w:ascii="Times New Roman" w:hAnsi="Times New Roman" w:cs="Times New Roman"/>
                <w:color w:val="auto"/>
                <w:sz w:val="24"/>
                <w:lang w:eastAsia="zh-CN"/>
              </w:rPr>
              <w:t>漏</w:t>
            </w:r>
            <w:r>
              <w:rPr>
                <w:rFonts w:hint="default" w:ascii="Times New Roman" w:hAnsi="Times New Roman" w:cs="Times New Roman"/>
                <w:color w:val="auto"/>
                <w:sz w:val="24"/>
              </w:rPr>
              <w:t>油事故。</w:t>
            </w:r>
          </w:p>
          <w:p w14:paraId="157FFB0B">
            <w:pPr>
              <w:adjustRightInd w:val="0"/>
              <w:snapToGrid w:val="0"/>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eastAsia="zh-CN"/>
              </w:rPr>
              <w:t>四、施工期</w:t>
            </w:r>
            <w:r>
              <w:rPr>
                <w:rFonts w:hint="default" w:ascii="Times New Roman" w:hAnsi="Times New Roman" w:eastAsia="宋体" w:cs="Times New Roman"/>
                <w:b/>
                <w:bCs/>
                <w:color w:val="auto"/>
                <w:sz w:val="24"/>
                <w:lang w:val="en-US" w:eastAsia="zh-CN"/>
              </w:rPr>
              <w:t>水土流失减缓措施</w:t>
            </w:r>
          </w:p>
          <w:p w14:paraId="5919F529">
            <w:pPr>
              <w:pStyle w:val="37"/>
              <w:numPr>
                <w:ilvl w:val="0"/>
                <w:numId w:val="0"/>
              </w:numPr>
              <w:bidi w:val="0"/>
              <w:ind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根据对主体工程的分析及水土保持的实际需要，项目采取的水土保持工程量为： </w:t>
            </w:r>
          </w:p>
          <w:p w14:paraId="2AF060E7">
            <w:pPr>
              <w:pStyle w:val="37"/>
              <w:numPr>
                <w:ilvl w:val="0"/>
                <w:numId w:val="0"/>
              </w:numPr>
              <w:bidi w:val="0"/>
              <w:ind w:left="0" w:leftChars="0"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工程措施：表土剥离0.99万m³。 </w:t>
            </w:r>
          </w:p>
          <w:p w14:paraId="23782B33">
            <w:pPr>
              <w:pStyle w:val="37"/>
              <w:numPr>
                <w:ilvl w:val="0"/>
                <w:numId w:val="0"/>
              </w:numPr>
              <w:bidi w:val="0"/>
              <w:ind w:left="0" w:leftChars="0" w:right="0" w:rightChars="0"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植物措施：撒播狗牙根32.76kg。 </w:t>
            </w:r>
          </w:p>
          <w:p w14:paraId="3BDEC540">
            <w:pPr>
              <w:pStyle w:val="37"/>
              <w:numPr>
                <w:ilvl w:val="0"/>
                <w:numId w:val="0"/>
              </w:numPr>
              <w:bidi w:val="0"/>
              <w:ind w:left="0" w:leftChars="0" w:right="0" w:rightChars="0" w:firstLine="480" w:firstLineChars="200"/>
              <w:rPr>
                <w:rFonts w:hint="default"/>
                <w:color w:val="auto"/>
                <w:lang w:val="en-US" w:eastAsia="zh-CN"/>
              </w:rPr>
            </w:pPr>
            <w:r>
              <w:rPr>
                <w:rFonts w:hint="eastAsia" w:ascii="Times New Roman" w:hAnsi="Times New Roman" w:eastAsia="宋体" w:cs="Times New Roman"/>
                <w:color w:val="auto"/>
                <w:lang w:val="en-US" w:eastAsia="zh-CN"/>
              </w:rPr>
              <w:t>临时措施：袋装土石临时拦挡填筑与拆除工程量为695m³。</w:t>
            </w:r>
          </w:p>
        </w:tc>
      </w:tr>
      <w:tr w14:paraId="0B53E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tcMar>
              <w:left w:w="28" w:type="dxa"/>
              <w:right w:w="28" w:type="dxa"/>
            </w:tcMar>
            <w:vAlign w:val="center"/>
          </w:tcPr>
          <w:p w14:paraId="5308D79E">
            <w:pPr>
              <w:adjustRightInd w:val="0"/>
              <w:snapToGrid w:val="0"/>
              <w:spacing w:line="240" w:lineRule="auto"/>
              <w:ind w:left="0" w:leftChars="0" w:firstLine="0" w:firstLineChars="0"/>
              <w:jc w:val="center"/>
              <w:rPr>
                <w:rFonts w:hint="default" w:ascii="Times New Roman" w:hAnsi="Times New Roman" w:cs="Times New Roman"/>
                <w:bCs/>
                <w:color w:val="auto"/>
                <w:spacing w:val="10"/>
                <w:sz w:val="24"/>
              </w:rPr>
            </w:pPr>
            <w:r>
              <w:rPr>
                <w:rFonts w:hint="default" w:ascii="Times New Roman" w:hAnsi="Times New Roman" w:cs="Times New Roman"/>
                <w:bCs/>
                <w:color w:val="auto"/>
                <w:spacing w:val="10"/>
                <w:sz w:val="24"/>
              </w:rPr>
              <w:t>运营期生态环境保护措施</w:t>
            </w:r>
          </w:p>
        </w:tc>
        <w:tc>
          <w:tcPr>
            <w:tcW w:w="4733" w:type="pct"/>
            <w:vAlign w:val="center"/>
          </w:tcPr>
          <w:p w14:paraId="025B6838">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本项目为防洪除涝工程，河道治理任务主要为</w:t>
            </w:r>
            <w:r>
              <w:rPr>
                <w:rFonts w:hint="eastAsia" w:ascii="Times New Roman" w:hAnsi="Times New Roman" w:eastAsia="宋体" w:cs="Times New Roman"/>
                <w:b w:val="0"/>
                <w:color w:val="auto"/>
                <w:kern w:val="0"/>
                <w:sz w:val="24"/>
                <w:szCs w:val="24"/>
                <w:lang w:val="en-US" w:eastAsia="zh-CN" w:bidi="ar-SA"/>
              </w:rPr>
              <w:t>护岸修建</w:t>
            </w:r>
            <w:r>
              <w:rPr>
                <w:rFonts w:hint="default" w:ascii="Times New Roman" w:hAnsi="Times New Roman" w:eastAsia="宋体" w:cs="Times New Roman"/>
                <w:b w:val="0"/>
                <w:color w:val="auto"/>
                <w:kern w:val="0"/>
                <w:sz w:val="24"/>
                <w:szCs w:val="24"/>
                <w:lang w:val="en-US" w:eastAsia="zh-CN" w:bidi="ar-SA"/>
              </w:rPr>
              <w:t>，其环境影响主要发生在施工期，施工期环境影响是短暂的，随施工结束而逐渐消失，随施工绿化和土地复垦等措施后将逐渐得到恢复。项目建设完成后，将不再产生废水、废气、噪声、固体废物等污染物，对周围环境的影响主要表现为对生态环境的有利影响。</w:t>
            </w:r>
          </w:p>
          <w:p w14:paraId="1123E4B5">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eastAsia="宋体"/>
                <w:color w:val="auto"/>
                <w:lang w:val="en-US" w:eastAsia="zh-CN"/>
              </w:rPr>
            </w:pPr>
            <w:r>
              <w:rPr>
                <w:rFonts w:hint="default" w:ascii="Times New Roman" w:hAnsi="Times New Roman" w:eastAsia="宋体" w:cs="Times New Roman"/>
                <w:b w:val="0"/>
                <w:color w:val="auto"/>
                <w:kern w:val="0"/>
                <w:sz w:val="24"/>
                <w:szCs w:val="24"/>
                <w:lang w:val="en-US" w:eastAsia="zh-CN" w:bidi="ar-SA"/>
              </w:rPr>
              <w:t>运行期应加强对工程栽培植物的管理与养护，保证成活率。在工程区内相隔一定距离需设立环保警示牌，严禁破坏区域生态环境。</w:t>
            </w:r>
          </w:p>
        </w:tc>
      </w:tr>
      <w:tr w14:paraId="3F862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266" w:type="pct"/>
            <w:vAlign w:val="center"/>
          </w:tcPr>
          <w:p w14:paraId="4E27448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其</w:t>
            </w:r>
          </w:p>
          <w:p w14:paraId="14D074B9">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bCs/>
                <w:color w:val="auto"/>
                <w:spacing w:val="10"/>
                <w:sz w:val="24"/>
              </w:rPr>
            </w:pPr>
            <w:r>
              <w:rPr>
                <w:rFonts w:hint="default" w:ascii="Times New Roman" w:hAnsi="Times New Roman" w:cs="Times New Roman"/>
                <w:bCs/>
                <w:color w:val="auto"/>
                <w:sz w:val="24"/>
              </w:rPr>
              <w:t>他</w:t>
            </w:r>
          </w:p>
        </w:tc>
        <w:tc>
          <w:tcPr>
            <w:tcW w:w="4733" w:type="pct"/>
            <w:vAlign w:val="center"/>
          </w:tcPr>
          <w:p w14:paraId="23796E13">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1、环境管理</w:t>
            </w:r>
          </w:p>
          <w:p w14:paraId="3B96071E">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项目环境管理是指建设单位、设计单位和施工单位在项目的初步设计、施工期和运营期必须遵守国家、云南省的有关环境保护法规、政策、标准，落实环境影响评价报告中拟定采取的减缓措施，并确保环境保护设施处于正常运行状态。</w:t>
            </w:r>
          </w:p>
          <w:p w14:paraId="59BF811D">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环境管理计划制定出机构的能力建设、执行各项防治措施的职责、实施进度、监测内容和报告程序，以及资金投入和来源等内容。在项目施工期和运营期，接受各级生态环境主管部门的监督和指导，完成对项目建设的</w:t>
            </w:r>
            <w:r>
              <w:rPr>
                <w:rFonts w:hint="eastAsia" w:ascii="Times New Roman" w:hAnsi="Times New Roman" w:eastAsia="宋体" w:cs="Times New Roman"/>
                <w:b w:val="0"/>
                <w:color w:val="auto"/>
                <w:kern w:val="0"/>
                <w:sz w:val="24"/>
                <w:szCs w:val="24"/>
                <w:lang w:val="en-US" w:eastAsia="zh-CN" w:bidi="ar-SA"/>
              </w:rPr>
              <w:t>“</w:t>
            </w:r>
            <w:r>
              <w:rPr>
                <w:rFonts w:hint="default" w:ascii="Times New Roman" w:hAnsi="Times New Roman" w:eastAsia="宋体" w:cs="Times New Roman"/>
                <w:b w:val="0"/>
                <w:color w:val="auto"/>
                <w:kern w:val="0"/>
                <w:sz w:val="24"/>
                <w:szCs w:val="24"/>
                <w:lang w:val="en-US" w:eastAsia="zh-CN" w:bidi="ar-SA"/>
              </w:rPr>
              <w:t>三同时</w:t>
            </w:r>
            <w:r>
              <w:rPr>
                <w:rFonts w:hint="eastAsia" w:ascii="Times New Roman" w:hAnsi="Times New Roman" w:eastAsia="宋体" w:cs="Times New Roman"/>
                <w:b w:val="0"/>
                <w:color w:val="auto"/>
                <w:kern w:val="0"/>
                <w:sz w:val="24"/>
                <w:szCs w:val="24"/>
                <w:lang w:val="en-US" w:eastAsia="zh-CN" w:bidi="ar-SA"/>
              </w:rPr>
              <w:t>”</w:t>
            </w:r>
            <w:r>
              <w:rPr>
                <w:rFonts w:hint="default" w:ascii="Times New Roman" w:hAnsi="Times New Roman" w:eastAsia="宋体" w:cs="Times New Roman"/>
                <w:b w:val="0"/>
                <w:color w:val="auto"/>
                <w:kern w:val="0"/>
                <w:sz w:val="24"/>
                <w:szCs w:val="24"/>
                <w:lang w:val="en-US" w:eastAsia="zh-CN" w:bidi="ar-SA"/>
              </w:rPr>
              <w:t>验收。</w:t>
            </w:r>
          </w:p>
          <w:p w14:paraId="04CDAACB">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本项目实行建设单位负责制，由建设单位委托设计及组织施工及建成后的运营管理。环境管理工作具体包括：编制本项目环境保护规划和计划，建立环境保护管理制度，同时负责向</w:t>
            </w:r>
            <w:r>
              <w:rPr>
                <w:rFonts w:hint="eastAsia" w:ascii="Times New Roman" w:hAnsi="Times New Roman" w:eastAsia="宋体" w:cs="Times New Roman"/>
                <w:b w:val="0"/>
                <w:color w:val="auto"/>
                <w:kern w:val="0"/>
                <w:sz w:val="24"/>
                <w:szCs w:val="24"/>
                <w:lang w:val="en-US" w:eastAsia="zh-CN" w:bidi="ar-SA"/>
              </w:rPr>
              <w:t>德宏州生态环境局芒市分局</w:t>
            </w:r>
            <w:r>
              <w:rPr>
                <w:rFonts w:hint="default" w:ascii="Times New Roman" w:hAnsi="Times New Roman" w:eastAsia="宋体" w:cs="Times New Roman"/>
                <w:b w:val="0"/>
                <w:color w:val="auto"/>
                <w:kern w:val="0"/>
                <w:sz w:val="24"/>
                <w:szCs w:val="24"/>
                <w:lang w:val="en-US" w:eastAsia="zh-CN" w:bidi="ar-SA"/>
              </w:rPr>
              <w:t>编报污染监测、生态恢复及环境指标考核报表，及时将</w:t>
            </w:r>
            <w:r>
              <w:rPr>
                <w:rFonts w:hint="eastAsia" w:ascii="Times New Roman" w:hAnsi="Times New Roman" w:eastAsia="宋体" w:cs="Times New Roman"/>
                <w:b w:val="0"/>
                <w:color w:val="auto"/>
                <w:kern w:val="0"/>
                <w:sz w:val="24"/>
                <w:szCs w:val="24"/>
                <w:lang w:val="en-US" w:eastAsia="zh-CN" w:bidi="ar-SA"/>
              </w:rPr>
              <w:t>芒市分局</w:t>
            </w:r>
            <w:r>
              <w:rPr>
                <w:rFonts w:hint="default" w:ascii="Times New Roman" w:hAnsi="Times New Roman" w:eastAsia="宋体" w:cs="Times New Roman"/>
                <w:b w:val="0"/>
                <w:color w:val="auto"/>
                <w:kern w:val="0"/>
                <w:sz w:val="24"/>
                <w:szCs w:val="24"/>
                <w:lang w:val="en-US" w:eastAsia="zh-CN" w:bidi="ar-SA"/>
              </w:rPr>
              <w:t>和上级部门的要求下达至具体实施部门并监督执行。</w:t>
            </w:r>
          </w:p>
          <w:p w14:paraId="184FB485">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环境管理内容：</w:t>
            </w:r>
          </w:p>
          <w:p w14:paraId="61D48879">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1）环境管理目标</w:t>
            </w:r>
          </w:p>
          <w:p w14:paraId="286D0F5E">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通过对项目的设计、施工、运行实行有力的环境管理，贯彻执行环保法规，正确处理发展生产和保护环境的关系，将项目可能造成的环境影响减小到最低程度，使项目排污达到相应标准，控制建设区域环境质量下降，确保工程项目实现社会、经济和环境效益的统一。</w:t>
            </w:r>
          </w:p>
          <w:p w14:paraId="6AE89597">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2）管理内容</w:t>
            </w:r>
          </w:p>
          <w:p w14:paraId="416B7E46">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项目环境管理包括对初步设计、施工、营运期实行全过程规划和管理。</w:t>
            </w:r>
          </w:p>
          <w:p w14:paraId="149D8F5E">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3）设计阶段</w:t>
            </w:r>
          </w:p>
          <w:p w14:paraId="319B913C">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在项目初步设计阶段，设计部门应将环境影响报告表中提出的环保措施列入设计和投资概算中，建设单位应对环保措施进行方案审查，及时提出修改意见。</w:t>
            </w:r>
          </w:p>
          <w:p w14:paraId="5C7846A6">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4）施工、设备招标阶段</w:t>
            </w:r>
          </w:p>
          <w:p w14:paraId="5ACD4A61">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在项目施工和设备招标阶段，建设单位应向承包商提出施工期和采购设备的环保要求，并列入招标内容。承包商应选择有较高资质，环保管理水平高、环保业绩好的单位。</w:t>
            </w:r>
          </w:p>
          <w:p w14:paraId="38B97009">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承包合同中应明确环境保护内容，中标后应编制详细的环保实施方案，并连同施工计划一起呈报项目经理部及有关环保部门，批准后方可实施。</w:t>
            </w:r>
          </w:p>
          <w:p w14:paraId="60884562">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5）施工阶段</w:t>
            </w:r>
          </w:p>
          <w:p w14:paraId="581F7074">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项目经理部门应对施工过程实施强有力的管理，保证按设计要求施工，防止因施工不当导致运行期出现环境问题，同时防止施工过程对环境产生不良影响。认真执行环境监理制度，聘请有资质的单位对工程施工进行监理。</w:t>
            </w:r>
          </w:p>
          <w:p w14:paraId="14D33EC8">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6）竣工验收阶段</w:t>
            </w:r>
          </w:p>
          <w:p w14:paraId="0BC0E703">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eastAsia" w:ascii="Times New Roman" w:hAnsi="Times New Roman" w:eastAsia="宋体" w:cs="Times New Roman"/>
                <w:b w:val="0"/>
                <w:color w:val="auto"/>
                <w:kern w:val="0"/>
                <w:sz w:val="24"/>
                <w:szCs w:val="24"/>
                <w:lang w:val="en-US" w:eastAsia="zh-CN" w:bidi="ar-SA"/>
              </w:rPr>
              <w:t>调查项目工程区域生态恢复情况，水土保持措施落实情况。施工迹地恢复情况</w:t>
            </w:r>
            <w:r>
              <w:rPr>
                <w:rFonts w:hint="default" w:ascii="Times New Roman" w:hAnsi="Times New Roman" w:eastAsia="宋体" w:cs="Times New Roman"/>
                <w:b w:val="0"/>
                <w:color w:val="auto"/>
                <w:kern w:val="0"/>
                <w:sz w:val="24"/>
                <w:szCs w:val="24"/>
                <w:lang w:val="en-US" w:eastAsia="zh-CN" w:bidi="ar-SA"/>
              </w:rPr>
              <w:t>。</w:t>
            </w:r>
          </w:p>
          <w:p w14:paraId="0FC20EB4">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本项目可能发生风险事故，结合自然条件、环境状况、地理位置等特点，借鉴</w:t>
            </w:r>
            <w:r>
              <w:rPr>
                <w:rFonts w:hint="eastAsia" w:ascii="Times New Roman" w:hAnsi="Times New Roman" w:eastAsia="宋体" w:cs="Times New Roman"/>
                <w:b w:val="0"/>
                <w:color w:val="auto"/>
                <w:kern w:val="0"/>
                <w:sz w:val="24"/>
                <w:szCs w:val="24"/>
                <w:lang w:val="en-US" w:eastAsia="zh-CN" w:bidi="ar-SA"/>
              </w:rPr>
              <w:t>其他类似</w:t>
            </w:r>
            <w:r>
              <w:rPr>
                <w:rFonts w:hint="default" w:ascii="Times New Roman" w:hAnsi="Times New Roman" w:eastAsia="宋体" w:cs="Times New Roman"/>
                <w:b w:val="0"/>
                <w:color w:val="auto"/>
                <w:kern w:val="0"/>
                <w:sz w:val="24"/>
                <w:szCs w:val="24"/>
                <w:lang w:val="en-US" w:eastAsia="zh-CN" w:bidi="ar-SA"/>
              </w:rPr>
              <w:t>工程的经验，制定本项目的风险处理方案和应急预案。</w:t>
            </w:r>
          </w:p>
          <w:p w14:paraId="1C23C804">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首先确定本项目的风险事故，通过正确区别和评价事故的危害，制定相应的应急措施，将风险影响降到最低程度，最大限度地保护当地农民及其财产、周围环境少受或不受影响。</w:t>
            </w:r>
          </w:p>
          <w:p w14:paraId="58DA1739">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2、环境监理</w:t>
            </w:r>
          </w:p>
          <w:p w14:paraId="4691377B">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1）大气</w:t>
            </w:r>
          </w:p>
          <w:p w14:paraId="43796A62">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重点监理</w:t>
            </w:r>
            <w:r>
              <w:rPr>
                <w:rFonts w:hint="eastAsia" w:ascii="Times New Roman" w:hAnsi="Times New Roman" w:eastAsia="宋体" w:cs="Times New Roman"/>
                <w:b w:val="0"/>
                <w:color w:val="auto"/>
                <w:kern w:val="0"/>
                <w:sz w:val="24"/>
                <w:szCs w:val="24"/>
                <w:lang w:val="en-US" w:eastAsia="zh-CN" w:bidi="ar-SA"/>
              </w:rPr>
              <w:t>施工扬尘</w:t>
            </w:r>
            <w:r>
              <w:rPr>
                <w:rFonts w:hint="default" w:ascii="Times New Roman" w:hAnsi="Times New Roman" w:eastAsia="宋体" w:cs="Times New Roman"/>
                <w:b w:val="0"/>
                <w:color w:val="auto"/>
                <w:kern w:val="0"/>
                <w:sz w:val="24"/>
                <w:szCs w:val="24"/>
                <w:lang w:val="en-US" w:eastAsia="zh-CN" w:bidi="ar-SA"/>
              </w:rPr>
              <w:t>是否达标。施工场地和沿线应定时洒水，粉状物料、开挖的土方堆放必须有苫布覆盖及洒水降尘，周围设封闭性围挡措施，运输车辆应完好，采取覆盖措施，减少沿途抛洒和扬尘，施工场地设置围栏，减小施工范围。</w:t>
            </w:r>
          </w:p>
          <w:p w14:paraId="504AF72B">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2）水环境</w:t>
            </w:r>
          </w:p>
          <w:p w14:paraId="7E14AA91">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重点监督施工废水的处置情况。</w:t>
            </w:r>
          </w:p>
          <w:p w14:paraId="3E02B35B">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3）声环境</w:t>
            </w:r>
          </w:p>
          <w:p w14:paraId="3D4EA3FF">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噪声监控的重点是</w:t>
            </w:r>
            <w:r>
              <w:rPr>
                <w:rFonts w:hint="eastAsia" w:ascii="Times New Roman" w:hAnsi="Times New Roman" w:eastAsia="宋体" w:cs="Times New Roman"/>
                <w:b w:val="0"/>
                <w:color w:val="auto"/>
                <w:kern w:val="0"/>
                <w:sz w:val="24"/>
                <w:szCs w:val="24"/>
                <w:lang w:val="en-US" w:eastAsia="zh-CN" w:bidi="ar-SA"/>
              </w:rPr>
              <w:t>临近</w:t>
            </w:r>
            <w:r>
              <w:rPr>
                <w:rFonts w:hint="default" w:ascii="Times New Roman" w:hAnsi="Times New Roman" w:eastAsia="宋体" w:cs="Times New Roman"/>
                <w:b w:val="0"/>
                <w:color w:val="auto"/>
                <w:kern w:val="0"/>
                <w:sz w:val="24"/>
                <w:szCs w:val="24"/>
                <w:lang w:val="en-US" w:eastAsia="zh-CN" w:bidi="ar-SA"/>
              </w:rPr>
              <w:t>居民点地段范围内施工机械噪声是否达标，合理配置施工设备，在邻近居民一侧设置移动声屏障，并实行严格施工时间限制，</w:t>
            </w:r>
            <w:r>
              <w:rPr>
                <w:rFonts w:hint="eastAsia" w:ascii="Times New Roman" w:hAnsi="Times New Roman" w:eastAsia="宋体" w:cs="Times New Roman"/>
                <w:b w:val="0"/>
                <w:color w:val="auto"/>
                <w:kern w:val="0"/>
                <w:sz w:val="24"/>
                <w:szCs w:val="24"/>
                <w:lang w:val="en-US" w:eastAsia="zh-CN" w:bidi="ar-SA"/>
              </w:rPr>
              <w:t>夜间禁止施工</w:t>
            </w:r>
            <w:r>
              <w:rPr>
                <w:rFonts w:hint="default" w:ascii="Times New Roman" w:hAnsi="Times New Roman" w:eastAsia="宋体" w:cs="Times New Roman"/>
                <w:b w:val="0"/>
                <w:color w:val="auto"/>
                <w:kern w:val="0"/>
                <w:sz w:val="24"/>
                <w:szCs w:val="24"/>
                <w:lang w:val="en-US" w:eastAsia="zh-CN" w:bidi="ar-SA"/>
              </w:rPr>
              <w:t>，以免影响周边居民的正常休息。</w:t>
            </w:r>
          </w:p>
          <w:p w14:paraId="1ABDC7BE">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4）固体废弃物</w:t>
            </w:r>
          </w:p>
          <w:p w14:paraId="1C7B4503">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重点监控</w:t>
            </w:r>
            <w:r>
              <w:rPr>
                <w:rFonts w:hint="eastAsia" w:ascii="Times New Roman" w:hAnsi="Times New Roman" w:eastAsia="宋体" w:cs="Times New Roman"/>
                <w:b w:val="0"/>
                <w:color w:val="auto"/>
                <w:kern w:val="0"/>
                <w:sz w:val="24"/>
                <w:szCs w:val="24"/>
                <w:lang w:val="en-US" w:eastAsia="zh-CN" w:bidi="ar-SA"/>
              </w:rPr>
              <w:t>临时表土、废弃土石方</w:t>
            </w:r>
            <w:r>
              <w:rPr>
                <w:rFonts w:hint="default" w:ascii="Times New Roman" w:hAnsi="Times New Roman" w:eastAsia="宋体" w:cs="Times New Roman"/>
                <w:b w:val="0"/>
                <w:color w:val="auto"/>
                <w:kern w:val="0"/>
                <w:sz w:val="24"/>
                <w:szCs w:val="24"/>
                <w:lang w:val="en-US" w:eastAsia="zh-CN" w:bidi="ar-SA"/>
              </w:rPr>
              <w:t>、</w:t>
            </w:r>
            <w:r>
              <w:rPr>
                <w:rFonts w:hint="eastAsia" w:ascii="Times New Roman" w:hAnsi="Times New Roman" w:eastAsia="宋体" w:cs="Times New Roman"/>
                <w:b w:val="0"/>
                <w:color w:val="auto"/>
                <w:kern w:val="0"/>
                <w:sz w:val="24"/>
                <w:szCs w:val="24"/>
                <w:lang w:val="en-US" w:eastAsia="zh-CN" w:bidi="ar-SA"/>
              </w:rPr>
              <w:t>施工建筑垃圾、</w:t>
            </w:r>
            <w:r>
              <w:rPr>
                <w:rFonts w:hint="default" w:ascii="Times New Roman" w:hAnsi="Times New Roman" w:eastAsia="宋体" w:cs="Times New Roman"/>
                <w:b w:val="0"/>
                <w:color w:val="auto"/>
                <w:kern w:val="0"/>
                <w:sz w:val="24"/>
                <w:szCs w:val="24"/>
                <w:lang w:val="en-US" w:eastAsia="zh-CN" w:bidi="ar-SA"/>
              </w:rPr>
              <w:t>生活垃圾等是否按照环评及批复的要求进行集中处理</w:t>
            </w:r>
            <w:r>
              <w:rPr>
                <w:rFonts w:hint="eastAsia" w:ascii="Times New Roman" w:hAnsi="Times New Roman" w:eastAsia="宋体" w:cs="Times New Roman"/>
                <w:b w:val="0"/>
                <w:color w:val="auto"/>
                <w:kern w:val="0"/>
                <w:sz w:val="24"/>
                <w:szCs w:val="24"/>
                <w:lang w:val="en-US" w:eastAsia="zh-CN" w:bidi="ar-SA"/>
              </w:rPr>
              <w:t>，处置率100%</w:t>
            </w:r>
            <w:r>
              <w:rPr>
                <w:rFonts w:hint="default" w:ascii="Times New Roman" w:hAnsi="Times New Roman" w:eastAsia="宋体" w:cs="Times New Roman"/>
                <w:b w:val="0"/>
                <w:color w:val="auto"/>
                <w:kern w:val="0"/>
                <w:sz w:val="24"/>
                <w:szCs w:val="24"/>
                <w:lang w:val="en-US" w:eastAsia="zh-CN" w:bidi="ar-SA"/>
              </w:rPr>
              <w:t>。</w:t>
            </w:r>
          </w:p>
          <w:p w14:paraId="6CD60591">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5）生态环境</w:t>
            </w:r>
          </w:p>
          <w:p w14:paraId="2A074863">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重点监控施工过程中是否严格控制施工作业范围(包括施工带宽度、 施工营地面积、</w:t>
            </w:r>
            <w:r>
              <w:rPr>
                <w:rFonts w:hint="eastAsia" w:ascii="Times New Roman" w:hAnsi="Times New Roman" w:eastAsia="宋体" w:cs="Times New Roman"/>
                <w:b w:val="0"/>
                <w:color w:val="auto"/>
                <w:kern w:val="0"/>
                <w:sz w:val="24"/>
                <w:szCs w:val="24"/>
                <w:lang w:val="en-US" w:eastAsia="zh-CN" w:bidi="ar-SA"/>
              </w:rPr>
              <w:t>临时</w:t>
            </w:r>
            <w:r>
              <w:rPr>
                <w:rFonts w:hint="default" w:ascii="Times New Roman" w:hAnsi="Times New Roman" w:eastAsia="宋体" w:cs="Times New Roman"/>
                <w:b w:val="0"/>
                <w:color w:val="auto"/>
                <w:kern w:val="0"/>
                <w:sz w:val="24"/>
                <w:szCs w:val="24"/>
                <w:lang w:val="en-US" w:eastAsia="zh-CN" w:bidi="ar-SA"/>
              </w:rPr>
              <w:t>施工道路长度和宽度），最大限度地减少对土壤和植被的扰动，并采取必要的临时挡护措施，表土分层开挖、分层堆放、覆盖保护，分层回填，并及时将原草皮移回，播撒适生草种。</w:t>
            </w:r>
          </w:p>
          <w:p w14:paraId="522A24CD">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3、环境监测计划</w:t>
            </w:r>
          </w:p>
          <w:p w14:paraId="34817491">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本项目环境监测计划主要分为施工期和运营期两部分。</w:t>
            </w:r>
          </w:p>
          <w:p w14:paraId="0CD5E6B1">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（1）施工期环境监测计划</w:t>
            </w:r>
          </w:p>
          <w:p w14:paraId="41688755">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施工期的环境监测主要是对作业场所的控制监测，主要监测对象包括植被、施工场地扬尘、施工废水和施工噪声等。对施工场地的控制监测可视当地的具体情况以及当地环保部门要求等情况确定。一般情况下，在沿线经过人群密集区施工应进行适当的噪声监测。施工期生态环境监测可委托当地环境监测单位组织实施，主要监测内容为项目工程建设所涉及的生态环境要素、生态环境问题、生态环保措施的落实情况，包括生态系统、动植物</w:t>
            </w:r>
            <w:r>
              <w:rPr>
                <w:rFonts w:hint="eastAsia" w:ascii="Times New Roman" w:hAnsi="Times New Roman" w:eastAsia="宋体" w:cs="Times New Roman"/>
                <w:b w:val="0"/>
                <w:color w:val="auto"/>
                <w:kern w:val="0"/>
                <w:sz w:val="24"/>
                <w:szCs w:val="24"/>
                <w:lang w:val="en-US" w:eastAsia="zh-CN" w:bidi="ar-SA"/>
              </w:rPr>
              <w:t>、水生生态</w:t>
            </w:r>
            <w:r>
              <w:rPr>
                <w:rFonts w:hint="default" w:ascii="Times New Roman" w:hAnsi="Times New Roman" w:eastAsia="宋体" w:cs="Times New Roman"/>
                <w:b w:val="0"/>
                <w:color w:val="auto"/>
                <w:kern w:val="0"/>
                <w:sz w:val="24"/>
                <w:szCs w:val="24"/>
                <w:lang w:val="en-US" w:eastAsia="zh-CN" w:bidi="ar-SA"/>
              </w:rPr>
              <w:t>等。</w:t>
            </w:r>
          </w:p>
          <w:p w14:paraId="4028F91B">
            <w:pPr>
              <w:pStyle w:val="32"/>
              <w:keepNext w:val="0"/>
              <w:keepLines w:val="0"/>
              <w:pageBreakBefore w:val="0"/>
              <w:widowControl w:val="0"/>
              <w:kinsoku/>
              <w:wordWrap/>
              <w:overflowPunct/>
              <w:topLinePunct w:val="0"/>
              <w:autoSpaceDE/>
              <w:autoSpaceDN/>
              <w:bidi w:val="0"/>
              <w:adjustRightInd w:val="0"/>
              <w:snapToGrid w:val="0"/>
              <w:spacing w:before="0" w:beforeLines="0" w:line="360" w:lineRule="auto"/>
              <w:jc w:val="both"/>
              <w:textAlignment w:val="baseline"/>
              <w:rPr>
                <w:rFonts w:hint="default" w:ascii="Times New Roman" w:hAnsi="Times New Roman" w:eastAsia="宋体" w:cs="Times New Roman"/>
                <w:b w:val="0"/>
                <w:color w:val="auto"/>
                <w:kern w:val="0"/>
                <w:sz w:val="24"/>
                <w:szCs w:val="24"/>
                <w:lang w:val="en-US" w:eastAsia="zh-CN" w:bidi="ar-SA"/>
              </w:rPr>
            </w:pPr>
            <w:r>
              <w:rPr>
                <w:rFonts w:hint="default" w:ascii="Times New Roman" w:hAnsi="Times New Roman" w:eastAsia="宋体" w:cs="Times New Roman"/>
                <w:b w:val="0"/>
                <w:color w:val="auto"/>
                <w:kern w:val="0"/>
                <w:sz w:val="24"/>
                <w:szCs w:val="24"/>
                <w:lang w:val="en-US" w:eastAsia="zh-CN" w:bidi="ar-SA"/>
              </w:rPr>
              <w:t>具体施工期环境监控计划见下表。</w:t>
            </w:r>
          </w:p>
          <w:p w14:paraId="5DCCCEDC">
            <w:pPr>
              <w:pStyle w:val="32"/>
              <w:keepNext w:val="0"/>
              <w:keepLines w:val="0"/>
              <w:pageBreakBefore w:val="0"/>
              <w:widowControl w:val="0"/>
              <w:kinsoku/>
              <w:wordWrap/>
              <w:overflowPunct/>
              <w:topLinePunct w:val="0"/>
              <w:autoSpaceDE/>
              <w:autoSpaceDN/>
              <w:bidi w:val="0"/>
              <w:adjustRightInd w:val="0"/>
              <w:snapToGrid w:val="0"/>
              <w:spacing w:before="0" w:beforeLines="0" w:line="24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rPr>
              <w:t>表 5-</w:t>
            </w:r>
            <w:r>
              <w:rPr>
                <w:rFonts w:hint="eastAsia" w:cs="Times New Roman"/>
                <w:color w:val="auto"/>
                <w:lang w:val="en-US" w:eastAsia="zh-CN"/>
              </w:rPr>
              <w:t>1</w:t>
            </w:r>
            <w:r>
              <w:rPr>
                <w:rFonts w:hint="default" w:ascii="Times New Roman" w:hAnsi="Times New Roman" w:cs="Times New Roman"/>
                <w:color w:val="auto"/>
              </w:rPr>
              <w:t xml:space="preserve"> 工程施工期环境监测计划</w:t>
            </w:r>
          </w:p>
          <w:tbl>
            <w:tblPr>
              <w:tblStyle w:val="23"/>
              <w:tblW w:w="77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3"/>
              <w:gridCol w:w="1660"/>
              <w:gridCol w:w="3006"/>
              <w:gridCol w:w="1094"/>
              <w:gridCol w:w="1314"/>
            </w:tblGrid>
            <w:tr w14:paraId="17581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683" w:type="dxa"/>
                  <w:shd w:val="clear" w:color="auto" w:fill="auto"/>
                  <w:vAlign w:val="center"/>
                </w:tcPr>
                <w:p w14:paraId="3C89F272">
                  <w:pPr>
                    <w:pStyle w:val="35"/>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b/>
                      <w:bCs/>
                      <w:color w:val="auto"/>
                      <w:sz w:val="21"/>
                      <w:szCs w:val="21"/>
                    </w:rPr>
                    <w:t>分类</w:t>
                  </w:r>
                </w:p>
              </w:tc>
              <w:tc>
                <w:tcPr>
                  <w:tcW w:w="1660" w:type="dxa"/>
                  <w:shd w:val="clear" w:color="auto" w:fill="auto"/>
                  <w:vAlign w:val="center"/>
                </w:tcPr>
                <w:p w14:paraId="3FBDE4E8">
                  <w:pPr>
                    <w:pStyle w:val="35"/>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b/>
                      <w:bCs/>
                      <w:color w:val="auto"/>
                      <w:sz w:val="21"/>
                      <w:szCs w:val="21"/>
                    </w:rPr>
                    <w:t>监测断面</w:t>
                  </w:r>
                </w:p>
              </w:tc>
              <w:tc>
                <w:tcPr>
                  <w:tcW w:w="3006" w:type="dxa"/>
                  <w:shd w:val="clear" w:color="auto" w:fill="auto"/>
                  <w:vAlign w:val="center"/>
                </w:tcPr>
                <w:p w14:paraId="5764BD4C">
                  <w:pPr>
                    <w:pStyle w:val="35"/>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b/>
                      <w:bCs/>
                      <w:color w:val="auto"/>
                      <w:sz w:val="21"/>
                      <w:szCs w:val="21"/>
                    </w:rPr>
                    <w:t>监测项目</w:t>
                  </w:r>
                </w:p>
              </w:tc>
              <w:tc>
                <w:tcPr>
                  <w:tcW w:w="1094" w:type="dxa"/>
                  <w:shd w:val="clear" w:color="auto" w:fill="auto"/>
                  <w:vAlign w:val="center"/>
                </w:tcPr>
                <w:p w14:paraId="2EB78AE2">
                  <w:pPr>
                    <w:pStyle w:val="35"/>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b/>
                      <w:bCs/>
                      <w:color w:val="auto"/>
                      <w:sz w:val="21"/>
                      <w:szCs w:val="21"/>
                    </w:rPr>
                    <w:t>监测时段</w:t>
                  </w:r>
                </w:p>
              </w:tc>
              <w:tc>
                <w:tcPr>
                  <w:tcW w:w="1314" w:type="dxa"/>
                  <w:shd w:val="clear" w:color="auto" w:fill="auto"/>
                  <w:vAlign w:val="center"/>
                </w:tcPr>
                <w:p w14:paraId="06D8EE2D">
                  <w:pPr>
                    <w:pStyle w:val="35"/>
                    <w:keepNext w:val="0"/>
                    <w:keepLines w:val="0"/>
                    <w:pageBreakBefore w:val="0"/>
                    <w:widowControl w:val="0"/>
                    <w:kinsoku/>
                    <w:wordWrap/>
                    <w:overflowPunct/>
                    <w:topLinePunct w:val="0"/>
                    <w:autoSpaceDE/>
                    <w:autoSpaceDN/>
                    <w:bidi w:val="0"/>
                    <w:adjustRightInd/>
                    <w:snapToGrid/>
                    <w:jc w:val="center"/>
                    <w:textAlignment w:val="auto"/>
                    <w:rPr>
                      <w:b/>
                      <w:bCs/>
                      <w:color w:val="auto"/>
                      <w:sz w:val="21"/>
                      <w:szCs w:val="21"/>
                    </w:rPr>
                  </w:pPr>
                  <w:r>
                    <w:rPr>
                      <w:b/>
                      <w:bCs/>
                      <w:color w:val="auto"/>
                      <w:sz w:val="21"/>
                      <w:szCs w:val="21"/>
                    </w:rPr>
                    <w:t>监测频次</w:t>
                  </w:r>
                </w:p>
              </w:tc>
            </w:tr>
            <w:tr w14:paraId="1AB7D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83" w:type="dxa"/>
                  <w:vMerge w:val="restart"/>
                  <w:shd w:val="clear" w:color="auto" w:fill="auto"/>
                  <w:vAlign w:val="center"/>
                </w:tcPr>
                <w:p w14:paraId="1F308670">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地表水水质监测</w:t>
                  </w:r>
                </w:p>
              </w:tc>
              <w:tc>
                <w:tcPr>
                  <w:tcW w:w="1660" w:type="dxa"/>
                  <w:vMerge w:val="restart"/>
                  <w:shd w:val="clear" w:color="auto" w:fill="auto"/>
                  <w:vAlign w:val="center"/>
                </w:tcPr>
                <w:p w14:paraId="5365C128">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lang w:eastAsia="zh-CN"/>
                    </w:rPr>
                    <w:t>芒市大河工程段</w:t>
                  </w:r>
                  <w:r>
                    <w:rPr>
                      <w:rFonts w:hint="eastAsia"/>
                      <w:color w:val="auto"/>
                      <w:sz w:val="21"/>
                      <w:szCs w:val="21"/>
                    </w:rPr>
                    <w:t>上下游各设1个监测断面，</w:t>
                  </w:r>
                  <w:r>
                    <w:rPr>
                      <w:rFonts w:hint="eastAsia"/>
                      <w:color w:val="auto"/>
                      <w:sz w:val="21"/>
                      <w:szCs w:val="21"/>
                      <w:lang w:eastAsia="zh-CN"/>
                    </w:rPr>
                    <w:t>与龙门沟汇入口</w:t>
                  </w:r>
                  <w:r>
                    <w:rPr>
                      <w:rFonts w:hint="eastAsia"/>
                      <w:color w:val="auto"/>
                      <w:sz w:val="21"/>
                      <w:szCs w:val="21"/>
                    </w:rPr>
                    <w:t>设1个监测断面，共计</w:t>
                  </w:r>
                  <w:r>
                    <w:rPr>
                      <w:rFonts w:hint="eastAsia"/>
                      <w:color w:val="auto"/>
                      <w:sz w:val="21"/>
                      <w:szCs w:val="21"/>
                      <w:lang w:val="en-US" w:eastAsia="zh-CN"/>
                    </w:rPr>
                    <w:t>3</w:t>
                  </w:r>
                  <w:r>
                    <w:rPr>
                      <w:rFonts w:hint="eastAsia"/>
                      <w:color w:val="auto"/>
                      <w:sz w:val="21"/>
                      <w:szCs w:val="21"/>
                    </w:rPr>
                    <w:t>个采样断面。</w:t>
                  </w:r>
                </w:p>
              </w:tc>
              <w:tc>
                <w:tcPr>
                  <w:tcW w:w="3006" w:type="dxa"/>
                  <w:vMerge w:val="restart"/>
                  <w:shd w:val="clear" w:color="auto" w:fill="auto"/>
                  <w:vAlign w:val="center"/>
                </w:tcPr>
                <w:p w14:paraId="1B06C343">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水温、pH、溶解氧、悬浮物、高锰酸盐指数、化学需氧量、BOD5、氨氮、总磷、总氮、石油类、粪大肠菌群</w:t>
                  </w:r>
                </w:p>
              </w:tc>
              <w:tc>
                <w:tcPr>
                  <w:tcW w:w="1094" w:type="dxa"/>
                  <w:vMerge w:val="restart"/>
                  <w:shd w:val="clear" w:color="auto" w:fill="auto"/>
                  <w:vAlign w:val="center"/>
                </w:tcPr>
                <w:p w14:paraId="678FDF2A">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施工高峰期</w:t>
                  </w:r>
                </w:p>
              </w:tc>
              <w:tc>
                <w:tcPr>
                  <w:tcW w:w="1314" w:type="dxa"/>
                  <w:vMerge w:val="restart"/>
                  <w:shd w:val="clear" w:color="auto" w:fill="auto"/>
                  <w:vAlign w:val="center"/>
                </w:tcPr>
                <w:p w14:paraId="2E77BB0D">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各1次，每次连续2天，每天采样两次</w:t>
                  </w:r>
                </w:p>
              </w:tc>
            </w:tr>
            <w:tr w14:paraId="2DFB7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683" w:type="dxa"/>
                  <w:vMerge w:val="continue"/>
                  <w:vAlign w:val="center"/>
                </w:tcPr>
                <w:p w14:paraId="2D5C7DE0">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660" w:type="dxa"/>
                  <w:vMerge w:val="continue"/>
                  <w:vAlign w:val="center"/>
                </w:tcPr>
                <w:p w14:paraId="13D4BAEA">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3006" w:type="dxa"/>
                  <w:vMerge w:val="continue"/>
                  <w:vAlign w:val="center"/>
                </w:tcPr>
                <w:p w14:paraId="0C8950D3">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094" w:type="dxa"/>
                  <w:vMerge w:val="continue"/>
                  <w:vAlign w:val="center"/>
                </w:tcPr>
                <w:p w14:paraId="1CF58870">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314" w:type="dxa"/>
                  <w:vMerge w:val="continue"/>
                  <w:vAlign w:val="center"/>
                </w:tcPr>
                <w:p w14:paraId="02E97D94">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r>
            <w:tr w14:paraId="37DE9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683" w:type="dxa"/>
                  <w:shd w:val="clear" w:color="auto" w:fill="auto"/>
                  <w:vAlign w:val="center"/>
                </w:tcPr>
                <w:p w14:paraId="393816CC">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大气环境监测</w:t>
                  </w:r>
                </w:p>
              </w:tc>
              <w:tc>
                <w:tcPr>
                  <w:tcW w:w="1660" w:type="dxa"/>
                  <w:vMerge w:val="restart"/>
                  <w:shd w:val="clear" w:color="auto" w:fill="auto"/>
                  <w:vAlign w:val="center"/>
                </w:tcPr>
                <w:p w14:paraId="1949819D">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default" w:ascii="Times New Roman" w:hAnsi="Times New Roman" w:eastAsia="宋体" w:cs="Times New Roman"/>
                      <w:spacing w:val="6"/>
                      <w:sz w:val="21"/>
                      <w:szCs w:val="21"/>
                      <w:lang w:val="en-US" w:eastAsia="zh-CN"/>
                    </w:rPr>
                    <w:t>新寨、木康、帕良、洞坎、大湾村</w:t>
                  </w:r>
                </w:p>
              </w:tc>
              <w:tc>
                <w:tcPr>
                  <w:tcW w:w="3006" w:type="dxa"/>
                  <w:shd w:val="clear" w:color="auto" w:fill="auto"/>
                  <w:vAlign w:val="center"/>
                </w:tcPr>
                <w:p w14:paraId="6FE7EF51">
                  <w:pPr>
                    <w:pStyle w:val="35"/>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TSP</w:t>
                  </w:r>
                </w:p>
              </w:tc>
              <w:tc>
                <w:tcPr>
                  <w:tcW w:w="1094" w:type="dxa"/>
                  <w:vMerge w:val="continue"/>
                  <w:vAlign w:val="center"/>
                </w:tcPr>
                <w:p w14:paraId="55F933E5">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314" w:type="dxa"/>
                  <w:shd w:val="clear" w:color="auto" w:fill="auto"/>
                  <w:vAlign w:val="center"/>
                </w:tcPr>
                <w:p w14:paraId="6330A55E">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color w:val="auto"/>
                      <w:sz w:val="21"/>
                      <w:szCs w:val="21"/>
                    </w:rPr>
                    <w:t>各1次</w:t>
                  </w:r>
                  <w:r>
                    <w:rPr>
                      <w:rFonts w:hint="eastAsia"/>
                      <w:color w:val="auto"/>
                      <w:sz w:val="21"/>
                      <w:szCs w:val="21"/>
                      <w:lang w:val="en-US" w:eastAsia="zh-CN"/>
                    </w:rPr>
                    <w:t>,</w:t>
                  </w:r>
                  <w:r>
                    <w:rPr>
                      <w:rFonts w:hint="eastAsia"/>
                      <w:color w:val="auto"/>
                      <w:sz w:val="21"/>
                      <w:szCs w:val="21"/>
                    </w:rPr>
                    <w:t>连续监测2</w:t>
                  </w:r>
                  <w:r>
                    <w:rPr>
                      <w:rFonts w:hint="eastAsia"/>
                      <w:color w:val="auto"/>
                      <w:sz w:val="21"/>
                      <w:szCs w:val="21"/>
                      <w:lang w:eastAsia="zh-CN"/>
                    </w:rPr>
                    <w:t>天</w:t>
                  </w:r>
                </w:p>
              </w:tc>
            </w:tr>
            <w:tr w14:paraId="088B3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683" w:type="dxa"/>
                  <w:shd w:val="clear" w:color="auto" w:fill="auto"/>
                  <w:vAlign w:val="center"/>
                </w:tcPr>
                <w:p w14:paraId="66FCAE6E">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声环境监测</w:t>
                  </w:r>
                </w:p>
              </w:tc>
              <w:tc>
                <w:tcPr>
                  <w:tcW w:w="1660" w:type="dxa"/>
                  <w:vMerge w:val="continue"/>
                  <w:vAlign w:val="center"/>
                </w:tcPr>
                <w:p w14:paraId="0BF402BC">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3006" w:type="dxa"/>
                  <w:shd w:val="clear" w:color="auto" w:fill="auto"/>
                  <w:vAlign w:val="center"/>
                </w:tcPr>
                <w:p w14:paraId="52469009">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噪声</w:t>
                  </w:r>
                </w:p>
              </w:tc>
              <w:tc>
                <w:tcPr>
                  <w:tcW w:w="1094" w:type="dxa"/>
                  <w:vMerge w:val="continue"/>
                  <w:vAlign w:val="center"/>
                </w:tcPr>
                <w:p w14:paraId="479D7598">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p>
              </w:tc>
              <w:tc>
                <w:tcPr>
                  <w:tcW w:w="1314" w:type="dxa"/>
                  <w:shd w:val="clear" w:color="auto" w:fill="auto"/>
                  <w:vAlign w:val="center"/>
                </w:tcPr>
                <w:p w14:paraId="786BF063">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各1次</w:t>
                  </w:r>
                  <w:r>
                    <w:rPr>
                      <w:rFonts w:hint="eastAsia"/>
                      <w:color w:val="auto"/>
                      <w:sz w:val="21"/>
                      <w:szCs w:val="21"/>
                      <w:lang w:eastAsia="zh-CN"/>
                    </w:rPr>
                    <w:t>，</w:t>
                  </w:r>
                  <w:r>
                    <w:rPr>
                      <w:rFonts w:hint="eastAsia"/>
                      <w:color w:val="auto"/>
                      <w:sz w:val="21"/>
                      <w:szCs w:val="21"/>
                    </w:rPr>
                    <w:t>连续监测2天，每天昼夜各1次</w:t>
                  </w:r>
                </w:p>
              </w:tc>
            </w:tr>
            <w:tr w14:paraId="5CF8A4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683" w:type="dxa"/>
                  <w:vMerge w:val="restart"/>
                  <w:shd w:val="clear" w:color="auto" w:fill="auto"/>
                  <w:vAlign w:val="center"/>
                </w:tcPr>
                <w:p w14:paraId="15928EE7">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eastAsia="zh-CN"/>
                    </w:rPr>
                    <w:t>生态调查与观测</w:t>
                  </w:r>
                </w:p>
              </w:tc>
              <w:tc>
                <w:tcPr>
                  <w:tcW w:w="1660" w:type="dxa"/>
                  <w:vAlign w:val="center"/>
                </w:tcPr>
                <w:p w14:paraId="14F33355">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eastAsia="zh-CN"/>
                    </w:rPr>
                    <w:t>水生生态</w:t>
                  </w:r>
                </w:p>
              </w:tc>
              <w:tc>
                <w:tcPr>
                  <w:tcW w:w="3006" w:type="dxa"/>
                  <w:shd w:val="clear" w:color="auto" w:fill="auto"/>
                  <w:vAlign w:val="center"/>
                </w:tcPr>
                <w:p w14:paraId="1F65267B">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eastAsia="zh-CN"/>
                    </w:rPr>
                    <w:t>调查内容：</w:t>
                  </w:r>
                  <w:r>
                    <w:rPr>
                      <w:rFonts w:hint="eastAsia"/>
                      <w:color w:val="auto"/>
                      <w:sz w:val="21"/>
                      <w:szCs w:val="21"/>
                    </w:rPr>
                    <w:t>陆生动植物区系组成、分布及其特点、种群数量、生物多样性（含物种多样性、生境多样性）的变化，植被恢复措施执行情况等</w:t>
                  </w:r>
                  <w:r>
                    <w:rPr>
                      <w:rFonts w:hint="eastAsia"/>
                      <w:color w:val="auto"/>
                      <w:sz w:val="21"/>
                      <w:szCs w:val="21"/>
                      <w:lang w:eastAsia="zh-CN"/>
                    </w:rPr>
                    <w:t>。</w:t>
                  </w:r>
                </w:p>
              </w:tc>
              <w:tc>
                <w:tcPr>
                  <w:tcW w:w="1094" w:type="dxa"/>
                  <w:vAlign w:val="center"/>
                </w:tcPr>
                <w:p w14:paraId="2EA0CD5F">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eastAsia="zh-CN"/>
                    </w:rPr>
                    <w:t>调查范围：河道治理工程沿线</w:t>
                  </w:r>
                  <w:r>
                    <w:rPr>
                      <w:rFonts w:hint="eastAsia"/>
                      <w:color w:val="auto"/>
                      <w:sz w:val="21"/>
                      <w:szCs w:val="21"/>
                      <w:lang w:val="en-US" w:eastAsia="zh-CN"/>
                    </w:rPr>
                    <w:t>3</w:t>
                  </w:r>
                  <w:r>
                    <w:rPr>
                      <w:rFonts w:hint="eastAsia"/>
                      <w:color w:val="auto"/>
                      <w:sz w:val="21"/>
                      <w:szCs w:val="21"/>
                      <w:lang w:eastAsia="zh-CN"/>
                    </w:rPr>
                    <w:t>00m范围内。</w:t>
                  </w:r>
                </w:p>
              </w:tc>
              <w:tc>
                <w:tcPr>
                  <w:tcW w:w="1314" w:type="dxa"/>
                  <w:shd w:val="clear" w:color="auto" w:fill="auto"/>
                  <w:vAlign w:val="center"/>
                </w:tcPr>
                <w:p w14:paraId="45F12B31">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lang w:eastAsia="zh-CN"/>
                    </w:rPr>
                    <w:t>工程施工前、完工后各调查1次。</w:t>
                  </w:r>
                </w:p>
              </w:tc>
            </w:tr>
            <w:tr w14:paraId="7ED02D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1" w:hRule="atLeast"/>
                <w:jc w:val="center"/>
              </w:trPr>
              <w:tc>
                <w:tcPr>
                  <w:tcW w:w="683" w:type="dxa"/>
                  <w:vMerge w:val="continue"/>
                  <w:shd w:val="clear" w:color="auto" w:fill="auto"/>
                  <w:vAlign w:val="center"/>
                </w:tcPr>
                <w:p w14:paraId="6E238B38">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eastAsia="zh-CN"/>
                    </w:rPr>
                  </w:pPr>
                </w:p>
              </w:tc>
              <w:tc>
                <w:tcPr>
                  <w:tcW w:w="1660" w:type="dxa"/>
                  <w:vAlign w:val="center"/>
                </w:tcPr>
                <w:p w14:paraId="320D5740">
                  <w:pPr>
                    <w:pStyle w:val="35"/>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eastAsia="zh-CN"/>
                    </w:rPr>
                    <w:t>陆生生态</w:t>
                  </w:r>
                </w:p>
              </w:tc>
              <w:tc>
                <w:tcPr>
                  <w:tcW w:w="3006" w:type="dxa"/>
                  <w:shd w:val="clear" w:color="auto" w:fill="auto"/>
                  <w:vAlign w:val="center"/>
                </w:tcPr>
                <w:p w14:paraId="61E3AACE">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调查内容：包括浮游植物、浮游动物、底栖动物等水生生物的种群结构、生物量及分布情况；鱼类的种类组成、种群结构、资源量等。</w:t>
                  </w:r>
                </w:p>
              </w:tc>
              <w:tc>
                <w:tcPr>
                  <w:tcW w:w="1094" w:type="dxa"/>
                  <w:vAlign w:val="center"/>
                </w:tcPr>
                <w:p w14:paraId="2906E603">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调查范围：</w:t>
                  </w:r>
                  <w:r>
                    <w:rPr>
                      <w:rFonts w:hint="eastAsia"/>
                      <w:color w:val="auto"/>
                      <w:sz w:val="21"/>
                      <w:szCs w:val="21"/>
                      <w:lang w:eastAsia="zh-CN"/>
                    </w:rPr>
                    <w:t>芒市大河</w:t>
                  </w:r>
                  <w:r>
                    <w:rPr>
                      <w:rFonts w:hint="eastAsia"/>
                      <w:color w:val="auto"/>
                      <w:sz w:val="21"/>
                      <w:szCs w:val="21"/>
                    </w:rPr>
                    <w:t>河道治理工程沿线。</w:t>
                  </w:r>
                </w:p>
              </w:tc>
              <w:tc>
                <w:tcPr>
                  <w:tcW w:w="1314" w:type="dxa"/>
                  <w:shd w:val="clear" w:color="auto" w:fill="auto"/>
                  <w:vAlign w:val="center"/>
                </w:tcPr>
                <w:p w14:paraId="347FF827">
                  <w:pPr>
                    <w:pStyle w:val="35"/>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工程施工前、完工后各调查1次。</w:t>
                  </w:r>
                </w:p>
              </w:tc>
            </w:tr>
          </w:tbl>
          <w:p w14:paraId="425CB309">
            <w:pPr>
              <w:adjustRightInd w:val="0"/>
              <w:snapToGrid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建设单位委托有资质的环境监测单位对施工场地所在区域的环境质量现状进行现场监测，委托有资质的环境监理单位对施工场地固体废物处置情况进行随机抽查，施工期环境监测及监理工作由所在区域生态环境局进行监督。</w:t>
            </w:r>
          </w:p>
          <w:p w14:paraId="49DA97AC">
            <w:pPr>
              <w:adjustRightInd w:val="0"/>
              <w:snapToGrid w:val="0"/>
              <w:spacing w:line="360" w:lineRule="auto"/>
              <w:jc w:val="center"/>
              <w:rPr>
                <w:rFonts w:hint="eastAsia" w:ascii="Times New Roman" w:hAnsi="Times New Roman" w:eastAsia="宋体" w:cs="Times New Roman"/>
                <w:bCs/>
                <w:color w:val="auto"/>
                <w:spacing w:val="10"/>
                <w:sz w:val="24"/>
                <w:lang w:eastAsia="zh-CN"/>
              </w:rPr>
            </w:pPr>
          </w:p>
        </w:tc>
      </w:tr>
      <w:tr w14:paraId="68295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0" w:hRule="atLeast"/>
          <w:jc w:val="center"/>
        </w:trPr>
        <w:tc>
          <w:tcPr>
            <w:tcW w:w="266" w:type="pct"/>
            <w:vAlign w:val="center"/>
          </w:tcPr>
          <w:p w14:paraId="381789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Cs/>
                <w:color w:val="auto"/>
                <w:spacing w:val="10"/>
              </w:rPr>
            </w:pPr>
            <w:r>
              <w:rPr>
                <w:rFonts w:hint="default"/>
                <w:color w:val="auto"/>
              </w:rPr>
              <w:t>环保投资</w:t>
            </w:r>
          </w:p>
        </w:tc>
        <w:tc>
          <w:tcPr>
            <w:tcW w:w="4733" w:type="pct"/>
          </w:tcPr>
          <w:p w14:paraId="754ACABF">
            <w:pPr>
              <w:autoSpaceDE w:val="0"/>
              <w:autoSpaceDN w:val="0"/>
              <w:spacing w:line="360" w:lineRule="auto"/>
              <w:ind w:firstLine="480" w:firstLineChars="200"/>
              <w:rPr>
                <w:rFonts w:ascii="Times New Roman" w:hAnsi="Times New Roman" w:eastAsia="宋体"/>
                <w:b/>
                <w:color w:val="FF0000"/>
                <w:sz w:val="28"/>
                <w:szCs w:val="28"/>
              </w:rPr>
            </w:pPr>
            <w:r>
              <w:rPr>
                <w:rFonts w:hint="eastAsia" w:ascii="Times New Roman" w:hAnsi="Times New Roman" w:eastAsia="宋体" w:cs="Times New Roman"/>
                <w:color w:val="auto"/>
                <w:sz w:val="24"/>
                <w:lang w:bidi="ar"/>
              </w:rPr>
              <w:t>环境保护投资内容包括：施工期生产生活废水净化处理措施费，用于购买化学净水剂和建沉淀池；施工期间粉尘、噪声防治费，主要用于购买</w:t>
            </w:r>
            <w:r>
              <w:rPr>
                <w:rFonts w:hint="eastAsia" w:ascii="Times New Roman" w:hAnsi="Times New Roman" w:eastAsia="宋体" w:cs="Times New Roman"/>
                <w:color w:val="auto"/>
                <w:sz w:val="24"/>
                <w:lang w:eastAsia="zh-CN" w:bidi="ar"/>
              </w:rPr>
              <w:t>佩戴</w:t>
            </w:r>
            <w:r>
              <w:rPr>
                <w:rFonts w:hint="eastAsia" w:ascii="Times New Roman" w:hAnsi="Times New Roman" w:eastAsia="宋体" w:cs="Times New Roman"/>
                <w:color w:val="auto"/>
                <w:sz w:val="24"/>
                <w:lang w:bidi="ar"/>
              </w:rPr>
              <w:t>的防尘罩、耳塞和防声头盔等。</w:t>
            </w:r>
            <w:r>
              <w:rPr>
                <w:rFonts w:hint="default" w:ascii="Times New Roman" w:hAnsi="Times New Roman" w:eastAsia="宋体" w:cs="Times New Roman"/>
                <w:color w:val="auto"/>
                <w:sz w:val="24"/>
                <w:lang w:bidi="ar"/>
              </w:rPr>
              <w:t>项目总投资</w:t>
            </w:r>
            <w:r>
              <w:rPr>
                <w:rFonts w:hint="default" w:ascii="Times New Roman" w:hAnsi="Times New Roman" w:eastAsia="宋体" w:cs="Times New Roman"/>
                <w:color w:val="auto"/>
                <w:sz w:val="24"/>
                <w:lang w:val="en-US" w:eastAsia="zh-CN" w:bidi="ar"/>
              </w:rPr>
              <w:t>854.</w:t>
            </w:r>
            <w:r>
              <w:rPr>
                <w:rFonts w:hint="eastAsia" w:ascii="Times New Roman" w:hAnsi="Times New Roman" w:eastAsia="宋体" w:cs="Times New Roman"/>
                <w:color w:val="auto"/>
                <w:sz w:val="24"/>
                <w:lang w:val="en-US" w:eastAsia="zh-CN" w:bidi="ar"/>
              </w:rPr>
              <w:t>6</w:t>
            </w:r>
            <w:r>
              <w:rPr>
                <w:rFonts w:hint="default" w:ascii="Times New Roman" w:hAnsi="Times New Roman" w:eastAsia="宋体" w:cs="Times New Roman"/>
                <w:color w:val="auto"/>
                <w:sz w:val="24"/>
                <w:lang w:bidi="ar"/>
              </w:rPr>
              <w:t>万元，其中环保投资</w:t>
            </w:r>
            <w:r>
              <w:rPr>
                <w:rFonts w:hint="eastAsia" w:ascii="Times New Roman" w:hAnsi="Times New Roman" w:eastAsia="宋体" w:cs="Times New Roman"/>
                <w:color w:val="auto"/>
                <w:sz w:val="24"/>
                <w:lang w:val="en-US" w:eastAsia="zh-CN" w:bidi="ar"/>
              </w:rPr>
              <w:t>26</w:t>
            </w:r>
            <w:r>
              <w:rPr>
                <w:rFonts w:hint="default" w:ascii="Times New Roman" w:hAnsi="Times New Roman" w:eastAsia="宋体" w:cs="Times New Roman"/>
                <w:color w:val="auto"/>
                <w:sz w:val="24"/>
                <w:lang w:bidi="ar"/>
              </w:rPr>
              <w:t>万元，</w:t>
            </w:r>
            <w:r>
              <w:rPr>
                <w:rFonts w:hint="eastAsia" w:ascii="Times New Roman" w:hAnsi="Times New Roman" w:eastAsia="宋体" w:cs="Times New Roman"/>
                <w:color w:val="auto"/>
                <w:sz w:val="24"/>
                <w:lang w:bidi="ar"/>
              </w:rPr>
              <w:t>环保投资</w:t>
            </w:r>
            <w:r>
              <w:rPr>
                <w:rFonts w:hint="default" w:ascii="Times New Roman" w:hAnsi="Times New Roman" w:eastAsia="宋体" w:cs="Times New Roman"/>
                <w:color w:val="auto"/>
                <w:sz w:val="24"/>
                <w:lang w:bidi="ar"/>
              </w:rPr>
              <w:t>占总投资</w:t>
            </w:r>
            <w:r>
              <w:rPr>
                <w:rFonts w:hint="eastAsia" w:ascii="Times New Roman" w:hAnsi="Times New Roman" w:eastAsia="宋体" w:cs="Times New Roman"/>
                <w:color w:val="auto"/>
                <w:sz w:val="24"/>
                <w:lang w:bidi="ar"/>
              </w:rPr>
              <w:t>的</w:t>
            </w:r>
            <w:r>
              <w:rPr>
                <w:rFonts w:hint="eastAsia" w:ascii="Times New Roman" w:hAnsi="Times New Roman" w:eastAsia="宋体" w:cs="Times New Roman"/>
                <w:color w:val="auto"/>
                <w:sz w:val="24"/>
                <w:lang w:val="en-US" w:eastAsia="zh-CN" w:bidi="ar"/>
              </w:rPr>
              <w:t>3.04</w:t>
            </w:r>
            <w:r>
              <w:rPr>
                <w:rFonts w:hint="default" w:ascii="Times New Roman" w:hAnsi="Times New Roman" w:eastAsia="宋体" w:cs="Times New Roman"/>
                <w:color w:val="auto"/>
                <w:sz w:val="24"/>
                <w:lang w:bidi="ar"/>
              </w:rPr>
              <w:t>%。环保投资分项估算见表</w:t>
            </w:r>
            <w:r>
              <w:rPr>
                <w:rFonts w:hint="eastAsia" w:ascii="Times New Roman" w:hAnsi="Times New Roman" w:eastAsia="宋体" w:cs="Times New Roman"/>
                <w:color w:val="auto"/>
                <w:sz w:val="24"/>
                <w:lang w:val="en-US" w:eastAsia="zh-CN" w:bidi="ar"/>
              </w:rPr>
              <w:t>5-2</w:t>
            </w:r>
            <w:r>
              <w:rPr>
                <w:rFonts w:hint="default" w:ascii="Times New Roman" w:hAnsi="Times New Roman" w:eastAsia="宋体" w:cs="Times New Roman"/>
                <w:color w:val="auto"/>
                <w:sz w:val="24"/>
                <w:lang w:bidi="ar"/>
              </w:rPr>
              <w:t>。</w:t>
            </w:r>
          </w:p>
          <w:p w14:paraId="04924DAA">
            <w:pPr>
              <w:pStyle w:val="32"/>
              <w:bidi w:val="0"/>
              <w:spacing w:line="240" w:lineRule="auto"/>
              <w:rPr>
                <w:rFonts w:hint="default"/>
                <w:color w:val="auto"/>
                <w:lang w:val="en-US" w:eastAsia="zh-CN"/>
              </w:rPr>
            </w:pPr>
            <w:r>
              <w:rPr>
                <w:rFonts w:hint="eastAsia"/>
                <w:color w:val="auto"/>
                <w:lang w:eastAsia="zh-CN"/>
              </w:rPr>
              <w:t>表</w:t>
            </w:r>
            <w:r>
              <w:rPr>
                <w:rFonts w:hint="eastAsia"/>
                <w:color w:val="auto"/>
                <w:lang w:val="en-US" w:eastAsia="zh-CN"/>
              </w:rPr>
              <w:t>5-2 环保投资一览表（单位：万元）</w:t>
            </w:r>
          </w:p>
          <w:tbl>
            <w:tblPr>
              <w:tblStyle w:val="24"/>
              <w:tblW w:w="78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084"/>
              <w:gridCol w:w="3360"/>
              <w:gridCol w:w="1455"/>
              <w:gridCol w:w="1421"/>
            </w:tblGrid>
            <w:tr w14:paraId="29D57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531" w:type="dxa"/>
                  <w:tcBorders>
                    <w:tl2br w:val="nil"/>
                    <w:tr2bl w:val="nil"/>
                  </w:tcBorders>
                  <w:noWrap w:val="0"/>
                  <w:vAlign w:val="center"/>
                </w:tcPr>
                <w:p w14:paraId="39F3EE3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时段</w:t>
                  </w:r>
                </w:p>
              </w:tc>
              <w:tc>
                <w:tcPr>
                  <w:tcW w:w="1084" w:type="dxa"/>
                  <w:tcBorders>
                    <w:tl2br w:val="nil"/>
                    <w:tr2bl w:val="nil"/>
                  </w:tcBorders>
                  <w:noWrap w:val="0"/>
                  <w:vAlign w:val="center"/>
                </w:tcPr>
                <w:p w14:paraId="518001B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污染因素</w:t>
                  </w:r>
                </w:p>
              </w:tc>
              <w:tc>
                <w:tcPr>
                  <w:tcW w:w="3360" w:type="dxa"/>
                  <w:tcBorders>
                    <w:tl2br w:val="nil"/>
                    <w:tr2bl w:val="nil"/>
                  </w:tcBorders>
                  <w:noWrap w:val="0"/>
                  <w:vAlign w:val="center"/>
                </w:tcPr>
                <w:p w14:paraId="531D7C2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治理措施</w:t>
                  </w:r>
                </w:p>
              </w:tc>
              <w:tc>
                <w:tcPr>
                  <w:tcW w:w="1455" w:type="dxa"/>
                  <w:tcBorders>
                    <w:tl2br w:val="nil"/>
                    <w:tr2bl w:val="nil"/>
                  </w:tcBorders>
                  <w:noWrap w:val="0"/>
                  <w:vAlign w:val="center"/>
                </w:tcPr>
                <w:p w14:paraId="579B8CE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投资估算</w:t>
                  </w:r>
                </w:p>
              </w:tc>
              <w:tc>
                <w:tcPr>
                  <w:tcW w:w="1421" w:type="dxa"/>
                  <w:tcBorders>
                    <w:tl2br w:val="nil"/>
                    <w:tr2bl w:val="nil"/>
                  </w:tcBorders>
                  <w:noWrap w:val="0"/>
                  <w:vAlign w:val="center"/>
                </w:tcPr>
                <w:p w14:paraId="3803EC9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备注</w:t>
                  </w:r>
                </w:p>
              </w:tc>
            </w:tr>
            <w:tr w14:paraId="3B565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31" w:type="dxa"/>
                  <w:vMerge w:val="restart"/>
                  <w:tcBorders>
                    <w:tl2br w:val="nil"/>
                    <w:tr2bl w:val="nil"/>
                  </w:tcBorders>
                  <w:noWrap w:val="0"/>
                  <w:vAlign w:val="center"/>
                </w:tcPr>
                <w:p w14:paraId="5527D50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施工期</w:t>
                  </w:r>
                </w:p>
              </w:tc>
              <w:tc>
                <w:tcPr>
                  <w:tcW w:w="1084" w:type="dxa"/>
                  <w:vMerge w:val="restart"/>
                  <w:tcBorders>
                    <w:tl2br w:val="nil"/>
                    <w:tr2bl w:val="nil"/>
                  </w:tcBorders>
                  <w:noWrap w:val="0"/>
                  <w:vAlign w:val="center"/>
                </w:tcPr>
                <w:p w14:paraId="72B75E1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废气</w:t>
                  </w:r>
                </w:p>
              </w:tc>
              <w:tc>
                <w:tcPr>
                  <w:tcW w:w="3360" w:type="dxa"/>
                  <w:tcBorders>
                    <w:tl2br w:val="nil"/>
                    <w:tr2bl w:val="nil"/>
                  </w:tcBorders>
                  <w:noWrap w:val="0"/>
                  <w:vAlign w:val="center"/>
                </w:tcPr>
                <w:p w14:paraId="0AFE9AB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运输过程中采用防尘布遮盖</w:t>
                  </w:r>
                </w:p>
              </w:tc>
              <w:tc>
                <w:tcPr>
                  <w:tcW w:w="1455" w:type="dxa"/>
                  <w:tcBorders>
                    <w:tl2br w:val="nil"/>
                    <w:tr2bl w:val="nil"/>
                  </w:tcBorders>
                  <w:noWrap w:val="0"/>
                  <w:vAlign w:val="center"/>
                </w:tcPr>
                <w:p w14:paraId="76D9871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0.3</w:t>
                  </w:r>
                </w:p>
              </w:tc>
              <w:tc>
                <w:tcPr>
                  <w:tcW w:w="1421" w:type="dxa"/>
                  <w:tcBorders>
                    <w:tl2br w:val="nil"/>
                    <w:tr2bl w:val="nil"/>
                  </w:tcBorders>
                  <w:noWrap w:val="0"/>
                  <w:vAlign w:val="center"/>
                </w:tcPr>
                <w:p w14:paraId="441EE24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719D5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31" w:type="dxa"/>
                  <w:vMerge w:val="continue"/>
                  <w:tcBorders>
                    <w:tl2br w:val="nil"/>
                    <w:tr2bl w:val="nil"/>
                  </w:tcBorders>
                  <w:noWrap w:val="0"/>
                  <w:vAlign w:val="center"/>
                </w:tcPr>
                <w:p w14:paraId="157F439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64F1F50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6D3BCD9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施工营地砂石料采用防尘布遮盖、并采取洒水降尘</w:t>
                  </w:r>
                </w:p>
              </w:tc>
              <w:tc>
                <w:tcPr>
                  <w:tcW w:w="1455" w:type="dxa"/>
                  <w:tcBorders>
                    <w:tl2br w:val="nil"/>
                    <w:tr2bl w:val="nil"/>
                  </w:tcBorders>
                  <w:noWrap w:val="0"/>
                  <w:vAlign w:val="center"/>
                </w:tcPr>
                <w:p w14:paraId="4482573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w:t>
                  </w:r>
                </w:p>
              </w:tc>
              <w:tc>
                <w:tcPr>
                  <w:tcW w:w="1421" w:type="dxa"/>
                  <w:tcBorders>
                    <w:tl2br w:val="nil"/>
                    <w:tr2bl w:val="nil"/>
                  </w:tcBorders>
                  <w:noWrap w:val="0"/>
                  <w:vAlign w:val="center"/>
                </w:tcPr>
                <w:p w14:paraId="4261CD8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0BA67F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31" w:type="dxa"/>
                  <w:vMerge w:val="continue"/>
                  <w:tcBorders>
                    <w:tl2br w:val="nil"/>
                    <w:tr2bl w:val="nil"/>
                  </w:tcBorders>
                  <w:noWrap w:val="0"/>
                  <w:vAlign w:val="center"/>
                </w:tcPr>
                <w:p w14:paraId="0EC5582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142C953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0F784A7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临时堆土场采用土工布覆盖</w:t>
                  </w:r>
                </w:p>
              </w:tc>
              <w:tc>
                <w:tcPr>
                  <w:tcW w:w="1455" w:type="dxa"/>
                  <w:tcBorders>
                    <w:tl2br w:val="nil"/>
                    <w:tr2bl w:val="nil"/>
                  </w:tcBorders>
                  <w:noWrap w:val="0"/>
                  <w:vAlign w:val="center"/>
                </w:tcPr>
                <w:p w14:paraId="58ECE4F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421" w:type="dxa"/>
                  <w:tcBorders>
                    <w:tl2br w:val="nil"/>
                    <w:tr2bl w:val="nil"/>
                  </w:tcBorders>
                  <w:noWrap w:val="0"/>
                  <w:vAlign w:val="center"/>
                </w:tcPr>
                <w:p w14:paraId="67A3AE6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647D5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31" w:type="dxa"/>
                  <w:vMerge w:val="continue"/>
                  <w:tcBorders>
                    <w:tl2br w:val="nil"/>
                    <w:tr2bl w:val="nil"/>
                  </w:tcBorders>
                  <w:noWrap w:val="0"/>
                  <w:vAlign w:val="center"/>
                </w:tcPr>
                <w:p w14:paraId="1D512E7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354C852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3AF52E8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洒水降尘</w:t>
                  </w:r>
                </w:p>
              </w:tc>
              <w:tc>
                <w:tcPr>
                  <w:tcW w:w="1455" w:type="dxa"/>
                  <w:tcBorders>
                    <w:tl2br w:val="nil"/>
                    <w:tr2bl w:val="nil"/>
                  </w:tcBorders>
                  <w:noWrap w:val="0"/>
                  <w:vAlign w:val="center"/>
                </w:tcPr>
                <w:p w14:paraId="39945D6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21" w:type="dxa"/>
                  <w:tcBorders>
                    <w:tl2br w:val="nil"/>
                    <w:tr2bl w:val="nil"/>
                  </w:tcBorders>
                  <w:noWrap w:val="0"/>
                  <w:vAlign w:val="center"/>
                </w:tcPr>
                <w:p w14:paraId="3DC08480">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04831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531" w:type="dxa"/>
                  <w:vMerge w:val="continue"/>
                  <w:tcBorders>
                    <w:tl2br w:val="nil"/>
                    <w:tr2bl w:val="nil"/>
                  </w:tcBorders>
                  <w:noWrap w:val="0"/>
                  <w:vAlign w:val="center"/>
                </w:tcPr>
                <w:p w14:paraId="185DE3B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restart"/>
                  <w:tcBorders>
                    <w:tl2br w:val="nil"/>
                    <w:tr2bl w:val="nil"/>
                  </w:tcBorders>
                  <w:noWrap w:val="0"/>
                  <w:vAlign w:val="center"/>
                </w:tcPr>
                <w:p w14:paraId="49B7088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废水</w:t>
                  </w:r>
                </w:p>
              </w:tc>
              <w:tc>
                <w:tcPr>
                  <w:tcW w:w="3360" w:type="dxa"/>
                  <w:tcBorders>
                    <w:tl2br w:val="nil"/>
                    <w:tr2bl w:val="nil"/>
                  </w:tcBorders>
                  <w:noWrap w:val="0"/>
                  <w:vAlign w:val="center"/>
                </w:tcPr>
                <w:p w14:paraId="50B3AB9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混凝土搅拌站废水收集桶</w:t>
                  </w:r>
                </w:p>
              </w:tc>
              <w:tc>
                <w:tcPr>
                  <w:tcW w:w="1455" w:type="dxa"/>
                  <w:tcBorders>
                    <w:tl2br w:val="nil"/>
                    <w:tr2bl w:val="nil"/>
                  </w:tcBorders>
                  <w:noWrap w:val="0"/>
                  <w:vAlign w:val="center"/>
                </w:tcPr>
                <w:p w14:paraId="4EFA535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0.6</w:t>
                  </w:r>
                </w:p>
              </w:tc>
              <w:tc>
                <w:tcPr>
                  <w:tcW w:w="1421" w:type="dxa"/>
                  <w:tcBorders>
                    <w:tl2br w:val="nil"/>
                    <w:tr2bl w:val="nil"/>
                  </w:tcBorders>
                  <w:noWrap w:val="0"/>
                  <w:vAlign w:val="center"/>
                </w:tcPr>
                <w:p w14:paraId="1739553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4811D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531" w:type="dxa"/>
                  <w:vMerge w:val="continue"/>
                  <w:tcBorders>
                    <w:tl2br w:val="nil"/>
                    <w:tr2bl w:val="nil"/>
                  </w:tcBorders>
                  <w:noWrap w:val="0"/>
                  <w:vAlign w:val="center"/>
                </w:tcPr>
                <w:p w14:paraId="17FBEC2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7074A5C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0E7466C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沉淀池</w:t>
                  </w:r>
                </w:p>
              </w:tc>
              <w:tc>
                <w:tcPr>
                  <w:tcW w:w="1455" w:type="dxa"/>
                  <w:tcBorders>
                    <w:tl2br w:val="nil"/>
                    <w:tr2bl w:val="nil"/>
                  </w:tcBorders>
                  <w:noWrap w:val="0"/>
                  <w:vAlign w:val="center"/>
                </w:tcPr>
                <w:p w14:paraId="50BD838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0.8</w:t>
                  </w:r>
                </w:p>
              </w:tc>
              <w:tc>
                <w:tcPr>
                  <w:tcW w:w="1421" w:type="dxa"/>
                  <w:tcBorders>
                    <w:tl2br w:val="nil"/>
                    <w:tr2bl w:val="nil"/>
                  </w:tcBorders>
                  <w:noWrap w:val="0"/>
                  <w:vAlign w:val="center"/>
                </w:tcPr>
                <w:p w14:paraId="73E2EF0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51240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31" w:type="dxa"/>
                  <w:vMerge w:val="continue"/>
                  <w:tcBorders>
                    <w:tl2br w:val="nil"/>
                    <w:tr2bl w:val="nil"/>
                  </w:tcBorders>
                  <w:noWrap w:val="0"/>
                  <w:vAlign w:val="center"/>
                </w:tcPr>
                <w:p w14:paraId="5DA0D74A">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1D4B2A9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118A6C6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临时排水沟</w:t>
                  </w:r>
                </w:p>
              </w:tc>
              <w:tc>
                <w:tcPr>
                  <w:tcW w:w="1455" w:type="dxa"/>
                  <w:tcBorders>
                    <w:tl2br w:val="nil"/>
                    <w:tr2bl w:val="nil"/>
                  </w:tcBorders>
                  <w:noWrap w:val="0"/>
                  <w:vAlign w:val="center"/>
                </w:tcPr>
                <w:p w14:paraId="1C6C3E1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w:t>
                  </w:r>
                </w:p>
              </w:tc>
              <w:tc>
                <w:tcPr>
                  <w:tcW w:w="1421" w:type="dxa"/>
                  <w:tcBorders>
                    <w:tl2br w:val="nil"/>
                    <w:tr2bl w:val="nil"/>
                  </w:tcBorders>
                  <w:noWrap w:val="0"/>
                  <w:vAlign w:val="center"/>
                </w:tcPr>
                <w:p w14:paraId="7D782EF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57113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31" w:type="dxa"/>
                  <w:vMerge w:val="continue"/>
                  <w:tcBorders>
                    <w:tl2br w:val="nil"/>
                    <w:tr2bl w:val="nil"/>
                  </w:tcBorders>
                  <w:noWrap w:val="0"/>
                  <w:vAlign w:val="center"/>
                </w:tcPr>
                <w:p w14:paraId="29D0B84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restart"/>
                  <w:tcBorders>
                    <w:tl2br w:val="nil"/>
                    <w:tr2bl w:val="nil"/>
                  </w:tcBorders>
                  <w:noWrap w:val="0"/>
                  <w:vAlign w:val="center"/>
                </w:tcPr>
                <w:p w14:paraId="24CAE68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噪声</w:t>
                  </w:r>
                </w:p>
              </w:tc>
              <w:tc>
                <w:tcPr>
                  <w:tcW w:w="3360" w:type="dxa"/>
                  <w:tcBorders>
                    <w:tl2br w:val="nil"/>
                    <w:tr2bl w:val="nil"/>
                  </w:tcBorders>
                  <w:noWrap w:val="0"/>
                  <w:vAlign w:val="center"/>
                </w:tcPr>
                <w:p w14:paraId="4CFD695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在居民点附近设置施工围挡等降噪设施</w:t>
                  </w:r>
                </w:p>
              </w:tc>
              <w:tc>
                <w:tcPr>
                  <w:tcW w:w="1455" w:type="dxa"/>
                  <w:tcBorders>
                    <w:tl2br w:val="nil"/>
                    <w:tr2bl w:val="nil"/>
                  </w:tcBorders>
                  <w:noWrap w:val="0"/>
                  <w:vAlign w:val="center"/>
                </w:tcPr>
                <w:p w14:paraId="446F59C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0.5</w:t>
                  </w:r>
                </w:p>
              </w:tc>
              <w:tc>
                <w:tcPr>
                  <w:tcW w:w="1421" w:type="dxa"/>
                  <w:tcBorders>
                    <w:tl2br w:val="nil"/>
                    <w:tr2bl w:val="nil"/>
                  </w:tcBorders>
                  <w:noWrap w:val="0"/>
                  <w:vAlign w:val="center"/>
                </w:tcPr>
                <w:p w14:paraId="45ED979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39721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31" w:type="dxa"/>
                  <w:vMerge w:val="continue"/>
                  <w:tcBorders>
                    <w:tl2br w:val="nil"/>
                    <w:tr2bl w:val="nil"/>
                  </w:tcBorders>
                  <w:noWrap w:val="0"/>
                  <w:vAlign w:val="center"/>
                </w:tcPr>
                <w:p w14:paraId="5DCEF84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0D8A3BE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3E9B077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减速、禁鸣标志牌</w:t>
                  </w:r>
                </w:p>
              </w:tc>
              <w:tc>
                <w:tcPr>
                  <w:tcW w:w="1455" w:type="dxa"/>
                  <w:tcBorders>
                    <w:tl2br w:val="nil"/>
                    <w:tr2bl w:val="nil"/>
                  </w:tcBorders>
                  <w:noWrap w:val="0"/>
                  <w:vAlign w:val="center"/>
                </w:tcPr>
                <w:p w14:paraId="0F210B3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0.2</w:t>
                  </w:r>
                </w:p>
              </w:tc>
              <w:tc>
                <w:tcPr>
                  <w:tcW w:w="1421" w:type="dxa"/>
                  <w:tcBorders>
                    <w:tl2br w:val="nil"/>
                    <w:tr2bl w:val="nil"/>
                  </w:tcBorders>
                  <w:noWrap w:val="0"/>
                  <w:vAlign w:val="center"/>
                </w:tcPr>
                <w:p w14:paraId="7468A9E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2D5D6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31" w:type="dxa"/>
                  <w:vMerge w:val="continue"/>
                  <w:tcBorders>
                    <w:tl2br w:val="nil"/>
                    <w:tr2bl w:val="nil"/>
                  </w:tcBorders>
                  <w:noWrap w:val="0"/>
                  <w:vAlign w:val="center"/>
                </w:tcPr>
                <w:p w14:paraId="209D0D17">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restart"/>
                  <w:tcBorders>
                    <w:tl2br w:val="nil"/>
                    <w:tr2bl w:val="nil"/>
                  </w:tcBorders>
                  <w:noWrap w:val="0"/>
                  <w:vAlign w:val="center"/>
                </w:tcPr>
                <w:p w14:paraId="7EC624B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固体废弃物</w:t>
                  </w:r>
                </w:p>
              </w:tc>
              <w:tc>
                <w:tcPr>
                  <w:tcW w:w="3360" w:type="dxa"/>
                  <w:tcBorders>
                    <w:tl2br w:val="nil"/>
                    <w:tr2bl w:val="nil"/>
                  </w:tcBorders>
                  <w:noWrap w:val="0"/>
                  <w:vAlign w:val="center"/>
                </w:tcPr>
                <w:p w14:paraId="4653EC1D">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各个施工区设置垃圾收集桶，生活垃圾集中收集后清运至乡镇垃圾收集点，由环卫部门处置。</w:t>
                  </w:r>
                </w:p>
              </w:tc>
              <w:tc>
                <w:tcPr>
                  <w:tcW w:w="1455" w:type="dxa"/>
                  <w:tcBorders>
                    <w:tl2br w:val="nil"/>
                    <w:tr2bl w:val="nil"/>
                  </w:tcBorders>
                  <w:noWrap w:val="0"/>
                  <w:vAlign w:val="center"/>
                </w:tcPr>
                <w:p w14:paraId="57F3CE76">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7</w:t>
                  </w:r>
                </w:p>
              </w:tc>
              <w:tc>
                <w:tcPr>
                  <w:tcW w:w="1421" w:type="dxa"/>
                  <w:tcBorders>
                    <w:tl2br w:val="nil"/>
                    <w:tr2bl w:val="nil"/>
                  </w:tcBorders>
                  <w:noWrap w:val="0"/>
                  <w:vAlign w:val="center"/>
                </w:tcPr>
                <w:p w14:paraId="24FDF95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47E81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dxa"/>
                  <w:vMerge w:val="continue"/>
                  <w:tcBorders>
                    <w:tl2br w:val="nil"/>
                    <w:tr2bl w:val="nil"/>
                  </w:tcBorders>
                  <w:noWrap w:val="0"/>
                  <w:vAlign w:val="center"/>
                </w:tcPr>
                <w:p w14:paraId="6A4C5365">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09ED5E18">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2999A7A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废土石运输回填</w:t>
                  </w:r>
                </w:p>
              </w:tc>
              <w:tc>
                <w:tcPr>
                  <w:tcW w:w="1455" w:type="dxa"/>
                  <w:tcBorders>
                    <w:tl2br w:val="nil"/>
                    <w:tr2bl w:val="nil"/>
                  </w:tcBorders>
                  <w:noWrap w:val="0"/>
                  <w:vAlign w:val="center"/>
                </w:tcPr>
                <w:p w14:paraId="3C6B023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0.5</w:t>
                  </w:r>
                </w:p>
              </w:tc>
              <w:tc>
                <w:tcPr>
                  <w:tcW w:w="1421" w:type="dxa"/>
                  <w:tcBorders>
                    <w:tl2br w:val="nil"/>
                    <w:tr2bl w:val="nil"/>
                  </w:tcBorders>
                  <w:noWrap w:val="0"/>
                  <w:vAlign w:val="center"/>
                </w:tcPr>
                <w:p w14:paraId="0185B55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r w14:paraId="05A4D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1" w:type="dxa"/>
                  <w:vMerge w:val="continue"/>
                  <w:tcBorders>
                    <w:tl2br w:val="nil"/>
                    <w:tr2bl w:val="nil"/>
                  </w:tcBorders>
                  <w:noWrap w:val="0"/>
                  <w:vAlign w:val="center"/>
                </w:tcPr>
                <w:p w14:paraId="3037B44C">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restart"/>
                  <w:tcBorders>
                    <w:tl2br w:val="nil"/>
                    <w:tr2bl w:val="nil"/>
                  </w:tcBorders>
                  <w:noWrap w:val="0"/>
                  <w:vAlign w:val="center"/>
                </w:tcPr>
                <w:p w14:paraId="6B013F4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其他</w:t>
                  </w:r>
                </w:p>
              </w:tc>
              <w:tc>
                <w:tcPr>
                  <w:tcW w:w="3360" w:type="dxa"/>
                  <w:tcBorders>
                    <w:tl2br w:val="nil"/>
                    <w:tr2bl w:val="nil"/>
                  </w:tcBorders>
                  <w:noWrap w:val="0"/>
                  <w:vAlign w:val="center"/>
                </w:tcPr>
                <w:p w14:paraId="0453E7F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临时用地恢复</w:t>
                  </w:r>
                </w:p>
              </w:tc>
              <w:tc>
                <w:tcPr>
                  <w:tcW w:w="1455" w:type="dxa"/>
                  <w:tcBorders>
                    <w:tl2br w:val="nil"/>
                    <w:tr2bl w:val="nil"/>
                  </w:tcBorders>
                  <w:noWrap w:val="0"/>
                  <w:vAlign w:val="center"/>
                </w:tcPr>
                <w:p w14:paraId="6A8802F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1421" w:type="dxa"/>
                  <w:tcBorders>
                    <w:tl2br w:val="nil"/>
                    <w:tr2bl w:val="nil"/>
                  </w:tcBorders>
                  <w:noWrap w:val="0"/>
                  <w:vAlign w:val="center"/>
                </w:tcPr>
                <w:p w14:paraId="1730BF1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包含在水土保持中，此处不单独计费</w:t>
                  </w:r>
                </w:p>
              </w:tc>
            </w:tr>
            <w:tr w14:paraId="15C2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31" w:type="dxa"/>
                  <w:vMerge w:val="continue"/>
                  <w:tcBorders>
                    <w:tl2br w:val="nil"/>
                    <w:tr2bl w:val="nil"/>
                  </w:tcBorders>
                  <w:noWrap w:val="0"/>
                  <w:vAlign w:val="center"/>
                </w:tcPr>
                <w:p w14:paraId="2F8228C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05A07D91">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6FE3BAE2">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施工期环境监测、监理</w:t>
                  </w:r>
                </w:p>
              </w:tc>
              <w:tc>
                <w:tcPr>
                  <w:tcW w:w="1455" w:type="dxa"/>
                  <w:tcBorders>
                    <w:tl2br w:val="nil"/>
                    <w:tr2bl w:val="nil"/>
                  </w:tcBorders>
                  <w:noWrap w:val="0"/>
                  <w:vAlign w:val="center"/>
                </w:tcPr>
                <w:p w14:paraId="2829121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10</w:t>
                  </w:r>
                </w:p>
              </w:tc>
              <w:tc>
                <w:tcPr>
                  <w:tcW w:w="1421" w:type="dxa"/>
                  <w:tcBorders>
                    <w:tl2br w:val="nil"/>
                    <w:tr2bl w:val="nil"/>
                  </w:tcBorders>
                  <w:noWrap w:val="0"/>
                  <w:vAlign w:val="center"/>
                </w:tcPr>
                <w:p w14:paraId="38C6838B">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环评提出</w:t>
                  </w:r>
                </w:p>
              </w:tc>
            </w:tr>
            <w:tr w14:paraId="44E86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531" w:type="dxa"/>
                  <w:vMerge w:val="continue"/>
                  <w:tcBorders>
                    <w:tl2br w:val="nil"/>
                    <w:tr2bl w:val="nil"/>
                  </w:tcBorders>
                  <w:noWrap w:val="0"/>
                  <w:vAlign w:val="center"/>
                </w:tcPr>
                <w:p w14:paraId="7349028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1084" w:type="dxa"/>
                  <w:vMerge w:val="continue"/>
                  <w:tcBorders>
                    <w:tl2br w:val="nil"/>
                    <w:tr2bl w:val="nil"/>
                  </w:tcBorders>
                  <w:noWrap w:val="0"/>
                  <w:vAlign w:val="center"/>
                </w:tcPr>
                <w:p w14:paraId="7E7D54C4">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c>
                <w:tcPr>
                  <w:tcW w:w="3360" w:type="dxa"/>
                  <w:tcBorders>
                    <w:tl2br w:val="nil"/>
                    <w:tr2bl w:val="nil"/>
                  </w:tcBorders>
                  <w:noWrap w:val="0"/>
                  <w:vAlign w:val="center"/>
                </w:tcPr>
                <w:p w14:paraId="5313BDF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竣工环境保护验收</w:t>
                  </w:r>
                </w:p>
              </w:tc>
              <w:tc>
                <w:tcPr>
                  <w:tcW w:w="1455" w:type="dxa"/>
                  <w:tcBorders>
                    <w:tl2br w:val="nil"/>
                    <w:tr2bl w:val="nil"/>
                  </w:tcBorders>
                  <w:noWrap w:val="0"/>
                  <w:vAlign w:val="center"/>
                </w:tcPr>
                <w:p w14:paraId="152008E9">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10</w:t>
                  </w:r>
                </w:p>
              </w:tc>
              <w:tc>
                <w:tcPr>
                  <w:tcW w:w="1421" w:type="dxa"/>
                  <w:tcBorders>
                    <w:tl2br w:val="nil"/>
                    <w:tr2bl w:val="nil"/>
                  </w:tcBorders>
                  <w:noWrap w:val="0"/>
                  <w:vAlign w:val="center"/>
                </w:tcPr>
                <w:p w14:paraId="5AE346B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环评提出</w:t>
                  </w:r>
                </w:p>
              </w:tc>
            </w:tr>
            <w:tr w14:paraId="7E2B9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975" w:type="dxa"/>
                  <w:gridSpan w:val="3"/>
                  <w:tcBorders>
                    <w:tl2br w:val="nil"/>
                    <w:tr2bl w:val="nil"/>
                  </w:tcBorders>
                  <w:noWrap w:val="0"/>
                  <w:vAlign w:val="center"/>
                </w:tcPr>
                <w:p w14:paraId="1FA6679F">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合计</w:t>
                  </w:r>
                </w:p>
              </w:tc>
              <w:tc>
                <w:tcPr>
                  <w:tcW w:w="1455" w:type="dxa"/>
                  <w:tcBorders>
                    <w:tl2br w:val="nil"/>
                    <w:tr2bl w:val="nil"/>
                  </w:tcBorders>
                  <w:noWrap w:val="0"/>
                  <w:vAlign w:val="center"/>
                </w:tcPr>
                <w:p w14:paraId="2946E97E">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6</w:t>
                  </w:r>
                </w:p>
              </w:tc>
              <w:tc>
                <w:tcPr>
                  <w:tcW w:w="1421" w:type="dxa"/>
                  <w:tcBorders>
                    <w:tl2br w:val="nil"/>
                    <w:tr2bl w:val="nil"/>
                  </w:tcBorders>
                  <w:noWrap w:val="0"/>
                  <w:vAlign w:val="center"/>
                </w:tcPr>
                <w:p w14:paraId="5D9E2D23">
                  <w:pPr>
                    <w:pStyle w:val="3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p>
              </w:tc>
            </w:tr>
          </w:tbl>
          <w:p w14:paraId="3687B90B">
            <w:pPr>
              <w:pStyle w:val="43"/>
              <w:rPr>
                <w:rFonts w:hint="default" w:ascii="Times New Roman" w:hAnsi="Times New Roman" w:cs="Times New Roman"/>
                <w:bCs/>
                <w:color w:val="auto"/>
                <w:spacing w:val="10"/>
                <w:sz w:val="24"/>
              </w:rPr>
            </w:pPr>
          </w:p>
          <w:p w14:paraId="669BBBA0">
            <w:pPr>
              <w:pStyle w:val="43"/>
              <w:ind w:left="0" w:leftChars="0" w:firstLine="0" w:firstLineChars="0"/>
              <w:rPr>
                <w:rFonts w:hint="default" w:ascii="Times New Roman" w:hAnsi="Times New Roman" w:cs="Times New Roman"/>
                <w:bCs/>
                <w:color w:val="auto"/>
                <w:spacing w:val="10"/>
                <w:sz w:val="24"/>
              </w:rPr>
            </w:pPr>
          </w:p>
        </w:tc>
      </w:tr>
    </w:tbl>
    <w:p w14:paraId="16EDFBF6">
      <w:pPr>
        <w:pStyle w:val="13"/>
        <w:ind w:left="0" w:leftChars="0" w:firstLine="0" w:firstLineChars="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E1E9B9E">
      <w:pPr>
        <w:spacing w:line="360" w:lineRule="auto"/>
        <w:jc w:val="both"/>
        <w:outlineLvl w:val="0"/>
        <w:rPr>
          <w:rFonts w:hint="eastAsia" w:ascii="宋体" w:hAnsi="宋体" w:eastAsia="宋体" w:cs="宋体"/>
          <w:bCs/>
          <w:color w:val="auto"/>
          <w:sz w:val="32"/>
          <w:szCs w:val="32"/>
          <w:shd w:val="clear" w:color="auto" w:fill="FFFFFF" w:themeFill="background1"/>
        </w:rPr>
      </w:pPr>
      <w:bookmarkStart w:id="39" w:name="_Toc14949"/>
      <w:bookmarkStart w:id="40" w:name="_Toc94022803"/>
      <w:r>
        <w:rPr>
          <w:rFonts w:hint="eastAsia" w:ascii="宋体" w:hAnsi="宋体" w:eastAsia="宋体" w:cs="宋体"/>
          <w:bCs/>
          <w:color w:val="auto"/>
          <w:sz w:val="32"/>
          <w:szCs w:val="32"/>
          <w:shd w:val="clear" w:color="auto" w:fill="FFFFFF" w:themeFill="background1"/>
        </w:rPr>
        <w:t>六、生态环境保护措施监督检查清单</w:t>
      </w:r>
      <w:bookmarkEnd w:id="39"/>
      <w:bookmarkEnd w:id="40"/>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4465"/>
        <w:gridCol w:w="2882"/>
        <w:gridCol w:w="2810"/>
        <w:gridCol w:w="2183"/>
      </w:tblGrid>
      <w:tr w14:paraId="683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restart"/>
            <w:tcBorders>
              <w:tl2br w:val="single" w:color="auto" w:sz="4" w:space="0"/>
            </w:tcBorders>
            <w:vAlign w:val="center"/>
          </w:tcPr>
          <w:p w14:paraId="13069261">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内容</w:t>
            </w:r>
          </w:p>
          <w:p w14:paraId="7957565E">
            <w:pPr>
              <w:widowControl/>
              <w:spacing w:line="276" w:lineRule="auto"/>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要素</w:t>
            </w:r>
          </w:p>
        </w:tc>
        <w:tc>
          <w:tcPr>
            <w:tcW w:w="7347" w:type="dxa"/>
            <w:gridSpan w:val="2"/>
            <w:vAlign w:val="center"/>
          </w:tcPr>
          <w:p w14:paraId="4AB8DBAB">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施工期</w:t>
            </w:r>
          </w:p>
        </w:tc>
        <w:tc>
          <w:tcPr>
            <w:tcW w:w="4993" w:type="dxa"/>
            <w:gridSpan w:val="2"/>
            <w:vAlign w:val="center"/>
          </w:tcPr>
          <w:p w14:paraId="3F5B9DE4">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运营期</w:t>
            </w:r>
          </w:p>
        </w:tc>
      </w:tr>
      <w:tr w14:paraId="0E08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continue"/>
            <w:tcBorders>
              <w:tl2br w:val="single" w:color="auto" w:sz="4" w:space="0"/>
            </w:tcBorders>
            <w:vAlign w:val="center"/>
          </w:tcPr>
          <w:p w14:paraId="7C4D1C68">
            <w:pPr>
              <w:widowControl/>
              <w:spacing w:line="276" w:lineRule="auto"/>
              <w:jc w:val="center"/>
              <w:rPr>
                <w:rFonts w:hint="eastAsia" w:ascii="宋体" w:hAnsi="宋体" w:eastAsia="宋体" w:cs="宋体"/>
                <w:bCs/>
                <w:color w:val="auto"/>
                <w:sz w:val="21"/>
                <w:szCs w:val="21"/>
                <w:shd w:val="clear" w:color="auto" w:fill="FFFFFF" w:themeFill="background1"/>
              </w:rPr>
            </w:pPr>
          </w:p>
        </w:tc>
        <w:tc>
          <w:tcPr>
            <w:tcW w:w="4465" w:type="dxa"/>
            <w:vAlign w:val="center"/>
          </w:tcPr>
          <w:p w14:paraId="59274A13">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环境保护措施</w:t>
            </w:r>
          </w:p>
        </w:tc>
        <w:tc>
          <w:tcPr>
            <w:tcW w:w="2882" w:type="dxa"/>
            <w:vAlign w:val="center"/>
          </w:tcPr>
          <w:p w14:paraId="16925212">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验收要求</w:t>
            </w:r>
          </w:p>
        </w:tc>
        <w:tc>
          <w:tcPr>
            <w:tcW w:w="2810" w:type="dxa"/>
            <w:vAlign w:val="center"/>
          </w:tcPr>
          <w:p w14:paraId="62CB49D8">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环境保护措施</w:t>
            </w:r>
          </w:p>
        </w:tc>
        <w:tc>
          <w:tcPr>
            <w:tcW w:w="2183" w:type="dxa"/>
            <w:vAlign w:val="center"/>
          </w:tcPr>
          <w:p w14:paraId="1F545721">
            <w:pPr>
              <w:widowControl/>
              <w:spacing w:line="276" w:lineRule="auto"/>
              <w:jc w:val="center"/>
              <w:rPr>
                <w:rFonts w:hint="eastAsia" w:ascii="宋体" w:hAnsi="宋体" w:eastAsia="宋体" w:cs="宋体"/>
                <w:bCs/>
                <w:color w:val="auto"/>
                <w:sz w:val="21"/>
                <w:szCs w:val="21"/>
                <w:shd w:val="clear" w:color="auto" w:fill="FFFFFF" w:themeFill="background1"/>
              </w:rPr>
            </w:pPr>
            <w:r>
              <w:rPr>
                <w:rFonts w:hint="eastAsia" w:ascii="宋体" w:hAnsi="宋体" w:eastAsia="宋体" w:cs="宋体"/>
                <w:bCs/>
                <w:color w:val="auto"/>
                <w:sz w:val="21"/>
                <w:szCs w:val="21"/>
                <w:shd w:val="clear" w:color="auto" w:fill="FFFFFF" w:themeFill="background1"/>
              </w:rPr>
              <w:t>验收要求</w:t>
            </w:r>
          </w:p>
        </w:tc>
      </w:tr>
      <w:tr w14:paraId="65B1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5E3E088">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陆生生态</w:t>
            </w:r>
          </w:p>
        </w:tc>
        <w:tc>
          <w:tcPr>
            <w:tcW w:w="4465" w:type="dxa"/>
            <w:vAlign w:val="center"/>
          </w:tcPr>
          <w:p w14:paraId="0465AEEF">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eastAsia" w:ascii="宋体" w:hAnsi="宋体" w:eastAsia="宋体" w:cs="宋体"/>
                <w:color w:val="auto"/>
                <w:sz w:val="21"/>
                <w:szCs w:val="21"/>
                <w:shd w:val="clear" w:color="auto" w:fill="FFFFFF" w:themeFill="background1"/>
              </w:rPr>
            </w:pPr>
            <w:r>
              <w:rPr>
                <w:rFonts w:hint="eastAsia" w:ascii="宋体" w:hAnsi="宋体" w:eastAsia="宋体" w:cs="宋体"/>
                <w:color w:val="000000"/>
                <w:kern w:val="2"/>
                <w:sz w:val="21"/>
                <w:szCs w:val="21"/>
                <w:lang w:val="en-US" w:eastAsia="zh-CN" w:bidi="ar"/>
              </w:rPr>
              <w:t>取土分层进行，表土剥离后集中堆放，用于覆土复耕或植被恢复；施工活动在项目占地范围内进行，不越界占用周边土地，在项目临时占地范围内，以最大限度减小地表扰动为原则，尽量减少临时占地对植被的破坏；施工期结束后及时对临时占地进行复垦，尽量采用自然手段进行生态恢复；加强对施工人员的管理，施工过程中严禁随意砍伐区域植物。</w:t>
            </w:r>
          </w:p>
        </w:tc>
        <w:tc>
          <w:tcPr>
            <w:tcW w:w="2882" w:type="dxa"/>
            <w:vAlign w:val="center"/>
          </w:tcPr>
          <w:p w14:paraId="21CBB5B8">
            <w:pPr>
              <w:pStyle w:val="20"/>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color w:val="auto"/>
                <w:sz w:val="21"/>
                <w:szCs w:val="21"/>
                <w:shd w:val="clear" w:color="auto" w:fill="FFFFFF" w:themeFill="background1"/>
              </w:rPr>
            </w:pPr>
            <w:r>
              <w:rPr>
                <w:rFonts w:hint="eastAsia" w:ascii="宋体" w:hAnsi="宋体" w:eastAsia="宋体" w:cs="宋体"/>
                <w:color w:val="000000"/>
                <w:kern w:val="2"/>
                <w:sz w:val="21"/>
                <w:szCs w:val="21"/>
                <w:lang w:val="en-US" w:eastAsia="zh-CN" w:bidi="ar"/>
              </w:rPr>
              <w:t>不造成生态环境质量下降</w:t>
            </w:r>
          </w:p>
        </w:tc>
        <w:tc>
          <w:tcPr>
            <w:tcW w:w="2810" w:type="dxa"/>
            <w:vAlign w:val="center"/>
          </w:tcPr>
          <w:p w14:paraId="57139B1A">
            <w:pPr>
              <w:widowControl/>
              <w:spacing w:line="240" w:lineRule="auto"/>
              <w:ind w:left="0" w:leftChars="0" w:firstLine="0" w:firstLineChars="0"/>
              <w:jc w:val="center"/>
              <w:rPr>
                <w:rFonts w:hint="default" w:ascii="宋体" w:hAnsi="宋体" w:eastAsia="宋体" w:cs="宋体"/>
                <w:color w:val="auto"/>
                <w:sz w:val="21"/>
                <w:szCs w:val="21"/>
                <w:shd w:val="clear" w:color="auto" w:fill="FFFFFF" w:themeFill="background1"/>
                <w:lang w:val="en-US" w:eastAsia="zh-CN"/>
              </w:rPr>
            </w:pPr>
            <w:r>
              <w:rPr>
                <w:rFonts w:hint="eastAsia" w:ascii="宋体" w:hAnsi="宋体" w:eastAsia="宋体" w:cs="宋体"/>
                <w:color w:val="auto"/>
                <w:sz w:val="21"/>
                <w:szCs w:val="21"/>
                <w:shd w:val="clear" w:color="auto" w:fill="FFFFFF" w:themeFill="background1"/>
                <w:lang w:val="en-US" w:eastAsia="zh-CN"/>
              </w:rPr>
              <w:t>/</w:t>
            </w:r>
          </w:p>
        </w:tc>
        <w:tc>
          <w:tcPr>
            <w:tcW w:w="2183" w:type="dxa"/>
            <w:vAlign w:val="center"/>
          </w:tcPr>
          <w:p w14:paraId="75A0831B">
            <w:pPr>
              <w:widowControl/>
              <w:spacing w:line="240" w:lineRule="auto"/>
              <w:rPr>
                <w:rFonts w:hint="eastAsia" w:ascii="宋体" w:hAnsi="宋体" w:eastAsia="宋体" w:cs="宋体"/>
                <w:color w:val="auto"/>
                <w:sz w:val="21"/>
                <w:szCs w:val="21"/>
                <w:shd w:val="clear" w:color="auto" w:fill="FFFFFF" w:themeFill="background1"/>
                <w:lang w:val="en-US" w:eastAsia="zh-CN"/>
              </w:rPr>
            </w:pPr>
            <w:r>
              <w:rPr>
                <w:rFonts w:hint="eastAsia" w:ascii="宋体" w:hAnsi="宋体" w:eastAsia="宋体" w:cs="宋体"/>
                <w:color w:val="auto"/>
                <w:sz w:val="21"/>
                <w:szCs w:val="21"/>
                <w:shd w:val="clear" w:color="auto" w:fill="FFFFFF" w:themeFill="background1"/>
                <w:lang w:val="en-US" w:eastAsia="zh-CN"/>
              </w:rPr>
              <w:t>调查项目工程区域生态恢复情况，水土保持措施落实情况。施工迹地恢复情况。</w:t>
            </w:r>
          </w:p>
          <w:p w14:paraId="626C394C">
            <w:pPr>
              <w:widowControl/>
              <w:spacing w:line="240" w:lineRule="auto"/>
              <w:rPr>
                <w:rFonts w:hint="eastAsia" w:ascii="宋体" w:hAnsi="宋体" w:eastAsia="宋体" w:cs="宋体"/>
                <w:color w:val="auto"/>
                <w:sz w:val="21"/>
                <w:szCs w:val="21"/>
                <w:shd w:val="clear" w:color="auto" w:fill="FFFFFF" w:themeFill="background1"/>
              </w:rPr>
            </w:pPr>
          </w:p>
        </w:tc>
      </w:tr>
      <w:tr w14:paraId="72BF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5213D46">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水生生态</w:t>
            </w:r>
          </w:p>
        </w:tc>
        <w:tc>
          <w:tcPr>
            <w:tcW w:w="4465" w:type="dxa"/>
            <w:vAlign w:val="center"/>
          </w:tcPr>
          <w:p w14:paraId="1DB86658">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000000"/>
                <w:kern w:val="2"/>
                <w:sz w:val="21"/>
                <w:szCs w:val="21"/>
                <w:lang w:val="en-US" w:eastAsia="zh-CN" w:bidi="ar"/>
              </w:rPr>
              <w:t>施工物料堆场应尽量远离地表水体；</w:t>
            </w:r>
            <w:r>
              <w:rPr>
                <w:rFonts w:hint="eastAsia" w:ascii="Times New Roman" w:hAnsi="Times New Roman" w:eastAsia="宋体" w:cs="Times New Roman"/>
                <w:color w:val="000000"/>
                <w:kern w:val="2"/>
                <w:sz w:val="21"/>
                <w:szCs w:val="21"/>
                <w:lang w:val="en-US" w:eastAsia="zh-CN" w:bidi="ar"/>
              </w:rPr>
              <w:t>施工废水及生活污水禁止外排；</w:t>
            </w:r>
            <w:r>
              <w:rPr>
                <w:rFonts w:hint="default" w:ascii="Times New Roman" w:hAnsi="Times New Roman" w:eastAsia="宋体" w:cs="Times New Roman"/>
                <w:color w:val="000000"/>
                <w:kern w:val="2"/>
                <w:sz w:val="21"/>
                <w:szCs w:val="21"/>
                <w:lang w:val="en-US" w:eastAsia="zh-CN" w:bidi="ar"/>
              </w:rPr>
              <w:t>临河工程设置围堰围挡，施工结束及时拆除；施工期加强管理，不得将弃渣、建筑垃圾、生活垃圾弃置在河道内，不得污染河流水质。</w:t>
            </w:r>
          </w:p>
        </w:tc>
        <w:tc>
          <w:tcPr>
            <w:tcW w:w="2882" w:type="dxa"/>
            <w:vAlign w:val="center"/>
          </w:tcPr>
          <w:p w14:paraId="2521D137">
            <w:pPr>
              <w:pStyle w:val="20"/>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000000"/>
                <w:kern w:val="2"/>
                <w:sz w:val="21"/>
                <w:szCs w:val="21"/>
                <w:lang w:val="en-US" w:eastAsia="zh-CN" w:bidi="ar"/>
              </w:rPr>
              <w:t>对区域水生生态影响较小</w:t>
            </w:r>
          </w:p>
        </w:tc>
        <w:tc>
          <w:tcPr>
            <w:tcW w:w="2810" w:type="dxa"/>
            <w:vAlign w:val="center"/>
          </w:tcPr>
          <w:p w14:paraId="6F5E7865">
            <w:pPr>
              <w:widowControl/>
              <w:spacing w:line="240" w:lineRule="auto"/>
              <w:ind w:left="0" w:lef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eastAsia" w:ascii="宋体" w:hAnsi="宋体" w:eastAsia="宋体" w:cs="宋体"/>
                <w:color w:val="auto"/>
                <w:sz w:val="21"/>
                <w:szCs w:val="21"/>
                <w:shd w:val="clear" w:color="auto" w:fill="FFFFFF" w:themeFill="background1"/>
                <w:lang w:val="en-US" w:eastAsia="zh-CN"/>
              </w:rPr>
              <w:t>/</w:t>
            </w:r>
          </w:p>
        </w:tc>
        <w:tc>
          <w:tcPr>
            <w:tcW w:w="2183" w:type="dxa"/>
            <w:vAlign w:val="center"/>
          </w:tcPr>
          <w:p w14:paraId="03C411EA">
            <w:pPr>
              <w:widowControl/>
              <w:spacing w:line="240" w:lineRule="auto"/>
              <w:ind w:left="0" w:lef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eastAsia" w:ascii="宋体" w:hAnsi="宋体" w:eastAsia="宋体" w:cs="宋体"/>
                <w:color w:val="auto"/>
                <w:sz w:val="21"/>
                <w:szCs w:val="21"/>
                <w:shd w:val="clear" w:color="auto" w:fill="FFFFFF" w:themeFill="background1"/>
                <w:lang w:val="en-US" w:eastAsia="zh-CN"/>
              </w:rPr>
              <w:t>/</w:t>
            </w:r>
          </w:p>
        </w:tc>
      </w:tr>
      <w:tr w14:paraId="31F8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8960161">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地表水环境</w:t>
            </w:r>
          </w:p>
        </w:tc>
        <w:tc>
          <w:tcPr>
            <w:tcW w:w="4465" w:type="dxa"/>
            <w:vAlign w:val="center"/>
          </w:tcPr>
          <w:p w14:paraId="57DFB07E">
            <w:pPr>
              <w:pStyle w:val="20"/>
              <w:keepNext w:val="0"/>
              <w:keepLines w:val="0"/>
              <w:widowControl w:val="0"/>
              <w:suppressLineNumbers w:val="0"/>
              <w:spacing w:before="0" w:beforeAutospacing="0" w:after="0" w:afterAutospacing="0" w:line="240" w:lineRule="auto"/>
              <w:ind w:left="0" w:right="0" w:firstLine="0" w:firstLineChars="0"/>
              <w:jc w:val="both"/>
              <w:rPr>
                <w:rFonts w:hint="default" w:ascii="Times New Roman" w:hAnsi="Times New Roman" w:cs="Times New Roman" w:eastAsiaTheme="minorEastAsia"/>
                <w:color w:val="auto"/>
                <w:sz w:val="21"/>
                <w:szCs w:val="21"/>
                <w:shd w:val="clear" w:color="auto" w:fill="FFFFFF" w:themeFill="background1"/>
              </w:rPr>
            </w:pPr>
            <w:r>
              <w:rPr>
                <w:rFonts w:hint="eastAsia" w:ascii="Times New Roman" w:hAnsi="Times New Roman" w:eastAsia="宋体" w:cs="Times New Roman"/>
                <w:color w:val="000000"/>
                <w:kern w:val="2"/>
                <w:sz w:val="21"/>
                <w:szCs w:val="21"/>
                <w:lang w:val="en-US" w:eastAsia="zh-CN" w:bidi="ar"/>
              </w:rPr>
              <w:t>项目无需进行施工导流</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Times New Roman"/>
                <w:color w:val="000000"/>
                <w:kern w:val="2"/>
                <w:sz w:val="21"/>
                <w:szCs w:val="21"/>
                <w:lang w:val="en-US" w:eastAsia="zh-CN" w:bidi="ar"/>
              </w:rPr>
              <w:t>施工废水及生活污水禁止外排，</w:t>
            </w:r>
            <w:r>
              <w:rPr>
                <w:rFonts w:hint="default" w:ascii="Times New Roman" w:hAnsi="Times New Roman" w:eastAsia="宋体" w:cs="Times New Roman"/>
                <w:color w:val="000000"/>
                <w:kern w:val="2"/>
                <w:sz w:val="21"/>
                <w:szCs w:val="21"/>
                <w:lang w:val="en-US" w:eastAsia="zh-CN" w:bidi="ar"/>
              </w:rPr>
              <w:t>在每个混凝土搅拌机旁边设置一个废水收集桶，机械清洗废水沉淀处理后排入二次沉淀桶收集上清液，处理后的上清液综合利用于</w:t>
            </w:r>
            <w:r>
              <w:rPr>
                <w:rFonts w:hint="eastAsia" w:ascii="Times New Roman" w:hAnsi="Times New Roman" w:eastAsia="宋体" w:cs="Times New Roman"/>
                <w:color w:val="000000"/>
                <w:kern w:val="2"/>
                <w:sz w:val="21"/>
                <w:szCs w:val="21"/>
                <w:lang w:val="en-US" w:eastAsia="zh-CN" w:bidi="ar"/>
              </w:rPr>
              <w:t>施工工序</w:t>
            </w:r>
            <w:r>
              <w:rPr>
                <w:rFonts w:hint="default" w:ascii="Times New Roman" w:hAnsi="Times New Roman" w:eastAsia="宋体" w:cs="Times New Roman"/>
                <w:color w:val="000000"/>
                <w:kern w:val="2"/>
                <w:sz w:val="21"/>
                <w:szCs w:val="21"/>
                <w:lang w:val="en-US" w:eastAsia="zh-CN" w:bidi="ar"/>
              </w:rPr>
              <w:t>和施工现场洒水抑尘，不外排，沉砂回用于施工；合理安排工期，施工过程选择在枯水期进行；施工过程中临时堆土采取覆盖措施，建筑材料、弃渣堆场应远离河道，并进行覆盖；靠近河道一侧的施工场地设置临时截流沟，地表径流截留、收集沉淀后回用于施工过程及周边植被绿化浇洒；水土保持措施：在施工区对表土收集、布设拦挡、覆盖措施及部分裸露区域绿化措施。</w:t>
            </w:r>
          </w:p>
        </w:tc>
        <w:tc>
          <w:tcPr>
            <w:tcW w:w="2882" w:type="dxa"/>
            <w:vAlign w:val="center"/>
          </w:tcPr>
          <w:p w14:paraId="16D5B148">
            <w:pPr>
              <w:pStyle w:val="20"/>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eastAsia="宋体" w:cs="Times New Roman"/>
                <w:color w:val="000000"/>
                <w:kern w:val="2"/>
                <w:sz w:val="21"/>
                <w:szCs w:val="21"/>
                <w:lang w:val="en-US" w:eastAsia="zh-CN" w:bidi="ar"/>
              </w:rPr>
              <w:t>调查是否按环评和环保设计的要求设置水环境保护措施，施工废水不外排。</w:t>
            </w:r>
          </w:p>
        </w:tc>
        <w:tc>
          <w:tcPr>
            <w:tcW w:w="2810" w:type="dxa"/>
            <w:vAlign w:val="center"/>
          </w:tcPr>
          <w:p w14:paraId="692B6312">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eastAsia="zh-CN"/>
              </w:rPr>
            </w:pPr>
            <w:r>
              <w:rPr>
                <w:rFonts w:hint="eastAsia" w:ascii="宋体" w:hAnsi="宋体" w:eastAsia="宋体" w:cs="宋体"/>
                <w:color w:val="auto"/>
                <w:sz w:val="21"/>
                <w:szCs w:val="21"/>
                <w:shd w:val="clear" w:color="auto" w:fill="FFFFFF" w:themeFill="background1"/>
                <w:lang w:val="en-US" w:eastAsia="zh-CN"/>
              </w:rPr>
              <w:t>/</w:t>
            </w:r>
          </w:p>
        </w:tc>
        <w:tc>
          <w:tcPr>
            <w:tcW w:w="2183" w:type="dxa"/>
            <w:vAlign w:val="center"/>
          </w:tcPr>
          <w:p w14:paraId="47B68563">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467A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93DC21D">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地下水及土壤环境</w:t>
            </w:r>
          </w:p>
        </w:tc>
        <w:tc>
          <w:tcPr>
            <w:tcW w:w="4465" w:type="dxa"/>
            <w:vAlign w:val="center"/>
          </w:tcPr>
          <w:p w14:paraId="672CCF59">
            <w:pPr>
              <w:widowControl/>
              <w:spacing w:line="240" w:lineRule="auto"/>
              <w:jc w:val="center"/>
              <w:rPr>
                <w:rFonts w:hint="eastAsia" w:ascii="Times New Roman" w:hAnsi="Times New Roman" w:eastAsia="宋体" w:cs="Times New Roman"/>
                <w:color w:val="auto"/>
                <w:sz w:val="21"/>
                <w:szCs w:val="21"/>
                <w:shd w:val="clear" w:color="auto" w:fill="FFFFFF" w:themeFill="background1"/>
                <w:lang w:val="en-US" w:eastAsia="zh-CN"/>
              </w:rPr>
            </w:pPr>
            <w:r>
              <w:rPr>
                <w:rFonts w:hint="eastAsia" w:cs="Times New Roman"/>
                <w:color w:val="auto"/>
                <w:sz w:val="21"/>
                <w:szCs w:val="21"/>
                <w:shd w:val="clear" w:color="auto" w:fill="FFFFFF" w:themeFill="background1"/>
                <w:lang w:val="en-US" w:eastAsia="zh-CN"/>
              </w:rPr>
              <w:t>/</w:t>
            </w:r>
          </w:p>
        </w:tc>
        <w:tc>
          <w:tcPr>
            <w:tcW w:w="2882" w:type="dxa"/>
            <w:vAlign w:val="center"/>
          </w:tcPr>
          <w:p w14:paraId="3F062CE7">
            <w:pPr>
              <w:widowControl/>
              <w:spacing w:line="240" w:lineRule="auto"/>
              <w:jc w:val="center"/>
              <w:rPr>
                <w:rFonts w:hint="eastAsia" w:ascii="Times New Roman" w:hAnsi="Times New Roman" w:eastAsia="宋体" w:cs="Times New Roman"/>
                <w:color w:val="auto"/>
                <w:sz w:val="21"/>
                <w:szCs w:val="21"/>
                <w:shd w:val="clear" w:color="auto" w:fill="FFFFFF" w:themeFill="background1"/>
                <w:lang w:val="en-US" w:eastAsia="zh-CN"/>
              </w:rPr>
            </w:pPr>
            <w:r>
              <w:rPr>
                <w:rFonts w:hint="eastAsia" w:cs="Times New Roman"/>
                <w:color w:val="auto"/>
                <w:sz w:val="21"/>
                <w:szCs w:val="21"/>
                <w:shd w:val="clear" w:color="auto" w:fill="FFFFFF" w:themeFill="background1"/>
                <w:lang w:val="en-US" w:eastAsia="zh-CN"/>
              </w:rPr>
              <w:t>/</w:t>
            </w:r>
          </w:p>
        </w:tc>
        <w:tc>
          <w:tcPr>
            <w:tcW w:w="2810" w:type="dxa"/>
            <w:vAlign w:val="center"/>
          </w:tcPr>
          <w:p w14:paraId="0FC15226">
            <w:pPr>
              <w:widowControl/>
              <w:spacing w:line="240" w:lineRule="auto"/>
              <w:jc w:val="center"/>
              <w:rPr>
                <w:rFonts w:hint="eastAsia" w:ascii="Times New Roman" w:hAnsi="Times New Roman" w:eastAsia="宋体" w:cs="Times New Roman"/>
                <w:color w:val="auto"/>
                <w:sz w:val="21"/>
                <w:szCs w:val="21"/>
                <w:shd w:val="clear" w:color="auto" w:fill="FFFFFF" w:themeFill="background1"/>
                <w:lang w:val="en-US" w:eastAsia="zh-CN"/>
              </w:rPr>
            </w:pPr>
            <w:r>
              <w:rPr>
                <w:rFonts w:hint="eastAsia" w:cs="Times New Roman"/>
                <w:color w:val="auto"/>
                <w:sz w:val="21"/>
                <w:szCs w:val="21"/>
                <w:shd w:val="clear" w:color="auto" w:fill="FFFFFF" w:themeFill="background1"/>
                <w:lang w:val="en-US" w:eastAsia="zh-CN"/>
              </w:rPr>
              <w:t>/</w:t>
            </w:r>
          </w:p>
        </w:tc>
        <w:tc>
          <w:tcPr>
            <w:tcW w:w="2183" w:type="dxa"/>
            <w:vAlign w:val="center"/>
          </w:tcPr>
          <w:p w14:paraId="74453118">
            <w:pPr>
              <w:widowControl/>
              <w:spacing w:line="240" w:lineRule="auto"/>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7281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35634E0">
            <w:pPr>
              <w:widowControl/>
              <w:spacing w:line="276" w:lineRule="auto"/>
              <w:ind w:left="0" w:leftChars="0" w:firstLine="0" w:firstLineChars="0"/>
              <w:jc w:val="center"/>
              <w:rPr>
                <w:rFonts w:asciiTheme="minorEastAsia" w:hAnsiTheme="minorEastAsia" w:eastAsiaTheme="minorEastAsia"/>
                <w:color w:val="auto"/>
                <w:sz w:val="21"/>
                <w:szCs w:val="21"/>
                <w:shd w:val="clear" w:color="auto" w:fill="FFFFFF" w:themeFill="background1"/>
              </w:rPr>
            </w:pPr>
            <w:r>
              <w:rPr>
                <w:rFonts w:asciiTheme="minorEastAsia" w:hAnsiTheme="minorEastAsia" w:eastAsiaTheme="minorEastAsia"/>
                <w:color w:val="auto"/>
                <w:sz w:val="21"/>
                <w:szCs w:val="21"/>
                <w:shd w:val="clear" w:color="auto" w:fill="FFFFFF" w:themeFill="background1"/>
              </w:rPr>
              <w:t>声环境</w:t>
            </w:r>
          </w:p>
        </w:tc>
        <w:tc>
          <w:tcPr>
            <w:tcW w:w="4465" w:type="dxa"/>
            <w:vAlign w:val="center"/>
          </w:tcPr>
          <w:p w14:paraId="05206241">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（1）噪声源控制：施工过程中要尽量选用低噪声设备，对机械设备</w:t>
            </w:r>
            <w:r>
              <w:rPr>
                <w:rFonts w:hint="default" w:ascii="Times New Roman" w:hAnsi="Times New Roman" w:cs="Times New Roman" w:eastAsiaTheme="minorEastAsia"/>
                <w:color w:val="auto"/>
                <w:sz w:val="21"/>
                <w:szCs w:val="21"/>
                <w:shd w:val="clear" w:color="auto" w:fill="FFFFFF" w:themeFill="background1"/>
                <w:lang w:eastAsia="zh-CN"/>
              </w:rPr>
              <w:t>定期</w:t>
            </w:r>
            <w:r>
              <w:rPr>
                <w:rFonts w:hint="default" w:ascii="Times New Roman" w:hAnsi="Times New Roman" w:cs="Times New Roman" w:eastAsiaTheme="minorEastAsia"/>
                <w:color w:val="auto"/>
                <w:sz w:val="21"/>
                <w:szCs w:val="21"/>
                <w:shd w:val="clear" w:color="auto" w:fill="FFFFFF" w:themeFill="background1"/>
              </w:rPr>
              <w:t>养护，保持良好的运行工况，减低设备运行噪声；加强设备的维护和管理，以减少运行噪声；降低混凝土振动器噪音，将高频振动器施工改为低频率振动器以减少施工噪声</w:t>
            </w:r>
            <w:r>
              <w:rPr>
                <w:rFonts w:hint="default" w:ascii="Times New Roman" w:hAnsi="Times New Roman" w:cs="Times New Roman" w:eastAsiaTheme="minorEastAsia"/>
                <w:color w:val="auto"/>
                <w:sz w:val="21"/>
                <w:szCs w:val="21"/>
                <w:shd w:val="clear" w:color="auto" w:fill="FFFFFF" w:themeFill="background1"/>
                <w:lang w:eastAsia="zh-CN"/>
              </w:rPr>
              <w:t>；</w:t>
            </w:r>
          </w:p>
          <w:p w14:paraId="46668147">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（2）在施工布置上力求噪声源远离附近居民区，合理安排施工计划，施工单位应采取合理安排施工机械操作时间的方法加以缓解，并减少同时作业的高噪施工机械数量，尽可能减轻声源叠加影响。应避免夜间 22:00-06:00 时段作业，以减少对周围村居民的影响。施工车辆经过居民点和施工营地等敏感点时，减少鸣笛次数，合理安排运输时间，尽量避免道路车辆扰民</w:t>
            </w:r>
          </w:p>
          <w:p w14:paraId="3446B4DA">
            <w:pPr>
              <w:pStyle w:val="20"/>
              <w:keepNext w:val="0"/>
              <w:keepLines w:val="0"/>
              <w:widowControl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w:t>
            </w:r>
            <w:r>
              <w:rPr>
                <w:rFonts w:hint="default" w:ascii="Times New Roman" w:hAnsi="Times New Roman" w:cs="Times New Roman" w:eastAsiaTheme="minorEastAsia"/>
                <w:color w:val="auto"/>
                <w:sz w:val="21"/>
                <w:szCs w:val="21"/>
                <w:shd w:val="clear" w:color="auto" w:fill="FFFFFF" w:themeFill="background1"/>
                <w:lang w:val="en-US" w:eastAsia="zh-CN"/>
              </w:rPr>
              <w:t>3</w:t>
            </w:r>
            <w:r>
              <w:rPr>
                <w:rFonts w:hint="default" w:ascii="Times New Roman" w:hAnsi="Times New Roman" w:cs="Times New Roman" w:eastAsiaTheme="minorEastAsia"/>
                <w:color w:val="auto"/>
                <w:sz w:val="21"/>
                <w:szCs w:val="21"/>
                <w:shd w:val="clear" w:color="auto" w:fill="FFFFFF" w:themeFill="background1"/>
              </w:rPr>
              <w:t>）传播途径控制：建设单位在施工场地周围</w:t>
            </w:r>
            <w:r>
              <w:rPr>
                <w:rFonts w:hint="default" w:ascii="Times New Roman" w:hAnsi="Times New Roman" w:cs="Times New Roman" w:eastAsiaTheme="minorEastAsia"/>
                <w:color w:val="auto"/>
                <w:sz w:val="21"/>
                <w:szCs w:val="21"/>
                <w:shd w:val="clear" w:color="auto" w:fill="FFFFFF" w:themeFill="background1"/>
                <w:lang w:eastAsia="zh-CN"/>
              </w:rPr>
              <w:t>距离居民点较近</w:t>
            </w:r>
            <w:r>
              <w:rPr>
                <w:rFonts w:hint="default" w:ascii="Times New Roman" w:hAnsi="Times New Roman" w:cs="Times New Roman" w:eastAsiaTheme="minorEastAsia"/>
                <w:color w:val="auto"/>
                <w:sz w:val="21"/>
                <w:szCs w:val="21"/>
                <w:shd w:val="clear" w:color="auto" w:fill="FFFFFF" w:themeFill="background1"/>
              </w:rPr>
              <w:t>的地方设立临时声屏障，以减轻设备噪声对周围环境的影响。</w:t>
            </w:r>
          </w:p>
          <w:p w14:paraId="1DC462E5">
            <w:pPr>
              <w:pStyle w:val="20"/>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lang w:val="en-US" w:eastAsia="zh-CN"/>
              </w:rPr>
              <w:t>由于本工程为线性工程，各保护目标仅在其附近施工点施工期间会受到施工噪声影响，每个工程点的施工时间较短，随着施工点的移动其噪声对周围保护目标的影响将随着消失。采取上述措施后，施工期对声环境的影响可接受。</w:t>
            </w:r>
          </w:p>
        </w:tc>
        <w:tc>
          <w:tcPr>
            <w:tcW w:w="2882" w:type="dxa"/>
            <w:vAlign w:val="center"/>
          </w:tcPr>
          <w:p w14:paraId="34A3FD07">
            <w:pPr>
              <w:pStyle w:val="20"/>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eastAsia="宋体" w:cs="Times New Roman"/>
                <w:color w:val="000000"/>
                <w:kern w:val="2"/>
                <w:sz w:val="21"/>
                <w:szCs w:val="21"/>
                <w:lang w:val="en-US" w:eastAsia="zh-CN" w:bidi="ar"/>
              </w:rPr>
              <w:t>施工厂界噪声满足《建筑施工场界环境噪声排放标准》（GB12523-2011）要求。</w:t>
            </w:r>
          </w:p>
        </w:tc>
        <w:tc>
          <w:tcPr>
            <w:tcW w:w="2810" w:type="dxa"/>
            <w:vAlign w:val="center"/>
          </w:tcPr>
          <w:p w14:paraId="1BF21733">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183" w:type="dxa"/>
            <w:vAlign w:val="center"/>
          </w:tcPr>
          <w:p w14:paraId="450C4414">
            <w:pPr>
              <w:widowControl/>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08AC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5083AEB">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振动</w:t>
            </w:r>
          </w:p>
        </w:tc>
        <w:tc>
          <w:tcPr>
            <w:tcW w:w="4465" w:type="dxa"/>
            <w:vAlign w:val="center"/>
          </w:tcPr>
          <w:p w14:paraId="6ABE869F">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sz w:val="20"/>
                <w:szCs w:val="20"/>
              </w:rPr>
              <w:t>/</w:t>
            </w:r>
          </w:p>
        </w:tc>
        <w:tc>
          <w:tcPr>
            <w:tcW w:w="2882" w:type="dxa"/>
            <w:vAlign w:val="center"/>
          </w:tcPr>
          <w:p w14:paraId="348686E0">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sz w:val="20"/>
                <w:szCs w:val="20"/>
              </w:rPr>
              <w:t>/</w:t>
            </w:r>
          </w:p>
        </w:tc>
        <w:tc>
          <w:tcPr>
            <w:tcW w:w="2810" w:type="dxa"/>
            <w:vAlign w:val="center"/>
          </w:tcPr>
          <w:p w14:paraId="4C29FBCB">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sz w:val="20"/>
                <w:szCs w:val="20"/>
              </w:rPr>
              <w:t>/</w:t>
            </w:r>
          </w:p>
        </w:tc>
        <w:tc>
          <w:tcPr>
            <w:tcW w:w="2183" w:type="dxa"/>
            <w:vAlign w:val="center"/>
          </w:tcPr>
          <w:p w14:paraId="17E56779">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sz w:val="20"/>
                <w:szCs w:val="20"/>
              </w:rPr>
              <w:t>/</w:t>
            </w:r>
          </w:p>
        </w:tc>
      </w:tr>
      <w:tr w14:paraId="42A8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E8FA6BE">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大气环境</w:t>
            </w:r>
          </w:p>
        </w:tc>
        <w:tc>
          <w:tcPr>
            <w:tcW w:w="4465" w:type="dxa"/>
            <w:vAlign w:val="center"/>
          </w:tcPr>
          <w:p w14:paraId="7EF15FB2">
            <w:pPr>
              <w:widowControl/>
              <w:spacing w:line="240" w:lineRule="auto"/>
              <w:ind w:left="0" w:leftChars="0" w:firstLine="0" w:firstLineChars="0"/>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rPr>
              <w:t>制定严格的施工期扬尘防治管理制度，防治责任落实到人，实行责任人制度</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rPr>
              <w:t>在靠近敏感点的施工场地的边界设置2.5m以上的围挡</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rPr>
              <w:t>施工场地每天定时洒水，防止浮尘产生，在大风日加大洒水量及次数</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rPr>
              <w:t>容易产生扬尘的建筑材料，堆放在远离附近敏感点的地方，采取密闭存储、设置围挡或堆砌围墙、采用防尘布苫盖或者其他防尘措施</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rPr>
              <w:t>项目建筑砂石料在运输过程中，应采用防尘布遮盖</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lang w:eastAsia="zh-CN"/>
              </w:rPr>
              <w:t>临时堆存表土堆放的四周采用编织袋挡墙，采用土工布覆盖</w:t>
            </w:r>
            <w:r>
              <w:rPr>
                <w:rFonts w:hint="eastAsia" w:cs="Times New Roman"/>
                <w:color w:val="auto"/>
                <w:sz w:val="21"/>
                <w:szCs w:val="21"/>
                <w:shd w:val="clear" w:color="auto" w:fill="FFFFFF" w:themeFill="background1"/>
                <w:lang w:eastAsia="zh-CN"/>
              </w:rPr>
              <w:t>；</w:t>
            </w:r>
            <w:r>
              <w:rPr>
                <w:rFonts w:hint="default" w:ascii="Times New Roman" w:hAnsi="Times New Roman" w:eastAsia="宋体" w:cs="Times New Roman"/>
                <w:color w:val="auto"/>
                <w:sz w:val="21"/>
                <w:szCs w:val="21"/>
                <w:shd w:val="clear" w:color="auto" w:fill="FFFFFF" w:themeFill="background1"/>
              </w:rPr>
              <w:t>选用低能耗、低污染排放的施工机械和车辆，使用优质燃油。</w:t>
            </w:r>
          </w:p>
        </w:tc>
        <w:tc>
          <w:tcPr>
            <w:tcW w:w="2882" w:type="dxa"/>
            <w:vAlign w:val="center"/>
          </w:tcPr>
          <w:p w14:paraId="15049ACD">
            <w:pPr>
              <w:widowControl/>
              <w:spacing w:line="240" w:lineRule="auto"/>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lang w:val="en-US" w:eastAsia="zh-CN"/>
              </w:rPr>
              <w:t>施工扬尘满足《大气污染物综合排放标准》（GB16297-1996）表2无组织排放监测浓度限值</w:t>
            </w:r>
          </w:p>
        </w:tc>
        <w:tc>
          <w:tcPr>
            <w:tcW w:w="2810" w:type="dxa"/>
            <w:vAlign w:val="center"/>
          </w:tcPr>
          <w:p w14:paraId="656ADF0B">
            <w:pPr>
              <w:widowControl/>
              <w:spacing w:line="240" w:lineRule="auto"/>
              <w:ind w:left="0" w:leftChars="0" w:firstLine="0" w:firstLineChars="0"/>
              <w:jc w:val="center"/>
              <w:rPr>
                <w:rFonts w:hint="eastAsia" w:ascii="Times New Roman" w:hAnsi="Times New Roman" w:eastAsia="宋体" w:cs="Times New Roman"/>
                <w:color w:val="auto"/>
                <w:sz w:val="21"/>
                <w:szCs w:val="21"/>
                <w:shd w:val="clear" w:color="auto" w:fill="FFFFFF" w:themeFill="background1"/>
                <w:lang w:val="en-US" w:eastAsia="zh-CN"/>
              </w:rPr>
            </w:pPr>
            <w:r>
              <w:rPr>
                <w:rFonts w:hint="eastAsia" w:cs="Times New Roman"/>
                <w:color w:val="auto"/>
                <w:sz w:val="21"/>
                <w:szCs w:val="21"/>
                <w:shd w:val="clear" w:color="auto" w:fill="FFFFFF" w:themeFill="background1"/>
                <w:lang w:val="en-US" w:eastAsia="zh-CN"/>
              </w:rPr>
              <w:t>/</w:t>
            </w:r>
          </w:p>
        </w:tc>
        <w:tc>
          <w:tcPr>
            <w:tcW w:w="2183" w:type="dxa"/>
            <w:vAlign w:val="center"/>
          </w:tcPr>
          <w:p w14:paraId="37D794B6">
            <w:pPr>
              <w:widowControl/>
              <w:spacing w:line="240" w:lineRule="auto"/>
              <w:ind w:left="0" w:leftChars="0" w:firstLine="0" w:firstLineChars="0"/>
              <w:jc w:val="center"/>
              <w:rPr>
                <w:rFonts w:hint="eastAsia" w:ascii="Times New Roman" w:hAnsi="Times New Roman" w:eastAsia="宋体" w:cs="Times New Roman"/>
                <w:color w:val="auto"/>
                <w:sz w:val="21"/>
                <w:szCs w:val="21"/>
                <w:shd w:val="clear" w:color="auto" w:fill="FFFFFF" w:themeFill="background1"/>
                <w:lang w:val="en-US" w:eastAsia="zh-CN"/>
              </w:rPr>
            </w:pPr>
            <w:r>
              <w:rPr>
                <w:rFonts w:hint="eastAsia" w:cs="Times New Roman"/>
                <w:color w:val="auto"/>
                <w:sz w:val="21"/>
                <w:szCs w:val="21"/>
                <w:shd w:val="clear" w:color="auto" w:fill="FFFFFF" w:themeFill="background1"/>
                <w:lang w:val="en-US" w:eastAsia="zh-CN"/>
              </w:rPr>
              <w:t>/</w:t>
            </w:r>
          </w:p>
        </w:tc>
      </w:tr>
      <w:tr w14:paraId="6303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B22A55E">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固体废物</w:t>
            </w:r>
          </w:p>
        </w:tc>
        <w:tc>
          <w:tcPr>
            <w:tcW w:w="4465" w:type="dxa"/>
            <w:vAlign w:val="center"/>
          </w:tcPr>
          <w:p w14:paraId="6C549686">
            <w:pPr>
              <w:pStyle w:val="20"/>
              <w:keepNext w:val="0"/>
              <w:keepLines w:val="0"/>
              <w:widowControl w:val="0"/>
              <w:suppressLineNumbers w:val="0"/>
              <w:spacing w:before="0" w:beforeAutospacing="0" w:after="0" w:afterAutospacing="0" w:line="240" w:lineRule="auto"/>
              <w:ind w:left="0" w:leftChars="0" w:right="0" w:firstLine="0" w:firstLineChars="0"/>
              <w:jc w:val="both"/>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eastAsia="宋体" w:cs="Times New Roman"/>
                <w:color w:val="000000"/>
                <w:kern w:val="2"/>
                <w:sz w:val="21"/>
                <w:szCs w:val="21"/>
                <w:lang w:val="en-US" w:eastAsia="zh-CN" w:bidi="ar"/>
              </w:rPr>
              <w:t>施工共计开挖土石方35116.35 m³，综合回填利用土石方35116.34 m³，产生弃渣0m³。堆存表土用于后期工程复耕及方案中绿化覆土。工程建设无永久弃渣产生，项目不设置弃渣场；建筑垃圾应分类堆放，能回收利用的尽量回收利用，能出售给废品回收站的出售给废品回收站，不能回收利用的按住建部门要求进行规范处置。防止其因长期堆放而产生污染，禁止乱丢乱弃</w:t>
            </w:r>
            <w:r>
              <w:rPr>
                <w:rFonts w:hint="eastAsia"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施工区内设置垃圾箱，收集施工人员生活垃圾；划定卫生责任区，并确定责任人和定期清扫的周期；生活垃圾收集后运至周边村庄生活垃圾堆存。</w:t>
            </w:r>
          </w:p>
        </w:tc>
        <w:tc>
          <w:tcPr>
            <w:tcW w:w="2882" w:type="dxa"/>
            <w:vAlign w:val="center"/>
          </w:tcPr>
          <w:p w14:paraId="6C9E505B">
            <w:pPr>
              <w:widowControl/>
              <w:spacing w:line="240" w:lineRule="auto"/>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eastAsia="zh-CN"/>
              </w:rPr>
              <w:t>固废处置率</w:t>
            </w:r>
            <w:r>
              <w:rPr>
                <w:rFonts w:hint="eastAsia" w:cs="Times New Roman" w:eastAsiaTheme="minorEastAsia"/>
                <w:color w:val="auto"/>
                <w:sz w:val="21"/>
                <w:szCs w:val="21"/>
                <w:shd w:val="clear" w:color="auto" w:fill="FFFFFF" w:themeFill="background1"/>
                <w:lang w:val="en-US" w:eastAsia="zh-CN"/>
              </w:rPr>
              <w:t>100%</w:t>
            </w:r>
          </w:p>
        </w:tc>
        <w:tc>
          <w:tcPr>
            <w:tcW w:w="2810" w:type="dxa"/>
            <w:vAlign w:val="center"/>
          </w:tcPr>
          <w:p w14:paraId="68931FF3">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183" w:type="dxa"/>
            <w:vAlign w:val="center"/>
          </w:tcPr>
          <w:p w14:paraId="757FC3B9">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1798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50A38B7">
            <w:pPr>
              <w:widowControl/>
              <w:spacing w:line="276" w:lineRule="auto"/>
              <w:ind w:left="0" w:leftChars="0" w:firstLine="0" w:firstLineChars="0"/>
              <w:jc w:val="center"/>
              <w:rPr>
                <w:rFonts w:hint="eastAsia" w:eastAsia="宋体"/>
                <w:color w:val="auto"/>
                <w:sz w:val="21"/>
                <w:szCs w:val="21"/>
                <w:shd w:val="clear" w:color="auto" w:fill="FFFFFF" w:themeFill="background1"/>
                <w:lang w:eastAsia="zh-CN"/>
              </w:rPr>
            </w:pPr>
            <w:r>
              <w:rPr>
                <w:rFonts w:hint="eastAsia" w:eastAsia="宋体"/>
                <w:color w:val="auto"/>
                <w:sz w:val="21"/>
                <w:szCs w:val="21"/>
                <w:shd w:val="clear" w:color="auto" w:fill="FFFFFF" w:themeFill="background1"/>
                <w:lang w:eastAsia="zh-CN"/>
              </w:rPr>
              <w:t>电磁环境</w:t>
            </w:r>
          </w:p>
        </w:tc>
        <w:tc>
          <w:tcPr>
            <w:tcW w:w="4465" w:type="dxa"/>
            <w:vAlign w:val="center"/>
          </w:tcPr>
          <w:p w14:paraId="16381229">
            <w:pPr>
              <w:widowControl/>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882" w:type="dxa"/>
            <w:vAlign w:val="center"/>
          </w:tcPr>
          <w:p w14:paraId="50F006BA">
            <w:pPr>
              <w:widowControl/>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810" w:type="dxa"/>
            <w:vAlign w:val="center"/>
          </w:tcPr>
          <w:p w14:paraId="6656BEBD">
            <w:pPr>
              <w:widowControl/>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183" w:type="dxa"/>
            <w:vAlign w:val="center"/>
          </w:tcPr>
          <w:p w14:paraId="7111916E">
            <w:pPr>
              <w:widowControl/>
              <w:spacing w:line="240" w:lineRule="auto"/>
              <w:ind w:left="0" w:leftChars="0" w:firstLine="0" w:firstLineChars="0"/>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200E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B930621">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环境风险</w:t>
            </w:r>
          </w:p>
        </w:tc>
        <w:tc>
          <w:tcPr>
            <w:tcW w:w="4465" w:type="dxa"/>
            <w:vAlign w:val="center"/>
          </w:tcPr>
          <w:p w14:paraId="1788606B">
            <w:pPr>
              <w:widowControl/>
              <w:spacing w:line="240" w:lineRule="auto"/>
              <w:ind w:left="0" w:leftChars="0" w:firstLine="0" w:firstLineChars="0"/>
              <w:jc w:val="both"/>
              <w:rPr>
                <w:rFonts w:hint="default" w:ascii="Times New Roman" w:hAnsi="Times New Roman" w:cs="Times New Roman"/>
                <w:color w:val="auto"/>
                <w:sz w:val="21"/>
                <w:szCs w:val="21"/>
                <w:shd w:val="clear" w:color="auto" w:fill="FFFFFF" w:themeFill="background1"/>
              </w:rPr>
            </w:pPr>
            <w:r>
              <w:rPr>
                <w:rFonts w:hint="eastAsia" w:ascii="Times New Roman" w:hAnsi="Times New Roman" w:cs="Times New Roman" w:eastAsiaTheme="minorEastAsia"/>
                <w:color w:val="auto"/>
                <w:sz w:val="21"/>
                <w:szCs w:val="21"/>
                <w:shd w:val="clear" w:color="auto" w:fill="FFFFFF" w:themeFill="background1"/>
                <w:lang w:val="en-US" w:eastAsia="zh-CN"/>
              </w:rPr>
              <w:t>天气恶劣的情况下，禁止施工；重视对施工人员的管理和培训，尤其是提高施工人员安全生产的高度责任感和责任心，增强对潜在事故风险的认识，提高实际操作应变能力，避免人为因素导致的风险事故；配备一定数量的吸油毡、围油栏、消油剂，用于处理施工水域发生的漏油事故。</w:t>
            </w:r>
          </w:p>
        </w:tc>
        <w:tc>
          <w:tcPr>
            <w:tcW w:w="2882" w:type="dxa"/>
            <w:vAlign w:val="center"/>
          </w:tcPr>
          <w:p w14:paraId="5D0C5609">
            <w:pPr>
              <w:widowControl/>
              <w:spacing w:line="240" w:lineRule="auto"/>
              <w:ind w:firstLine="420" w:firstLineChars="200"/>
              <w:jc w:val="both"/>
              <w:rPr>
                <w:rFonts w:hint="default" w:ascii="Times New Roman" w:hAnsi="Times New Roman" w:eastAsia="宋体" w:cs="Times New Roman"/>
                <w:color w:val="auto"/>
                <w:sz w:val="21"/>
                <w:szCs w:val="21"/>
                <w:shd w:val="clear" w:color="auto" w:fill="FFFFFF" w:themeFill="background1"/>
              </w:rPr>
            </w:pPr>
            <w:r>
              <w:rPr>
                <w:rFonts w:hint="eastAsia" w:cs="Times New Roman" w:eastAsiaTheme="minorEastAsia"/>
                <w:color w:val="auto"/>
                <w:sz w:val="21"/>
                <w:szCs w:val="21"/>
                <w:shd w:val="clear" w:color="auto" w:fill="FFFFFF" w:themeFill="background1"/>
                <w:lang w:val="en-US" w:eastAsia="zh-CN"/>
              </w:rPr>
              <w:t>避免风险事故的发生</w:t>
            </w:r>
          </w:p>
        </w:tc>
        <w:tc>
          <w:tcPr>
            <w:tcW w:w="2810" w:type="dxa"/>
            <w:vAlign w:val="center"/>
          </w:tcPr>
          <w:p w14:paraId="3C506081">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183" w:type="dxa"/>
            <w:vAlign w:val="center"/>
          </w:tcPr>
          <w:p w14:paraId="72087256">
            <w:pPr>
              <w:spacing w:before="35" w:line="240" w:lineRule="auto"/>
              <w:ind w:left="0" w:leftChars="0" w:firstLine="0" w:firstLineChars="0"/>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ascii="Times New Roman" w:hAnsi="Times New Roman" w:cs="Times New Roman" w:eastAsiaTheme="minorEastAsia"/>
                <w:color w:val="auto"/>
                <w:sz w:val="21"/>
                <w:szCs w:val="21"/>
                <w:shd w:val="clear" w:color="auto" w:fill="FFFFFF" w:themeFill="background1"/>
                <w:lang w:val="en-US" w:eastAsia="zh-CN"/>
              </w:rPr>
              <w:t>制定本项目的风险处理方案和应急预案</w:t>
            </w:r>
          </w:p>
        </w:tc>
      </w:tr>
      <w:tr w14:paraId="0CFF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4605F85">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环境监测</w:t>
            </w:r>
          </w:p>
        </w:tc>
        <w:tc>
          <w:tcPr>
            <w:tcW w:w="4465" w:type="dxa"/>
            <w:vAlign w:val="center"/>
          </w:tcPr>
          <w:p w14:paraId="7CCD17D3">
            <w:pPr>
              <w:widowControl/>
              <w:spacing w:line="240" w:lineRule="auto"/>
              <w:jc w:val="center"/>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eastAsia="宋体" w:cs="Times New Roman"/>
                <w:color w:val="000000"/>
                <w:kern w:val="2"/>
                <w:sz w:val="21"/>
                <w:szCs w:val="21"/>
                <w:lang w:val="en-US" w:eastAsia="zh-CN" w:bidi="ar"/>
              </w:rPr>
              <w:t>大气环境、声环境监测</w:t>
            </w:r>
            <w:r>
              <w:rPr>
                <w:rFonts w:hint="eastAsia"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水环境监测</w:t>
            </w:r>
          </w:p>
        </w:tc>
        <w:tc>
          <w:tcPr>
            <w:tcW w:w="2882" w:type="dxa"/>
            <w:vAlign w:val="center"/>
          </w:tcPr>
          <w:p w14:paraId="71169C59">
            <w:pPr>
              <w:widowControl/>
              <w:spacing w:line="240" w:lineRule="auto"/>
              <w:jc w:val="center"/>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调查施工期是否开展环境监测，施工期污染物是否达标排放。</w:t>
            </w:r>
          </w:p>
        </w:tc>
        <w:tc>
          <w:tcPr>
            <w:tcW w:w="2810" w:type="dxa"/>
            <w:vAlign w:val="center"/>
          </w:tcPr>
          <w:p w14:paraId="27E0ADED">
            <w:pPr>
              <w:widowControl/>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c>
          <w:tcPr>
            <w:tcW w:w="2183" w:type="dxa"/>
            <w:vAlign w:val="center"/>
          </w:tcPr>
          <w:p w14:paraId="57EFB251">
            <w:pPr>
              <w:spacing w:before="40"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themeFill="background1"/>
                <w:lang w:val="en-US" w:eastAsia="zh-CN"/>
              </w:rPr>
            </w:pPr>
            <w:r>
              <w:rPr>
                <w:rFonts w:hint="eastAsia" w:cs="Times New Roman" w:eastAsiaTheme="minorEastAsia"/>
                <w:color w:val="auto"/>
                <w:sz w:val="21"/>
                <w:szCs w:val="21"/>
                <w:shd w:val="clear" w:color="auto" w:fill="FFFFFF" w:themeFill="background1"/>
                <w:lang w:val="en-US" w:eastAsia="zh-CN"/>
              </w:rPr>
              <w:t>/</w:t>
            </w:r>
          </w:p>
        </w:tc>
      </w:tr>
      <w:tr w14:paraId="0004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49A5631">
            <w:pPr>
              <w:widowControl/>
              <w:spacing w:line="276" w:lineRule="auto"/>
              <w:ind w:left="0" w:leftChars="0" w:firstLine="0" w:firstLineChars="0"/>
              <w:jc w:val="center"/>
              <w:rPr>
                <w:rFonts w:eastAsia="宋体"/>
                <w:color w:val="auto"/>
                <w:sz w:val="21"/>
                <w:szCs w:val="21"/>
                <w:shd w:val="clear" w:color="auto" w:fill="FFFFFF" w:themeFill="background1"/>
              </w:rPr>
            </w:pPr>
            <w:r>
              <w:rPr>
                <w:rFonts w:eastAsia="宋体"/>
                <w:color w:val="auto"/>
                <w:sz w:val="21"/>
                <w:szCs w:val="21"/>
                <w:shd w:val="clear" w:color="auto" w:fill="FFFFFF" w:themeFill="background1"/>
              </w:rPr>
              <w:t>其他</w:t>
            </w:r>
          </w:p>
        </w:tc>
        <w:tc>
          <w:tcPr>
            <w:tcW w:w="4465" w:type="dxa"/>
            <w:vAlign w:val="center"/>
          </w:tcPr>
          <w:p w14:paraId="1D9E05EF">
            <w:pPr>
              <w:widowControl/>
              <w:spacing w:line="240" w:lineRule="auto"/>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加强施工期环境管理，开展施工期环境监理</w:t>
            </w:r>
          </w:p>
        </w:tc>
        <w:tc>
          <w:tcPr>
            <w:tcW w:w="2882" w:type="dxa"/>
            <w:vAlign w:val="center"/>
          </w:tcPr>
          <w:p w14:paraId="77F92E04">
            <w:pPr>
              <w:widowControl/>
              <w:spacing w:line="240" w:lineRule="auto"/>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加强施工期环境管理，开展施工期环境监理</w:t>
            </w:r>
          </w:p>
        </w:tc>
        <w:tc>
          <w:tcPr>
            <w:tcW w:w="2810" w:type="dxa"/>
            <w:vAlign w:val="center"/>
          </w:tcPr>
          <w:p w14:paraId="3C29FF17">
            <w:pPr>
              <w:widowControl/>
              <w:spacing w:line="240" w:lineRule="auto"/>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建立运营期环境管理机制</w:t>
            </w:r>
          </w:p>
        </w:tc>
        <w:tc>
          <w:tcPr>
            <w:tcW w:w="2183" w:type="dxa"/>
            <w:vAlign w:val="center"/>
          </w:tcPr>
          <w:p w14:paraId="55208C34">
            <w:pPr>
              <w:widowControl/>
              <w:spacing w:line="240" w:lineRule="auto"/>
              <w:jc w:val="center"/>
              <w:rPr>
                <w:rFonts w:hint="default"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color w:val="000000"/>
                <w:kern w:val="2"/>
                <w:sz w:val="21"/>
                <w:szCs w:val="21"/>
                <w:lang w:val="en-US" w:eastAsia="zh-CN" w:bidi="ar"/>
              </w:rPr>
              <w:t>建立运营期环境管理机制</w:t>
            </w:r>
          </w:p>
        </w:tc>
      </w:tr>
    </w:tbl>
    <w:p w14:paraId="45F1936F">
      <w:pPr>
        <w:rPr>
          <w:rFonts w:hint="default" w:ascii="Times New Roman" w:hAnsi="Times New Roman" w:cs="Times New Roman"/>
          <w:color w:val="auto"/>
        </w:rPr>
      </w:pPr>
      <w:r>
        <w:rPr>
          <w:rFonts w:hint="default" w:ascii="Times New Roman" w:hAnsi="Times New Roman" w:cs="Times New Roman"/>
          <w:color w:val="auto"/>
        </w:rPr>
        <w:br w:type="page"/>
      </w:r>
    </w:p>
    <w:p w14:paraId="3D1777CA">
      <w:pPr>
        <w:pStyle w:val="13"/>
        <w:rPr>
          <w:rFonts w:hint="default" w:ascii="Times New Roman" w:hAnsi="Times New Roman"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A4E342">
      <w:pPr>
        <w:pStyle w:val="4"/>
        <w:keepNext w:val="0"/>
        <w:keepLines w:val="0"/>
        <w:pageBreakBefore/>
        <w:widowControl w:val="0"/>
        <w:kinsoku/>
        <w:wordWrap/>
        <w:overflowPunct/>
        <w:topLinePunct w:val="0"/>
        <w:autoSpaceDE/>
        <w:autoSpaceDN/>
        <w:bidi w:val="0"/>
        <w:adjustRightInd/>
        <w:snapToGrid w:val="0"/>
        <w:ind w:left="0" w:leftChars="0" w:firstLine="0" w:firstLineChars="0"/>
        <w:jc w:val="both"/>
        <w:textAlignment w:val="auto"/>
        <w:outlineLvl w:val="0"/>
        <w:rPr>
          <w:rFonts w:hint="default"/>
          <w:color w:val="auto"/>
        </w:rPr>
      </w:pPr>
      <w:bookmarkStart w:id="41" w:name="_Toc131"/>
      <w:r>
        <w:rPr>
          <w:rFonts w:hint="default"/>
          <w:color w:val="auto"/>
        </w:rPr>
        <w:t>七、结论</w:t>
      </w:r>
      <w:bookmarkEnd w:id="41"/>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14:paraId="367E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0" w:hRule="atLeast"/>
        </w:trPr>
        <w:tc>
          <w:tcPr>
            <w:tcW w:w="8520" w:type="dxa"/>
          </w:tcPr>
          <w:p w14:paraId="7E2ED2F2">
            <w:pPr>
              <w:pStyle w:val="37"/>
              <w:bidi w:val="0"/>
              <w:rPr>
                <w:color w:val="auto"/>
              </w:rPr>
            </w:pPr>
            <w:r>
              <w:rPr>
                <w:color w:val="auto"/>
              </w:rPr>
              <w:t>项目符合国家产业政策，符合国家的环保政策和相关</w:t>
            </w:r>
            <w:r>
              <w:rPr>
                <w:rFonts w:hint="eastAsia"/>
                <w:color w:val="auto"/>
                <w:lang w:eastAsia="zh-CN"/>
              </w:rPr>
              <w:t>法律法规</w:t>
            </w:r>
            <w:r>
              <w:rPr>
                <w:color w:val="auto"/>
              </w:rPr>
              <w:t>。经过分析，项目施工期不可避免地对治理河道周围的生态环境、水环境、声环境、环境空气等产生一定的负面影响，但在严格落实设计及本环评提出的各项污染防治措施和生态恢复措施后，可有效减缓施工期对生态、地表水和大气等环境的影响，并做到污染物达标排放。</w:t>
            </w:r>
          </w:p>
          <w:p w14:paraId="1B19BD3C">
            <w:pPr>
              <w:pStyle w:val="37"/>
              <w:bidi w:val="0"/>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SA"/>
              </w:rPr>
              <w:t>芒市大河新桥电站至洞坎大桥段河道治理工程主要以保护农田为主，治理段河道长3.83km，治理河段设计防洪标准为10年一遇，保护人口0.6 万人，保护耕地0.4万亩。促进当地民族团结、社会稳定和经济发展</w:t>
            </w:r>
            <w:r>
              <w:rPr>
                <w:color w:val="auto"/>
              </w:rPr>
              <w:t>。总体而言，建设单位只要认真贯彻执行国家的环保</w:t>
            </w:r>
            <w:r>
              <w:rPr>
                <w:rFonts w:hint="eastAsia"/>
                <w:color w:val="auto"/>
                <w:lang w:eastAsia="zh-CN"/>
              </w:rPr>
              <w:t>法律法规</w:t>
            </w:r>
            <w:r>
              <w:rPr>
                <w:color w:val="auto"/>
              </w:rPr>
              <w:t>，认真落实本环评提出的污染防治及生态恢复对策，可以使项目的负面影响减小到最低。所以，从环境保护的角度分析，本项目的建设是可行的</w:t>
            </w:r>
            <w:r>
              <w:rPr>
                <w:rFonts w:hint="default"/>
                <w:color w:val="auto"/>
              </w:rPr>
              <w:t>。</w:t>
            </w:r>
          </w:p>
          <w:p w14:paraId="3CF71FDA">
            <w:pPr>
              <w:spacing w:before="1" w:line="360" w:lineRule="auto"/>
              <w:ind w:firstLine="480" w:firstLineChars="200"/>
              <w:rPr>
                <w:rFonts w:hint="default" w:ascii="Times New Roman" w:hAnsi="Times New Roman" w:cs="Times New Roman"/>
                <w:color w:val="auto"/>
              </w:rPr>
            </w:pPr>
          </w:p>
        </w:tc>
      </w:tr>
    </w:tbl>
    <w:p w14:paraId="7914307C">
      <w:pPr>
        <w:pStyle w:val="13"/>
        <w:ind w:left="0" w:leftChars="0" w:firstLine="0" w:firstLineChars="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387E55E">
      <w:pPr>
        <w:pStyle w:val="13"/>
        <w:ind w:left="0" w:leftChars="0" w:firstLine="0" w:firstLineChars="0"/>
        <w:rPr>
          <w:rFonts w:hint="default" w:ascii="Times New Roman" w:hAnsi="Times New Roman" w:cs="Times New Roman"/>
          <w:color w:val="auto"/>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6B7559-BE5C-4E78-AC26-FE7DD37CA9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ì.">
    <w:altName w:val="宋体"/>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embedRegular r:id="rId2" w:fontKey="{2323AE0C-78E6-4B2C-B039-656600BE34DB}"/>
  </w:font>
  <w:font w:name="TimesNewRomanPSMT">
    <w:altName w:val="Times New Roman"/>
    <w:panose1 w:val="00000000000000000000"/>
    <w:charset w:val="86"/>
    <w:family w:val="auto"/>
    <w:pitch w:val="default"/>
    <w:sig w:usb0="00000000" w:usb1="00000000" w:usb2="00000000" w:usb3="00000000" w:csb0="00040000" w:csb1="00000000"/>
    <w:embedRegular r:id="rId3" w:fontKey="{27183378-3C7E-4CEC-BFA6-C79B4A0E59B9}"/>
  </w:font>
  <w:font w:name="仿宋">
    <w:panose1 w:val="02010609060101010101"/>
    <w:charset w:val="86"/>
    <w:family w:val="auto"/>
    <w:pitch w:val="default"/>
    <w:sig w:usb0="800002BF" w:usb1="38CF7CFA" w:usb2="00000016" w:usb3="00000000" w:csb0="00040001" w:csb1="00000000"/>
    <w:embedRegular r:id="rId4" w:fontKey="{EB3D24EE-CC4D-483B-B6D4-50AECD3B76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C62E0">
    <w:pPr>
      <w:pStyle w:val="16"/>
      <w:tabs>
        <w:tab w:val="center" w:pos="4422"/>
        <w:tab w:val="clear" w:pos="4153"/>
      </w:tabs>
      <w:ind w:right="360" w:firstLine="360"/>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91574">
    <w:pPr>
      <w:pStyle w:val="16"/>
      <w:tabs>
        <w:tab w:val="center" w:pos="4422"/>
        <w:tab w:val="clear" w:pos="4153"/>
      </w:tabs>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D9FE0">
                          <w:pPr>
                            <w:pStyle w:val="1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B9D9FE0">
                    <w:pPr>
                      <w:pStyle w:val="16"/>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06F3">
    <w:pPr>
      <w:pStyle w:val="16"/>
      <w:tabs>
        <w:tab w:val="center" w:pos="4422"/>
        <w:tab w:val="clear" w:pos="4153"/>
      </w:tabs>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78A1E">
                          <w:pPr>
                            <w:pStyle w:val="1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AD78A1E">
                    <w:pPr>
                      <w:pStyle w:val="16"/>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B966C"/>
    <w:multiLevelType w:val="singleLevel"/>
    <w:tmpl w:val="9ECB966C"/>
    <w:lvl w:ilvl="0" w:tentative="0">
      <w:start w:val="13"/>
      <w:numFmt w:val="decimal"/>
      <w:suff w:val="nothing"/>
      <w:lvlText w:val="%1、"/>
      <w:lvlJc w:val="left"/>
    </w:lvl>
  </w:abstractNum>
  <w:abstractNum w:abstractNumId="1">
    <w:nsid w:val="C7E5577C"/>
    <w:multiLevelType w:val="singleLevel"/>
    <w:tmpl w:val="C7E5577C"/>
    <w:lvl w:ilvl="0" w:tentative="0">
      <w:start w:val="1"/>
      <w:numFmt w:val="decimal"/>
      <w:suff w:val="nothing"/>
      <w:lvlText w:val="（%1）"/>
      <w:lvlJc w:val="left"/>
    </w:lvl>
  </w:abstractNum>
  <w:abstractNum w:abstractNumId="2">
    <w:nsid w:val="E2F6BB5D"/>
    <w:multiLevelType w:val="singleLevel"/>
    <w:tmpl w:val="E2F6BB5D"/>
    <w:lvl w:ilvl="0" w:tentative="0">
      <w:start w:val="5"/>
      <w:numFmt w:val="decimal"/>
      <w:suff w:val="nothing"/>
      <w:lvlText w:val="%1、"/>
      <w:lvlJc w:val="left"/>
      <w:pPr>
        <w:ind w:left="-2"/>
      </w:pPr>
    </w:lvl>
  </w:abstractNum>
  <w:abstractNum w:abstractNumId="3">
    <w:nsid w:val="56A5D4FB"/>
    <w:multiLevelType w:val="singleLevel"/>
    <w:tmpl w:val="56A5D4FB"/>
    <w:lvl w:ilvl="0" w:tentative="0">
      <w:start w:val="4"/>
      <w:numFmt w:val="decimal"/>
      <w:suff w:val="nothing"/>
      <w:lvlText w:val="（%1）"/>
      <w:lvlJc w:val="left"/>
      <w:pPr>
        <w:ind w:left="240"/>
      </w:pPr>
    </w:lvl>
  </w:abstractNum>
  <w:abstractNum w:abstractNumId="4">
    <w:nsid w:val="6CCCC454"/>
    <w:multiLevelType w:val="singleLevel"/>
    <w:tmpl w:val="6CCCC454"/>
    <w:lvl w:ilvl="0" w:tentative="0">
      <w:start w:val="4"/>
      <w:numFmt w:val="chineseCounting"/>
      <w:suff w:val="nothing"/>
      <w:lvlText w:val="%1、"/>
      <w:lvlJc w:val="left"/>
      <w:rPr>
        <w:rFonts w:hint="eastAsia"/>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OTkwMjk3YTVmNjhjYWY0MjVhZjk1NDUyYWVjYWQifQ=="/>
    <w:docVar w:name="KSO_WPS_MARK_KEY" w:val="5bad2eb2-9eb9-4e90-ae08-e2bde408e748"/>
  </w:docVars>
  <w:rsids>
    <w:rsidRoot w:val="215804DF"/>
    <w:rsid w:val="00063366"/>
    <w:rsid w:val="00170DC4"/>
    <w:rsid w:val="002144B0"/>
    <w:rsid w:val="00254F56"/>
    <w:rsid w:val="00382F93"/>
    <w:rsid w:val="004172B7"/>
    <w:rsid w:val="00456BBB"/>
    <w:rsid w:val="004D5FA5"/>
    <w:rsid w:val="004F7077"/>
    <w:rsid w:val="00550200"/>
    <w:rsid w:val="0059473E"/>
    <w:rsid w:val="0065761A"/>
    <w:rsid w:val="006C22D2"/>
    <w:rsid w:val="00733759"/>
    <w:rsid w:val="007D004D"/>
    <w:rsid w:val="007F6B74"/>
    <w:rsid w:val="00846B6B"/>
    <w:rsid w:val="00867BD1"/>
    <w:rsid w:val="008734C3"/>
    <w:rsid w:val="008E367B"/>
    <w:rsid w:val="00944838"/>
    <w:rsid w:val="00B13B81"/>
    <w:rsid w:val="00CD79DA"/>
    <w:rsid w:val="00D22875"/>
    <w:rsid w:val="00D2407B"/>
    <w:rsid w:val="00D504CF"/>
    <w:rsid w:val="00E00B7A"/>
    <w:rsid w:val="00E16617"/>
    <w:rsid w:val="00E775BF"/>
    <w:rsid w:val="00F10947"/>
    <w:rsid w:val="00FC206D"/>
    <w:rsid w:val="00FD79FC"/>
    <w:rsid w:val="00FE042D"/>
    <w:rsid w:val="019D05B4"/>
    <w:rsid w:val="01A20F1D"/>
    <w:rsid w:val="01B42948"/>
    <w:rsid w:val="028C5218"/>
    <w:rsid w:val="02D037B2"/>
    <w:rsid w:val="04581FC7"/>
    <w:rsid w:val="0497137E"/>
    <w:rsid w:val="04E11CA6"/>
    <w:rsid w:val="056247BA"/>
    <w:rsid w:val="05632AEA"/>
    <w:rsid w:val="06454B0A"/>
    <w:rsid w:val="064E5119"/>
    <w:rsid w:val="06943E1A"/>
    <w:rsid w:val="07854B6B"/>
    <w:rsid w:val="08A54AB0"/>
    <w:rsid w:val="08C73411"/>
    <w:rsid w:val="09053DD2"/>
    <w:rsid w:val="09F3011C"/>
    <w:rsid w:val="0A045CD9"/>
    <w:rsid w:val="0A457A16"/>
    <w:rsid w:val="0A4E393A"/>
    <w:rsid w:val="0A652A31"/>
    <w:rsid w:val="0AA03BA5"/>
    <w:rsid w:val="0AAD68AE"/>
    <w:rsid w:val="0ACF34B7"/>
    <w:rsid w:val="0AD179C0"/>
    <w:rsid w:val="0B6158EF"/>
    <w:rsid w:val="0BA00F9C"/>
    <w:rsid w:val="0BA055C6"/>
    <w:rsid w:val="0C1F0D74"/>
    <w:rsid w:val="0D4D7F24"/>
    <w:rsid w:val="0D562E8E"/>
    <w:rsid w:val="0D6D2B90"/>
    <w:rsid w:val="0DCE0606"/>
    <w:rsid w:val="0E060772"/>
    <w:rsid w:val="0E3015A8"/>
    <w:rsid w:val="0E533A98"/>
    <w:rsid w:val="0EA77EE8"/>
    <w:rsid w:val="0FF42F3A"/>
    <w:rsid w:val="105A548A"/>
    <w:rsid w:val="10DC0BE9"/>
    <w:rsid w:val="11380D15"/>
    <w:rsid w:val="117B2B3A"/>
    <w:rsid w:val="11990339"/>
    <w:rsid w:val="120647E8"/>
    <w:rsid w:val="12247AE0"/>
    <w:rsid w:val="12541D09"/>
    <w:rsid w:val="12647A72"/>
    <w:rsid w:val="126B2C33"/>
    <w:rsid w:val="13152F61"/>
    <w:rsid w:val="13222CAF"/>
    <w:rsid w:val="136321F3"/>
    <w:rsid w:val="1397715E"/>
    <w:rsid w:val="13A44D5C"/>
    <w:rsid w:val="14A8633C"/>
    <w:rsid w:val="15E402B8"/>
    <w:rsid w:val="163E7C76"/>
    <w:rsid w:val="16CB58B7"/>
    <w:rsid w:val="174A5489"/>
    <w:rsid w:val="178F643A"/>
    <w:rsid w:val="179705F3"/>
    <w:rsid w:val="18055854"/>
    <w:rsid w:val="186047BB"/>
    <w:rsid w:val="186E33F9"/>
    <w:rsid w:val="18980476"/>
    <w:rsid w:val="18DC3CFD"/>
    <w:rsid w:val="19214B1E"/>
    <w:rsid w:val="192561AE"/>
    <w:rsid w:val="198253AE"/>
    <w:rsid w:val="19A76BC3"/>
    <w:rsid w:val="19AC242B"/>
    <w:rsid w:val="19CC7B30"/>
    <w:rsid w:val="19E8225C"/>
    <w:rsid w:val="1AC217DA"/>
    <w:rsid w:val="1B5F527B"/>
    <w:rsid w:val="1B6F2BBE"/>
    <w:rsid w:val="1CB755B1"/>
    <w:rsid w:val="1CC21947"/>
    <w:rsid w:val="1CD05027"/>
    <w:rsid w:val="1CD7123F"/>
    <w:rsid w:val="1D27172A"/>
    <w:rsid w:val="1DC13FCB"/>
    <w:rsid w:val="1DCD0BC2"/>
    <w:rsid w:val="1DFE6FCD"/>
    <w:rsid w:val="1E4379D6"/>
    <w:rsid w:val="202251F5"/>
    <w:rsid w:val="20F76D6F"/>
    <w:rsid w:val="214178FD"/>
    <w:rsid w:val="215804DF"/>
    <w:rsid w:val="21BB19AC"/>
    <w:rsid w:val="21D64866"/>
    <w:rsid w:val="22535802"/>
    <w:rsid w:val="22D1035A"/>
    <w:rsid w:val="22D51BD5"/>
    <w:rsid w:val="233A4603"/>
    <w:rsid w:val="23663005"/>
    <w:rsid w:val="239006C7"/>
    <w:rsid w:val="23C51854"/>
    <w:rsid w:val="23F66EEF"/>
    <w:rsid w:val="242B422F"/>
    <w:rsid w:val="247F0D59"/>
    <w:rsid w:val="2480594B"/>
    <w:rsid w:val="24B86128"/>
    <w:rsid w:val="25185725"/>
    <w:rsid w:val="255E0351"/>
    <w:rsid w:val="2569405C"/>
    <w:rsid w:val="25FB6D63"/>
    <w:rsid w:val="25FF38E2"/>
    <w:rsid w:val="26357C60"/>
    <w:rsid w:val="26EC030B"/>
    <w:rsid w:val="26FD33DF"/>
    <w:rsid w:val="26FE4471"/>
    <w:rsid w:val="271318D2"/>
    <w:rsid w:val="27781B9E"/>
    <w:rsid w:val="27F82CDF"/>
    <w:rsid w:val="28FE58C7"/>
    <w:rsid w:val="29453D02"/>
    <w:rsid w:val="2ADF01E8"/>
    <w:rsid w:val="2B0A6449"/>
    <w:rsid w:val="2B294066"/>
    <w:rsid w:val="2C012128"/>
    <w:rsid w:val="2C3144DE"/>
    <w:rsid w:val="2D0A6FD4"/>
    <w:rsid w:val="2D5B2FBC"/>
    <w:rsid w:val="2E0028ED"/>
    <w:rsid w:val="2E246F0E"/>
    <w:rsid w:val="2EE91749"/>
    <w:rsid w:val="2F80363B"/>
    <w:rsid w:val="30766E97"/>
    <w:rsid w:val="309B6762"/>
    <w:rsid w:val="30D4049E"/>
    <w:rsid w:val="313B4368"/>
    <w:rsid w:val="31702BF4"/>
    <w:rsid w:val="31B42C4D"/>
    <w:rsid w:val="31DB02FA"/>
    <w:rsid w:val="31EA3521"/>
    <w:rsid w:val="32D87995"/>
    <w:rsid w:val="348A4319"/>
    <w:rsid w:val="352E5399"/>
    <w:rsid w:val="35341FA7"/>
    <w:rsid w:val="353A1FBE"/>
    <w:rsid w:val="35536526"/>
    <w:rsid w:val="35DC305C"/>
    <w:rsid w:val="366E189A"/>
    <w:rsid w:val="36B93475"/>
    <w:rsid w:val="37B023A0"/>
    <w:rsid w:val="37D50947"/>
    <w:rsid w:val="37F8477D"/>
    <w:rsid w:val="38107D84"/>
    <w:rsid w:val="381C47C8"/>
    <w:rsid w:val="386C3059"/>
    <w:rsid w:val="38720F65"/>
    <w:rsid w:val="392076F7"/>
    <w:rsid w:val="396106E4"/>
    <w:rsid w:val="39EB67B1"/>
    <w:rsid w:val="39EE2749"/>
    <w:rsid w:val="3A9B45AD"/>
    <w:rsid w:val="3ABD39BD"/>
    <w:rsid w:val="3B8A01C9"/>
    <w:rsid w:val="3C1A7270"/>
    <w:rsid w:val="3C375D3C"/>
    <w:rsid w:val="3C930EEB"/>
    <w:rsid w:val="3D0A2E41"/>
    <w:rsid w:val="3D69400B"/>
    <w:rsid w:val="3D770612"/>
    <w:rsid w:val="3DB02F1C"/>
    <w:rsid w:val="3E500B93"/>
    <w:rsid w:val="3E9673DF"/>
    <w:rsid w:val="3EC4259D"/>
    <w:rsid w:val="3ECA2888"/>
    <w:rsid w:val="3FBB2062"/>
    <w:rsid w:val="3FE80886"/>
    <w:rsid w:val="3FF27CBD"/>
    <w:rsid w:val="40044CA3"/>
    <w:rsid w:val="400E2C48"/>
    <w:rsid w:val="401D796E"/>
    <w:rsid w:val="406F5255"/>
    <w:rsid w:val="40905D53"/>
    <w:rsid w:val="40C15F0C"/>
    <w:rsid w:val="40F57E33"/>
    <w:rsid w:val="41F94352"/>
    <w:rsid w:val="42753572"/>
    <w:rsid w:val="428216CB"/>
    <w:rsid w:val="42F425C9"/>
    <w:rsid w:val="435C6356"/>
    <w:rsid w:val="443E61B6"/>
    <w:rsid w:val="44B32010"/>
    <w:rsid w:val="44F05D6C"/>
    <w:rsid w:val="45276DB4"/>
    <w:rsid w:val="45665971"/>
    <w:rsid w:val="46DC1E07"/>
    <w:rsid w:val="47411B55"/>
    <w:rsid w:val="47D01011"/>
    <w:rsid w:val="485F778A"/>
    <w:rsid w:val="48EC4B77"/>
    <w:rsid w:val="497F4527"/>
    <w:rsid w:val="498E6BA8"/>
    <w:rsid w:val="49B43CD0"/>
    <w:rsid w:val="4A151CD1"/>
    <w:rsid w:val="4A245339"/>
    <w:rsid w:val="4ADD4F0C"/>
    <w:rsid w:val="4AE635F7"/>
    <w:rsid w:val="4B045373"/>
    <w:rsid w:val="4B1E532A"/>
    <w:rsid w:val="4B8244EA"/>
    <w:rsid w:val="4BC75123"/>
    <w:rsid w:val="4C1B0BC7"/>
    <w:rsid w:val="4C2F01CE"/>
    <w:rsid w:val="4C2F308F"/>
    <w:rsid w:val="4C8E27AE"/>
    <w:rsid w:val="4CFD6159"/>
    <w:rsid w:val="4D5F42D7"/>
    <w:rsid w:val="4DA11160"/>
    <w:rsid w:val="4E702BD3"/>
    <w:rsid w:val="4E923DA2"/>
    <w:rsid w:val="4F5148FF"/>
    <w:rsid w:val="51051A07"/>
    <w:rsid w:val="512C7519"/>
    <w:rsid w:val="516E6415"/>
    <w:rsid w:val="51BE22CC"/>
    <w:rsid w:val="51C12E6A"/>
    <w:rsid w:val="51E219C3"/>
    <w:rsid w:val="523222FB"/>
    <w:rsid w:val="52656645"/>
    <w:rsid w:val="52901F11"/>
    <w:rsid w:val="52A70212"/>
    <w:rsid w:val="531D37E6"/>
    <w:rsid w:val="53FB7D71"/>
    <w:rsid w:val="5411133B"/>
    <w:rsid w:val="545804DE"/>
    <w:rsid w:val="548918E5"/>
    <w:rsid w:val="54FB0E05"/>
    <w:rsid w:val="55935C72"/>
    <w:rsid w:val="55BF0815"/>
    <w:rsid w:val="55DF4A13"/>
    <w:rsid w:val="56E44560"/>
    <w:rsid w:val="57615F38"/>
    <w:rsid w:val="57BE10F1"/>
    <w:rsid w:val="57E1522B"/>
    <w:rsid w:val="58322032"/>
    <w:rsid w:val="585A4825"/>
    <w:rsid w:val="5873328E"/>
    <w:rsid w:val="58C840FB"/>
    <w:rsid w:val="592117E6"/>
    <w:rsid w:val="599C5861"/>
    <w:rsid w:val="59D46859"/>
    <w:rsid w:val="59EB490C"/>
    <w:rsid w:val="5A181436"/>
    <w:rsid w:val="5A273960"/>
    <w:rsid w:val="5A455061"/>
    <w:rsid w:val="5A6000EC"/>
    <w:rsid w:val="5A7D706D"/>
    <w:rsid w:val="5ABC17C7"/>
    <w:rsid w:val="5AC0212D"/>
    <w:rsid w:val="5B0F0FDA"/>
    <w:rsid w:val="5B1213E7"/>
    <w:rsid w:val="5B6B13CC"/>
    <w:rsid w:val="5B9106DC"/>
    <w:rsid w:val="5C3622CD"/>
    <w:rsid w:val="5CC805D4"/>
    <w:rsid w:val="5D0C501A"/>
    <w:rsid w:val="5DA0717E"/>
    <w:rsid w:val="5E2A0BCD"/>
    <w:rsid w:val="5E2C0A12"/>
    <w:rsid w:val="5E3457DF"/>
    <w:rsid w:val="5E9F02B6"/>
    <w:rsid w:val="5F9B22A6"/>
    <w:rsid w:val="5FAB1E0A"/>
    <w:rsid w:val="5FD44EBD"/>
    <w:rsid w:val="604F1F89"/>
    <w:rsid w:val="611F03B9"/>
    <w:rsid w:val="6161602B"/>
    <w:rsid w:val="62387E4C"/>
    <w:rsid w:val="62EF64B1"/>
    <w:rsid w:val="63120666"/>
    <w:rsid w:val="632F68AE"/>
    <w:rsid w:val="63DD16C2"/>
    <w:rsid w:val="645E709B"/>
    <w:rsid w:val="6463683A"/>
    <w:rsid w:val="64F6362A"/>
    <w:rsid w:val="65B45D84"/>
    <w:rsid w:val="65B6655E"/>
    <w:rsid w:val="66074A89"/>
    <w:rsid w:val="66E849DA"/>
    <w:rsid w:val="68684D3C"/>
    <w:rsid w:val="68A13DAA"/>
    <w:rsid w:val="68A44B27"/>
    <w:rsid w:val="68A65C34"/>
    <w:rsid w:val="69824510"/>
    <w:rsid w:val="69FC398E"/>
    <w:rsid w:val="6A2E78BF"/>
    <w:rsid w:val="6A443CD4"/>
    <w:rsid w:val="6A64183E"/>
    <w:rsid w:val="6AAC50C9"/>
    <w:rsid w:val="6B45307E"/>
    <w:rsid w:val="6BBD539F"/>
    <w:rsid w:val="6C2947E2"/>
    <w:rsid w:val="6C9D1DAE"/>
    <w:rsid w:val="6D2F4002"/>
    <w:rsid w:val="6D3F3926"/>
    <w:rsid w:val="6DB225B5"/>
    <w:rsid w:val="6E2A4841"/>
    <w:rsid w:val="6E531920"/>
    <w:rsid w:val="6E6A0F5A"/>
    <w:rsid w:val="6EE13A1C"/>
    <w:rsid w:val="6F6A3147"/>
    <w:rsid w:val="705A2438"/>
    <w:rsid w:val="71233EF6"/>
    <w:rsid w:val="7214383E"/>
    <w:rsid w:val="72566757"/>
    <w:rsid w:val="72FA0C86"/>
    <w:rsid w:val="730E3E44"/>
    <w:rsid w:val="734E20E5"/>
    <w:rsid w:val="73701DF5"/>
    <w:rsid w:val="73816CB2"/>
    <w:rsid w:val="73AC6367"/>
    <w:rsid w:val="74487C30"/>
    <w:rsid w:val="744A5C16"/>
    <w:rsid w:val="744B11DE"/>
    <w:rsid w:val="749649DF"/>
    <w:rsid w:val="74BC031A"/>
    <w:rsid w:val="7570180C"/>
    <w:rsid w:val="75B275F6"/>
    <w:rsid w:val="7630047B"/>
    <w:rsid w:val="771F6F0D"/>
    <w:rsid w:val="77357BD2"/>
    <w:rsid w:val="77EC6AFF"/>
    <w:rsid w:val="78100E2E"/>
    <w:rsid w:val="786345DB"/>
    <w:rsid w:val="78901CC5"/>
    <w:rsid w:val="7923755B"/>
    <w:rsid w:val="797572B9"/>
    <w:rsid w:val="7A232871"/>
    <w:rsid w:val="7A3E58FC"/>
    <w:rsid w:val="7A484FAF"/>
    <w:rsid w:val="7A5B64AE"/>
    <w:rsid w:val="7A7E155B"/>
    <w:rsid w:val="7B085777"/>
    <w:rsid w:val="7BB7602E"/>
    <w:rsid w:val="7BBC0FD0"/>
    <w:rsid w:val="7C021A07"/>
    <w:rsid w:val="7C331F27"/>
    <w:rsid w:val="7C943EFA"/>
    <w:rsid w:val="7CDF3761"/>
    <w:rsid w:val="7D0F17D2"/>
    <w:rsid w:val="7D332F39"/>
    <w:rsid w:val="7DA0633A"/>
    <w:rsid w:val="7DCB56F9"/>
    <w:rsid w:val="7E355BCC"/>
    <w:rsid w:val="7E527BC8"/>
    <w:rsid w:val="7EFF269E"/>
    <w:rsid w:val="7F2A6108"/>
    <w:rsid w:val="7F4E65E2"/>
    <w:rsid w:val="7F5560F0"/>
    <w:rsid w:val="7F5F7291"/>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style>
  <w:style w:type="paragraph" w:styleId="4">
    <w:name w:val="heading 1"/>
    <w:basedOn w:val="1"/>
    <w:next w:val="1"/>
    <w:qFormat/>
    <w:uiPriority w:val="0"/>
    <w:pPr>
      <w:pageBreakBefore/>
      <w:snapToGrid w:val="0"/>
      <w:spacing w:beforeAutospacing="1" w:after="0" w:afterAutospacing="1" w:line="240" w:lineRule="atLeast"/>
      <w:jc w:val="center"/>
      <w:outlineLvl w:val="0"/>
    </w:pPr>
    <w:rPr>
      <w:rFonts w:ascii="Times New Roman" w:hAnsi="Times New Roman" w:eastAsia="宋体" w:cs="宋体"/>
      <w:b/>
      <w:bCs/>
      <w:kern w:val="44"/>
      <w:sz w:val="32"/>
      <w:szCs w:val="48"/>
      <w:lang w:bidi="ar"/>
    </w:rPr>
  </w:style>
  <w:style w:type="paragraph" w:styleId="5">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sz w:val="32"/>
    </w:rPr>
  </w:style>
  <w:style w:type="paragraph" w:styleId="7">
    <w:name w:val="heading 4"/>
    <w:basedOn w:val="1"/>
    <w:next w:val="1"/>
    <w:unhideWhenUsed/>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3"/>
    <w:qFormat/>
    <w:uiPriority w:val="0"/>
    <w:pPr>
      <w:pBdr>
        <w:bottom w:val="single" w:color="auto" w:sz="6" w:space="1"/>
      </w:pBdr>
      <w:tabs>
        <w:tab w:val="center" w:pos="4153"/>
        <w:tab w:val="right" w:pos="8306"/>
      </w:tabs>
      <w:snapToGrid w:val="0"/>
      <w:jc w:val="center"/>
    </w:pPr>
    <w:rPr>
      <w:sz w:val="18"/>
      <w:szCs w:val="18"/>
    </w:rPr>
  </w:style>
  <w:style w:type="paragraph" w:styleId="3">
    <w:name w:val="Body Text"/>
    <w:basedOn w:val="1"/>
    <w:next w:val="1"/>
    <w:link w:val="31"/>
    <w:qFormat/>
    <w:uiPriority w:val="99"/>
    <w:pPr>
      <w:adjustRightInd w:val="0"/>
      <w:spacing w:line="240" w:lineRule="auto"/>
      <w:ind w:firstLine="0" w:firstLineChars="0"/>
      <w:textAlignment w:val="baseline"/>
    </w:pPr>
    <w:rPr>
      <w:kern w:val="0"/>
      <w:sz w:val="21"/>
    </w:rPr>
  </w:style>
  <w:style w:type="paragraph" w:styleId="8">
    <w:name w:val="Normal Indent"/>
    <w:basedOn w:val="1"/>
    <w:next w:val="1"/>
    <w:qFormat/>
    <w:uiPriority w:val="0"/>
    <w:pPr>
      <w:spacing w:line="560" w:lineRule="exact"/>
      <w:ind w:firstLine="200" w:firstLineChars="200"/>
    </w:pPr>
    <w:rPr>
      <w:kern w:val="0"/>
    </w:rPr>
  </w:style>
  <w:style w:type="paragraph" w:styleId="9">
    <w:name w:val="caption"/>
    <w:basedOn w:val="1"/>
    <w:next w:val="1"/>
    <w:unhideWhenUsed/>
    <w:qFormat/>
    <w:uiPriority w:val="0"/>
    <w:pPr>
      <w:ind w:firstLine="0" w:firstLineChars="0"/>
      <w:contextualSpacing/>
      <w:jc w:val="center"/>
    </w:pPr>
    <w:rPr>
      <w:rFonts w:eastAsiaTheme="minorEastAsia"/>
      <w:b/>
      <w:sz w:val="21"/>
      <w:szCs w:val="20"/>
    </w:rPr>
  </w:style>
  <w:style w:type="paragraph" w:styleId="10">
    <w:name w:val="annotation text"/>
    <w:basedOn w:val="1"/>
    <w:link w:val="54"/>
    <w:qFormat/>
    <w:uiPriority w:val="0"/>
    <w:pPr>
      <w:jc w:val="left"/>
    </w:pPr>
  </w:style>
  <w:style w:type="paragraph" w:styleId="11">
    <w:name w:val="Body Text Indent"/>
    <w:basedOn w:val="1"/>
    <w:next w:val="12"/>
    <w:qFormat/>
    <w:uiPriority w:val="99"/>
    <w:pPr>
      <w:spacing w:line="420" w:lineRule="exact"/>
      <w:ind w:firstLine="528"/>
    </w:pPr>
    <w:rPr>
      <w:color w:val="000000"/>
      <w:kern w:val="0"/>
    </w:rPr>
  </w:style>
  <w:style w:type="paragraph" w:styleId="12">
    <w:name w:val="Body Text First Indent 2"/>
    <w:basedOn w:val="11"/>
    <w:next w:val="1"/>
    <w:qFormat/>
    <w:uiPriority w:val="99"/>
    <w:pPr>
      <w:adjustRightInd w:val="0"/>
      <w:snapToGrid w:val="0"/>
      <w:spacing w:line="360" w:lineRule="auto"/>
      <w:ind w:firstLine="200" w:firstLineChars="200"/>
    </w:pPr>
  </w:style>
  <w:style w:type="paragraph" w:styleId="13">
    <w:name w:val="Plain Text"/>
    <w:basedOn w:val="1"/>
    <w:qFormat/>
    <w:uiPriority w:val="0"/>
    <w:rPr>
      <w:rFonts w:hAnsi="Courier New"/>
    </w:rPr>
  </w:style>
  <w:style w:type="paragraph" w:styleId="14">
    <w:name w:val="Body Text Indent 2"/>
    <w:basedOn w:val="1"/>
    <w:next w:val="1"/>
    <w:qFormat/>
    <w:uiPriority w:val="0"/>
    <w:pPr>
      <w:ind w:firstLine="560" w:firstLineChars="200"/>
    </w:pPr>
    <w:rPr>
      <w:rFonts w:ascii="宋体" w:hAnsi="宋体"/>
      <w:sz w:val="28"/>
    </w:rPr>
  </w:style>
  <w:style w:type="paragraph" w:styleId="15">
    <w:name w:val="Balloon Text"/>
    <w:basedOn w:val="1"/>
    <w:link w:val="56"/>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toc 1"/>
    <w:basedOn w:val="1"/>
    <w:next w:val="1"/>
    <w:qFormat/>
    <w:uiPriority w:val="0"/>
  </w:style>
  <w:style w:type="paragraph" w:styleId="18">
    <w:name w:val="List"/>
    <w:basedOn w:val="1"/>
    <w:qFormat/>
    <w:uiPriority w:val="0"/>
    <w:pPr>
      <w:tabs>
        <w:tab w:val="center" w:pos="0"/>
      </w:tabs>
      <w:ind w:left="200" w:hanging="200" w:hangingChars="200"/>
    </w:pPr>
  </w:style>
  <w:style w:type="paragraph" w:styleId="19">
    <w:name w:val="toc 2"/>
    <w:basedOn w:val="1"/>
    <w:next w:val="1"/>
    <w:qFormat/>
    <w:uiPriority w:val="39"/>
    <w:pPr>
      <w:tabs>
        <w:tab w:val="right" w:leader="dot" w:pos="8398"/>
      </w:tabs>
      <w:spacing w:beforeLines="50"/>
      <w:ind w:right="210"/>
      <w:jc w:val="center"/>
    </w:pPr>
    <w:rPr>
      <w:b/>
      <w:sz w:val="44"/>
      <w:szCs w:val="44"/>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10"/>
    <w:next w:val="10"/>
    <w:link w:val="55"/>
    <w:qFormat/>
    <w:uiPriority w:val="0"/>
    <w:rPr>
      <w:b/>
      <w:bCs/>
    </w:rPr>
  </w:style>
  <w:style w:type="paragraph" w:styleId="22">
    <w:name w:val="Body Text First Indent"/>
    <w:basedOn w:val="3"/>
    <w:next w:val="1"/>
    <w:unhideWhenUsed/>
    <w:qFormat/>
    <w:uiPriority w:val="99"/>
    <w:pPr>
      <w:tabs>
        <w:tab w:val="center" w:pos="0"/>
      </w:tabs>
      <w:ind w:firstLine="420" w:firstLineChars="1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basedOn w:val="25"/>
    <w:qFormat/>
    <w:uiPriority w:val="0"/>
    <w:rPr>
      <w:color w:val="0000FF"/>
      <w:u w:val="single"/>
    </w:rPr>
  </w:style>
  <w:style w:type="character" w:styleId="28">
    <w:name w:val="annotation reference"/>
    <w:basedOn w:val="25"/>
    <w:qFormat/>
    <w:uiPriority w:val="0"/>
    <w:rPr>
      <w:sz w:val="21"/>
      <w:szCs w:val="21"/>
    </w:rPr>
  </w:style>
  <w:style w:type="paragraph" w:customStyle="1" w:styleId="29">
    <w:name w:val="报告书正文"/>
    <w:basedOn w:val="1"/>
    <w:link w:val="81"/>
    <w:qFormat/>
    <w:uiPriority w:val="0"/>
    <w:pPr>
      <w:spacing w:line="360" w:lineRule="auto"/>
      <w:ind w:firstLine="480" w:firstLineChars="200"/>
    </w:pPr>
    <w:rPr>
      <w:rFonts w:ascii="Times New Roman" w:hAnsi="Times New Roman" w:eastAsia="宋体" w:cs="Times New Roman"/>
      <w:sz w:val="24"/>
    </w:rPr>
  </w:style>
  <w:style w:type="paragraph" w:customStyle="1" w:styleId="30">
    <w:name w:val="表内容"/>
    <w:basedOn w:val="1"/>
    <w:qFormat/>
    <w:uiPriority w:val="0"/>
    <w:pPr>
      <w:adjustRightInd w:val="0"/>
      <w:snapToGrid w:val="0"/>
      <w:spacing w:line="240" w:lineRule="auto"/>
      <w:ind w:firstLine="0" w:firstLineChars="0"/>
      <w:jc w:val="center"/>
      <w:textAlignment w:val="center"/>
    </w:pPr>
    <w:rPr>
      <w:sz w:val="21"/>
      <w:szCs w:val="21"/>
    </w:rPr>
  </w:style>
  <w:style w:type="character" w:customStyle="1" w:styleId="31">
    <w:name w:val="正文文本 Char"/>
    <w:basedOn w:val="25"/>
    <w:link w:val="3"/>
    <w:qFormat/>
    <w:uiPriority w:val="99"/>
    <w:rPr>
      <w:rFonts w:eastAsia="宋体"/>
      <w:sz w:val="21"/>
      <w:szCs w:val="24"/>
    </w:rPr>
  </w:style>
  <w:style w:type="paragraph" w:customStyle="1" w:styleId="32">
    <w:name w:val="表头"/>
    <w:basedOn w:val="1"/>
    <w:link w:val="38"/>
    <w:qFormat/>
    <w:uiPriority w:val="0"/>
    <w:pPr>
      <w:adjustRightInd w:val="0"/>
      <w:snapToGrid w:val="0"/>
      <w:spacing w:before="25" w:beforeLines="25"/>
      <w:jc w:val="center"/>
      <w:textAlignment w:val="baseline"/>
    </w:pPr>
    <w:rPr>
      <w:b/>
      <w:kern w:val="0"/>
      <w:sz w:val="21"/>
      <w:szCs w:val="28"/>
    </w:rPr>
  </w:style>
  <w:style w:type="paragraph" w:customStyle="1" w:styleId="33">
    <w:name w:val="表格"/>
    <w:basedOn w:val="34"/>
    <w:next w:val="1"/>
    <w:qFormat/>
    <w:uiPriority w:val="0"/>
  </w:style>
  <w:style w:type="paragraph" w:customStyle="1" w:styleId="34">
    <w:name w:val="表格字体"/>
    <w:next w:val="1"/>
    <w:qFormat/>
    <w:uiPriority w:val="0"/>
    <w:pPr>
      <w:keepNext/>
      <w:keepLines/>
      <w:jc w:val="center"/>
    </w:pPr>
    <w:rPr>
      <w:rFonts w:ascii="Calibri" w:hAnsi="Calibri" w:eastAsia="Calibri" w:cs="Times New Roman"/>
      <w:kern w:val="2"/>
      <w:sz w:val="21"/>
      <w:szCs w:val="24"/>
      <w:lang w:val="en-US" w:eastAsia="zh-CN" w:bidi="ar-SA"/>
    </w:rPr>
  </w:style>
  <w:style w:type="paragraph" w:customStyle="1" w:styleId="35">
    <w:name w:val="环评表格"/>
    <w:basedOn w:val="1"/>
    <w:next w:val="1"/>
    <w:link w:val="36"/>
    <w:qFormat/>
    <w:uiPriority w:val="0"/>
    <w:pPr>
      <w:spacing w:line="240" w:lineRule="auto"/>
      <w:ind w:firstLine="0" w:firstLineChars="0"/>
      <w:jc w:val="center"/>
    </w:pPr>
    <w:rPr>
      <w:rFonts w:ascii="Times New Roman" w:hAnsi="Times New Roman" w:eastAsia="宋体"/>
      <w:color w:val="000000"/>
      <w:sz w:val="21"/>
      <w:szCs w:val="22"/>
    </w:rPr>
  </w:style>
  <w:style w:type="character" w:customStyle="1" w:styleId="36">
    <w:name w:val="表格 Char"/>
    <w:link w:val="35"/>
    <w:qFormat/>
    <w:uiPriority w:val="0"/>
    <w:rPr>
      <w:rFonts w:ascii="Times New Roman" w:hAnsi="Times New Roman" w:eastAsia="宋体"/>
      <w:color w:val="000000"/>
      <w:sz w:val="21"/>
      <w:szCs w:val="22"/>
    </w:rPr>
  </w:style>
  <w:style w:type="paragraph" w:customStyle="1" w:styleId="37">
    <w:name w:val="环评报告表正文"/>
    <w:basedOn w:val="1"/>
    <w:link w:val="69"/>
    <w:qFormat/>
    <w:uiPriority w:val="0"/>
    <w:pPr>
      <w:adjustRightInd w:val="0"/>
      <w:spacing w:line="360" w:lineRule="auto"/>
      <w:ind w:left="0" w:right="0" w:firstLine="482"/>
      <w:jc w:val="both"/>
      <w:textAlignment w:val="baseline"/>
    </w:pPr>
    <w:rPr>
      <w:rFonts w:ascii="Times New Roman" w:hAnsi="Times New Roman" w:eastAsia="宋体"/>
      <w:kern w:val="0"/>
    </w:rPr>
  </w:style>
  <w:style w:type="character" w:customStyle="1" w:styleId="38">
    <w:name w:val="表头 Char"/>
    <w:link w:val="32"/>
    <w:qFormat/>
    <w:uiPriority w:val="0"/>
    <w:rPr>
      <w:rFonts w:ascii="Times New Roman" w:hAnsi="Times New Roman" w:eastAsia="宋体"/>
      <w:b/>
      <w:kern w:val="0"/>
      <w:sz w:val="21"/>
      <w:szCs w:val="28"/>
    </w:rPr>
  </w:style>
  <w:style w:type="paragraph" w:customStyle="1" w:styleId="39">
    <w:name w:val="样式5"/>
    <w:basedOn w:val="40"/>
    <w:qFormat/>
    <w:uiPriority w:val="0"/>
    <w:pPr>
      <w:tabs>
        <w:tab w:val="left" w:pos="420"/>
        <w:tab w:val="left" w:pos="1589"/>
      </w:tabs>
      <w:adjustRightInd w:val="0"/>
      <w:snapToGrid w:val="0"/>
      <w:spacing w:before="0" w:after="0" w:line="480" w:lineRule="exact"/>
      <w:ind w:firstLine="480" w:firstLineChars="200"/>
      <w:jc w:val="left"/>
      <w:outlineLvl w:val="9"/>
    </w:pPr>
    <w:rPr>
      <w:rFonts w:ascii="宋体" w:hAnsi="宋体"/>
      <w:b/>
      <w:snapToGrid w:val="0"/>
      <w:sz w:val="24"/>
      <w:szCs w:val="24"/>
    </w:rPr>
  </w:style>
  <w:style w:type="paragraph" w:customStyle="1" w:styleId="40">
    <w:name w:val="正文1"/>
    <w:basedOn w:val="1"/>
    <w:qFormat/>
    <w:uiPriority w:val="0"/>
    <w:pPr>
      <w:adjustRightInd w:val="0"/>
      <w:snapToGrid w:val="0"/>
      <w:spacing w:line="480" w:lineRule="exact"/>
      <w:ind w:firstLine="200" w:firstLineChars="200"/>
    </w:pPr>
    <w:rPr>
      <w:sz w:val="24"/>
    </w:rPr>
  </w:style>
  <w:style w:type="paragraph" w:customStyle="1" w:styleId="41">
    <w:name w:val="样式 标题 1 + 四号 段前: 0 磅 段后: 0 磅 行距: 1.5 倍行距"/>
    <w:basedOn w:val="42"/>
    <w:next w:val="1"/>
    <w:qFormat/>
    <w:uiPriority w:val="0"/>
    <w:pPr>
      <w:snapToGrid w:val="0"/>
      <w:spacing w:line="360" w:lineRule="auto"/>
      <w:ind w:firstLine="200" w:firstLineChars="200"/>
      <w:jc w:val="center"/>
    </w:pPr>
    <w:rPr>
      <w:sz w:val="28"/>
    </w:rPr>
  </w:style>
  <w:style w:type="paragraph" w:customStyle="1" w:styleId="42">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3">
    <w:name w:val="文本正文"/>
    <w:basedOn w:val="1"/>
    <w:qFormat/>
    <w:uiPriority w:val="0"/>
    <w:pPr>
      <w:snapToGrid w:val="0"/>
      <w:spacing w:line="360" w:lineRule="auto"/>
      <w:ind w:firstLine="510"/>
      <w:jc w:val="left"/>
    </w:pPr>
    <w:rPr>
      <w:spacing w:val="4"/>
      <w:kern w:val="24"/>
      <w:szCs w:val="24"/>
      <w:lang w:val="zh-CN"/>
    </w:rPr>
  </w:style>
  <w:style w:type="paragraph" w:customStyle="1" w:styleId="44">
    <w:name w:val="明显引用1"/>
    <w:next w:val="1"/>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customStyle="1" w:styleId="45">
    <w:name w:val="报告正文"/>
    <w:basedOn w:val="1"/>
    <w:link w:val="64"/>
    <w:qFormat/>
    <w:uiPriority w:val="0"/>
    <w:pPr>
      <w:keepLines/>
      <w:spacing w:line="360" w:lineRule="auto"/>
      <w:ind w:firstLine="420" w:firstLineChars="200"/>
      <w:jc w:val="both"/>
    </w:pPr>
    <w:rPr>
      <w:rFonts w:ascii="Times New Roman" w:hAnsi="Times New Roman" w:eastAsia="宋体"/>
      <w:sz w:val="24"/>
    </w:rPr>
  </w:style>
  <w:style w:type="paragraph" w:customStyle="1" w:styleId="46">
    <w:name w:val="表格内文字"/>
    <w:basedOn w:val="1"/>
    <w:qFormat/>
    <w:uiPriority w:val="0"/>
    <w:pPr>
      <w:ind w:firstLine="720" w:firstLineChars="200"/>
      <w:jc w:val="left"/>
    </w:pPr>
    <w:rPr>
      <w:rFonts w:ascii="Times New Roman" w:hAnsi="Times New Roman" w:eastAsia="宋体"/>
      <w:color w:val="000000"/>
      <w:szCs w:val="22"/>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书表格"/>
    <w:basedOn w:val="49"/>
    <w:next w:val="49"/>
    <w:qFormat/>
    <w:uiPriority w:val="0"/>
    <w:pPr>
      <w:wordWrap/>
      <w:spacing w:line="240" w:lineRule="auto"/>
      <w:ind w:firstLine="0" w:firstLineChars="0"/>
      <w:jc w:val="center"/>
    </w:pPr>
    <w:rPr>
      <w:sz w:val="21"/>
    </w:rPr>
  </w:style>
  <w:style w:type="paragraph" w:customStyle="1" w:styleId="49">
    <w:name w:val="书正文"/>
    <w:basedOn w:val="1"/>
    <w:qFormat/>
    <w:uiPriority w:val="0"/>
    <w:pPr>
      <w:keepNext/>
      <w:wordWrap w:val="0"/>
      <w:topLinePunct/>
      <w:spacing w:line="360" w:lineRule="auto"/>
      <w:ind w:firstLine="420" w:firstLineChars="200"/>
    </w:pPr>
    <w:rPr>
      <w:sz w:val="24"/>
    </w:rPr>
  </w:style>
  <w:style w:type="table" w:customStyle="1" w:styleId="50">
    <w:name w:val="Table Normal1"/>
    <w:unhideWhenUsed/>
    <w:qFormat/>
    <w:uiPriority w:val="0"/>
    <w:tblPr>
      <w:tblCellMar>
        <w:top w:w="0" w:type="dxa"/>
        <w:left w:w="0" w:type="dxa"/>
        <w:bottom w:w="0" w:type="dxa"/>
        <w:right w:w="0" w:type="dxa"/>
      </w:tblCellMar>
    </w:tblPr>
  </w:style>
  <w:style w:type="paragraph" w:customStyle="1" w:styleId="51">
    <w:name w:val="报告书表格"/>
    <w:basedOn w:val="1"/>
    <w:qFormat/>
    <w:uiPriority w:val="0"/>
    <w:pPr>
      <w:adjustRightInd w:val="0"/>
      <w:spacing w:before="60" w:after="60"/>
      <w:jc w:val="center"/>
      <w:textAlignment w:val="baseline"/>
    </w:pPr>
    <w:rPr>
      <w:kern w:val="0"/>
      <w:szCs w:val="20"/>
    </w:rPr>
  </w:style>
  <w:style w:type="paragraph" w:customStyle="1" w:styleId="52">
    <w:name w:val="表格样式1"/>
    <w:basedOn w:val="18"/>
    <w:qFormat/>
    <w:uiPriority w:val="0"/>
    <w:pPr>
      <w:ind w:firstLine="0" w:firstLineChars="0"/>
      <w:jc w:val="center"/>
    </w:pPr>
    <w:rPr>
      <w:b/>
    </w:rPr>
  </w:style>
  <w:style w:type="character" w:customStyle="1" w:styleId="53">
    <w:name w:val="font11"/>
    <w:basedOn w:val="25"/>
    <w:qFormat/>
    <w:uiPriority w:val="0"/>
    <w:rPr>
      <w:rFonts w:hint="eastAsia" w:ascii="仿宋_GB2312" w:eastAsia="仿宋_GB2312" w:cs="仿宋_GB2312"/>
      <w:b/>
      <w:bCs/>
      <w:color w:val="FF0000"/>
      <w:sz w:val="21"/>
      <w:szCs w:val="21"/>
      <w:u w:val="none"/>
    </w:rPr>
  </w:style>
  <w:style w:type="character" w:customStyle="1" w:styleId="54">
    <w:name w:val="批注文字 Char"/>
    <w:basedOn w:val="25"/>
    <w:link w:val="10"/>
    <w:qFormat/>
    <w:uiPriority w:val="0"/>
    <w:rPr>
      <w:kern w:val="2"/>
      <w:sz w:val="21"/>
      <w:szCs w:val="24"/>
    </w:rPr>
  </w:style>
  <w:style w:type="character" w:customStyle="1" w:styleId="55">
    <w:name w:val="批注主题 Char"/>
    <w:basedOn w:val="54"/>
    <w:link w:val="21"/>
    <w:qFormat/>
    <w:uiPriority w:val="0"/>
    <w:rPr>
      <w:b/>
      <w:bCs/>
      <w:kern w:val="2"/>
      <w:sz w:val="21"/>
      <w:szCs w:val="24"/>
    </w:rPr>
  </w:style>
  <w:style w:type="character" w:customStyle="1" w:styleId="56">
    <w:name w:val="批注框文本 Char"/>
    <w:basedOn w:val="25"/>
    <w:link w:val="15"/>
    <w:qFormat/>
    <w:uiPriority w:val="0"/>
    <w:rPr>
      <w:kern w:val="2"/>
      <w:sz w:val="18"/>
      <w:szCs w:val="18"/>
    </w:rPr>
  </w:style>
  <w:style w:type="paragraph" w:customStyle="1" w:styleId="57">
    <w:name w:val="Char Char Char Char"/>
    <w:basedOn w:val="1"/>
    <w:qFormat/>
    <w:uiPriority w:val="0"/>
  </w:style>
  <w:style w:type="paragraph" w:customStyle="1" w:styleId="58">
    <w:name w:val="擎能一般表格"/>
    <w:basedOn w:val="1"/>
    <w:next w:val="1"/>
    <w:qFormat/>
    <w:uiPriority w:val="0"/>
    <w:pPr>
      <w:snapToGrid w:val="0"/>
      <w:jc w:val="center"/>
    </w:pPr>
    <w:rPr>
      <w:kern w:val="0"/>
      <w:szCs w:val="20"/>
    </w:rPr>
  </w:style>
  <w:style w:type="paragraph" w:customStyle="1" w:styleId="59">
    <w:name w:val="WPSOffice手动目录 1"/>
    <w:qFormat/>
    <w:uiPriority w:val="0"/>
    <w:pPr>
      <w:ind w:leftChars="0"/>
    </w:pPr>
    <w:rPr>
      <w:rFonts w:ascii="Times New Roman" w:hAnsi="Times New Roman" w:eastAsia="宋体" w:cs="Times New Roman"/>
      <w:sz w:val="20"/>
      <w:szCs w:val="20"/>
    </w:rPr>
  </w:style>
  <w:style w:type="paragraph" w:customStyle="1" w:styleId="60">
    <w:name w:val="标题二"/>
    <w:basedOn w:val="17"/>
    <w:next w:val="5"/>
    <w:qFormat/>
    <w:uiPriority w:val="0"/>
    <w:pPr>
      <w:adjustRightInd w:val="0"/>
      <w:snapToGrid w:val="0"/>
      <w:spacing w:line="360" w:lineRule="auto"/>
    </w:pPr>
    <w:rPr>
      <w:rFonts w:hAnsi="宋体"/>
      <w:sz w:val="28"/>
      <w:szCs w:val="30"/>
    </w:rPr>
  </w:style>
  <w:style w:type="character" w:customStyle="1" w:styleId="61">
    <w:name w:val="font51"/>
    <w:basedOn w:val="25"/>
    <w:qFormat/>
    <w:uiPriority w:val="0"/>
    <w:rPr>
      <w:rFonts w:hint="default" w:ascii="Times New Roman" w:hAnsi="Times New Roman" w:cs="Times New Roman"/>
      <w:b/>
      <w:bCs/>
      <w:color w:val="000000"/>
      <w:sz w:val="21"/>
      <w:szCs w:val="21"/>
      <w:u w:val="none"/>
      <w:vertAlign w:val="superscript"/>
    </w:rPr>
  </w:style>
  <w:style w:type="character" w:customStyle="1" w:styleId="62">
    <w:name w:val="font31"/>
    <w:basedOn w:val="25"/>
    <w:qFormat/>
    <w:uiPriority w:val="0"/>
    <w:rPr>
      <w:rFonts w:hint="eastAsia" w:ascii="宋体" w:hAnsi="宋体" w:eastAsia="宋体" w:cs="宋体"/>
      <w:b/>
      <w:bCs/>
      <w:color w:val="000000"/>
      <w:sz w:val="21"/>
      <w:szCs w:val="21"/>
      <w:u w:val="none"/>
    </w:rPr>
  </w:style>
  <w:style w:type="character" w:customStyle="1" w:styleId="63">
    <w:name w:val="font21"/>
    <w:basedOn w:val="25"/>
    <w:qFormat/>
    <w:uiPriority w:val="0"/>
    <w:rPr>
      <w:rFonts w:hint="eastAsia" w:ascii="宋体" w:hAnsi="宋体" w:eastAsia="宋体" w:cs="宋体"/>
      <w:color w:val="000000"/>
      <w:sz w:val="21"/>
      <w:szCs w:val="21"/>
      <w:u w:val="none"/>
    </w:rPr>
  </w:style>
  <w:style w:type="character" w:customStyle="1" w:styleId="64">
    <w:name w:val="报告正文 Char1"/>
    <w:link w:val="45"/>
    <w:qFormat/>
    <w:uiPriority w:val="0"/>
    <w:rPr>
      <w:rFonts w:ascii="Times New Roman" w:hAnsi="Times New Roman" w:eastAsia="宋体"/>
      <w:sz w:val="24"/>
    </w:rPr>
  </w:style>
  <w:style w:type="paragraph" w:customStyle="1" w:styleId="65">
    <w:name w:val="正文2"/>
    <w:qFormat/>
    <w:uiPriority w:val="0"/>
    <w:pPr>
      <w:jc w:val="both"/>
    </w:pPr>
    <w:rPr>
      <w:rFonts w:ascii="Calibri" w:hAnsi="Calibri" w:eastAsia="宋体" w:cs="宋体"/>
      <w:kern w:val="2"/>
      <w:sz w:val="21"/>
      <w:szCs w:val="21"/>
      <w:lang w:val="en-US" w:eastAsia="zh-CN" w:bidi="ar-SA"/>
    </w:rPr>
  </w:style>
  <w:style w:type="paragraph" w:customStyle="1" w:styleId="66">
    <w:name w:val="Table Paragraph"/>
    <w:basedOn w:val="1"/>
    <w:qFormat/>
    <w:uiPriority w:val="1"/>
    <w:pPr>
      <w:spacing w:before="100" w:beforeAutospacing="1"/>
    </w:pPr>
    <w:rPr>
      <w:rFonts w:ascii="Calibri" w:hAnsi="Calibri"/>
      <w:kern w:val="0"/>
      <w:sz w:val="22"/>
      <w:szCs w:val="22"/>
    </w:rPr>
  </w:style>
  <w:style w:type="paragraph" w:customStyle="1" w:styleId="67">
    <w:name w:val="Table Text"/>
    <w:basedOn w:val="1"/>
    <w:semiHidden/>
    <w:qFormat/>
    <w:uiPriority w:val="0"/>
    <w:rPr>
      <w:rFonts w:ascii="宋体" w:hAnsi="宋体" w:eastAsia="宋体" w:cs="宋体"/>
      <w:sz w:val="14"/>
      <w:szCs w:val="14"/>
      <w:lang w:val="en-US" w:eastAsia="en-US" w:bidi="ar-SA"/>
    </w:rPr>
  </w:style>
  <w:style w:type="paragraph" w:customStyle="1" w:styleId="68">
    <w:name w:val="翔一正文"/>
    <w:basedOn w:val="1"/>
    <w:next w:val="1"/>
    <w:semiHidden/>
    <w:qFormat/>
    <w:uiPriority w:val="0"/>
    <w:pPr>
      <w:spacing w:line="360" w:lineRule="auto"/>
      <w:ind w:firstLine="1446" w:firstLineChars="200"/>
    </w:pPr>
    <w:rPr>
      <w:sz w:val="24"/>
    </w:rPr>
  </w:style>
  <w:style w:type="character" w:customStyle="1" w:styleId="69">
    <w:name w:val="环评报告表正文 Char1"/>
    <w:link w:val="37"/>
    <w:qFormat/>
    <w:uiPriority w:val="0"/>
    <w:rPr>
      <w:rFonts w:ascii="Times New Roman" w:hAnsi="Times New Roman" w:eastAsia="宋体"/>
      <w:kern w:val="0"/>
    </w:rPr>
  </w:style>
  <w:style w:type="paragraph" w:customStyle="1" w:styleId="70">
    <w:name w:val="正艾"/>
    <w:basedOn w:val="1"/>
    <w:qFormat/>
    <w:uiPriority w:val="0"/>
    <w:rPr>
      <w:color w:val="000000"/>
      <w:kern w:val="24"/>
      <w:szCs w:val="20"/>
    </w:rPr>
  </w:style>
  <w:style w:type="paragraph" w:customStyle="1" w:styleId="71">
    <w:name w:val="标题表格"/>
    <w:qFormat/>
    <w:uiPriority w:val="0"/>
    <w:pPr>
      <w:spacing w:before="50" w:beforeLines="50"/>
      <w:ind w:firstLine="500" w:firstLineChars="500"/>
      <w:jc w:val="center"/>
    </w:pPr>
    <w:rPr>
      <w:rFonts w:ascii="Times New Roman" w:hAnsi="Times New Roman" w:eastAsia="黑体" w:cs="Times New Roman"/>
      <w:kern w:val="2"/>
      <w:sz w:val="24"/>
      <w:szCs w:val="24"/>
      <w:lang w:val="en-US" w:eastAsia="zh-CN" w:bidi="ar-SA"/>
    </w:rPr>
  </w:style>
  <w:style w:type="paragraph" w:customStyle="1" w:styleId="72">
    <w:name w:val="四级"/>
    <w:qFormat/>
    <w:uiPriority w:val="0"/>
    <w:pPr>
      <w:spacing w:line="360" w:lineRule="auto"/>
      <w:outlineLvl w:val="3"/>
    </w:pPr>
    <w:rPr>
      <w:rFonts w:ascii="Times New Roman" w:hAnsi="Times New Roman" w:eastAsia="宋体" w:cs="Times New Roman"/>
      <w:b/>
      <w:snapToGrid w:val="0"/>
      <w:kern w:val="2"/>
      <w:sz w:val="24"/>
      <w:szCs w:val="24"/>
      <w:lang w:val="en-US" w:eastAsia="zh-CN" w:bidi="ar-SA"/>
    </w:rPr>
  </w:style>
  <w:style w:type="paragraph" w:customStyle="1" w:styleId="73">
    <w:name w:val="三级"/>
    <w:qFormat/>
    <w:uiPriority w:val="0"/>
    <w:pPr>
      <w:spacing w:line="360" w:lineRule="auto"/>
      <w:outlineLvl w:val="2"/>
    </w:pPr>
    <w:rPr>
      <w:rFonts w:ascii="Arial" w:hAnsi="Arial" w:eastAsia="黑体" w:cs="Times New Roman"/>
      <w:kern w:val="2"/>
      <w:sz w:val="28"/>
      <w:szCs w:val="24"/>
      <w:lang w:val="en-US" w:eastAsia="zh-CN" w:bidi="ar-SA"/>
    </w:rPr>
  </w:style>
  <w:style w:type="paragraph" w:customStyle="1" w:styleId="74">
    <w:name w:val="5正文"/>
    <w:basedOn w:val="1"/>
    <w:qFormat/>
    <w:uiPriority w:val="0"/>
    <w:pPr>
      <w:autoSpaceDE w:val="0"/>
      <w:autoSpaceDN w:val="0"/>
      <w:adjustRightInd w:val="0"/>
      <w:snapToGrid w:val="0"/>
      <w:spacing w:line="500" w:lineRule="exact"/>
      <w:ind w:firstLine="536"/>
    </w:pPr>
    <w:rPr>
      <w:rFonts w:eastAsia="仿宋_GB2312"/>
      <w:spacing w:val="-6"/>
      <w:kern w:val="16"/>
      <w:sz w:val="28"/>
      <w:szCs w:val="28"/>
    </w:rPr>
  </w:style>
  <w:style w:type="paragraph" w:customStyle="1" w:styleId="75">
    <w:name w:val="二级"/>
    <w:qFormat/>
    <w:uiPriority w:val="0"/>
    <w:pPr>
      <w:outlineLvl w:val="1"/>
    </w:pPr>
    <w:rPr>
      <w:rFonts w:ascii="Arial" w:hAnsi="Arial" w:eastAsia="黑体" w:cs="Times New Roman"/>
      <w:kern w:val="2"/>
      <w:sz w:val="30"/>
      <w:szCs w:val="24"/>
      <w:lang w:val="en-US" w:eastAsia="zh-CN" w:bidi="ar-SA"/>
    </w:rPr>
  </w:style>
  <w:style w:type="paragraph" w:customStyle="1" w:styleId="76">
    <w:name w:val="内容表格"/>
    <w:qFormat/>
    <w:uiPriority w:val="0"/>
    <w:pPr>
      <w:spacing w:line="240" w:lineRule="atLeast"/>
      <w:jc w:val="center"/>
    </w:pPr>
    <w:rPr>
      <w:rFonts w:ascii="Times New Roman" w:hAnsi="Times New Roman" w:eastAsia="宋体" w:cs="Times New Roman"/>
      <w:color w:val="000000"/>
      <w:kern w:val="0"/>
      <w:sz w:val="21"/>
      <w:szCs w:val="21"/>
      <w:lang w:val="en-US" w:eastAsia="zh-CN" w:bidi="ar-SA"/>
    </w:rPr>
  </w:style>
  <w:style w:type="paragraph" w:customStyle="1" w:styleId="77">
    <w:name w:val="表标题"/>
    <w:basedOn w:val="78"/>
    <w:qFormat/>
    <w:uiPriority w:val="0"/>
    <w:pPr>
      <w:spacing w:before="160" w:after="120"/>
      <w:ind w:firstLine="0" w:firstLineChars="0"/>
      <w:jc w:val="center"/>
    </w:pPr>
  </w:style>
  <w:style w:type="paragraph" w:customStyle="1" w:styleId="78">
    <w:name w:val="SB正文"/>
    <w:basedOn w:val="1"/>
    <w:qFormat/>
    <w:uiPriority w:val="0"/>
    <w:pPr>
      <w:spacing w:before="62" w:after="62"/>
      <w:ind w:firstLine="480"/>
    </w:pPr>
    <w:rPr>
      <w:rFonts w:cs="宋体"/>
      <w:szCs w:val="20"/>
    </w:rPr>
  </w:style>
  <w:style w:type="paragraph" w:customStyle="1" w:styleId="79">
    <w:name w:val="标题三"/>
    <w:next w:val="11"/>
    <w:qFormat/>
    <w:uiPriority w:val="0"/>
    <w:pPr>
      <w:spacing w:before="120" w:after="120" w:line="360" w:lineRule="auto"/>
      <w:ind w:left="720" w:hanging="720"/>
      <w:outlineLvl w:val="2"/>
    </w:pPr>
    <w:rPr>
      <w:rFonts w:ascii="Arial" w:hAnsi="Arial" w:eastAsia="黑体" w:cs="Times New Roman"/>
      <w:snapToGrid w:val="0"/>
      <w:kern w:val="2"/>
      <w:sz w:val="28"/>
      <w:szCs w:val="24"/>
      <w:lang w:val="en-US" w:eastAsia="zh-CN" w:bidi="ar-SA"/>
    </w:rPr>
  </w:style>
  <w:style w:type="paragraph" w:customStyle="1" w:styleId="80">
    <w:name w:val="H正文"/>
    <w:basedOn w:val="1"/>
    <w:qFormat/>
    <w:uiPriority w:val="0"/>
    <w:pPr>
      <w:adjustRightInd w:val="0"/>
      <w:spacing w:line="400" w:lineRule="exact"/>
      <w:ind w:firstLine="200" w:firstLineChars="200"/>
      <w:jc w:val="both"/>
      <w:textAlignment w:val="baseline"/>
    </w:pPr>
    <w:rPr>
      <w:rFonts w:ascii="Times New Roman"/>
      <w:snapToGrid w:val="0"/>
      <w:spacing w:val="6"/>
    </w:rPr>
  </w:style>
  <w:style w:type="character" w:customStyle="1" w:styleId="81">
    <w:name w:val="报告书正文 Char"/>
    <w:link w:val="29"/>
    <w:qFormat/>
    <w:uiPriority w:val="0"/>
    <w:rPr>
      <w:rFonts w:ascii="Times New Roman" w:hAnsi="Times New Roman" w:eastAsia="宋体" w:cs="Times New Roman"/>
      <w:sz w:val="24"/>
    </w:rPr>
  </w:style>
  <w:style w:type="paragraph" w:customStyle="1" w:styleId="82">
    <w:name w:val="表文"/>
    <w:basedOn w:val="1"/>
    <w:qFormat/>
    <w:uiPriority w:val="0"/>
    <w:pPr>
      <w:keepNext w:val="0"/>
      <w:keepLines w:val="0"/>
      <w:widowControl w:val="0"/>
      <w:suppressLineNumbers w:val="0"/>
      <w:adjustRightInd/>
      <w:snapToGrid/>
      <w:spacing w:before="0" w:beforeAutospacing="0" w:after="0" w:afterAutospacing="0" w:line="240" w:lineRule="auto"/>
      <w:ind w:left="0" w:right="0"/>
      <w:jc w:val="center"/>
    </w:pPr>
    <w:rPr>
      <w:rFonts w:hint="default" w:ascii="Times New Roman" w:hAnsi="Times New Roman" w:eastAsia="Times New Roman" w:cs="Times New Roman"/>
      <w:snapToGrid/>
      <w:kern w:val="2"/>
      <w:sz w:val="21"/>
      <w:szCs w:val="20"/>
      <w:lang w:val="en-US" w:eastAsia="zh-CN" w:bidi="ar"/>
    </w:rPr>
  </w:style>
  <w:style w:type="paragraph" w:customStyle="1" w:styleId="83">
    <w:name w:val="Default"/>
    <w:unhideWhenUsed/>
    <w:qFormat/>
    <w:uiPriority w:val="0"/>
    <w:pPr>
      <w:widowControl w:val="0"/>
      <w:autoSpaceDE w:val="0"/>
      <w:autoSpaceDN w:val="0"/>
      <w:adjustRightInd w:val="0"/>
    </w:pPr>
    <w:rPr>
      <w:rFonts w:hint="eastAsia" w:ascii="..ì." w:hAnsi="..ì." w:eastAsia="..ì." w:cs="Times New Roman"/>
      <w:color w:val="000000"/>
      <w:sz w:val="24"/>
      <w:szCs w:val="22"/>
      <w:lang w:val="en-US" w:eastAsia="zh-CN" w:bidi="ar-SA"/>
    </w:rPr>
  </w:style>
  <w:style w:type="paragraph" w:customStyle="1" w:styleId="84">
    <w:name w:val="图表标题"/>
    <w:basedOn w:val="85"/>
    <w:next w:val="1"/>
    <w:qFormat/>
    <w:uiPriority w:val="0"/>
    <w:pPr>
      <w:autoSpaceDE w:val="0"/>
      <w:autoSpaceDN w:val="0"/>
      <w:adjustRightInd w:val="0"/>
      <w:snapToGrid w:val="0"/>
      <w:spacing w:line="240" w:lineRule="auto"/>
      <w:ind w:firstLine="0" w:firstLineChars="0"/>
      <w:jc w:val="center"/>
    </w:pPr>
    <w:rPr>
      <w:rFonts w:hint="default" w:ascii="Times New Roman" w:hAnsi="Times New Roman" w:eastAsia="宋体" w:cs="宋体"/>
      <w:b/>
      <w:kern w:val="0"/>
      <w:sz w:val="24"/>
      <w:szCs w:val="21"/>
    </w:rPr>
  </w:style>
  <w:style w:type="paragraph" w:customStyle="1" w:styleId="85">
    <w:name w:val="图表文字注释"/>
    <w:qFormat/>
    <w:uiPriority w:val="0"/>
    <w:pPr>
      <w:framePr w:hSpace="180" w:wrap="around" w:vAnchor="text" w:hAnchor="margin" w:xAlign="center" w:y="100"/>
      <w:jc w:val="center"/>
    </w:pPr>
    <w:rPr>
      <w:rFonts w:ascii="Times New Roman" w:hAnsi="Times New Roman" w:eastAsia="宋体" w:cs="Times New Roman"/>
      <w:kern w:val="2"/>
      <w:sz w:val="21"/>
      <w:szCs w:val="24"/>
      <w:lang w:val="en-US" w:eastAsia="zh-CN" w:bidi="ar-SA"/>
    </w:rPr>
  </w:style>
  <w:style w:type="paragraph" w:customStyle="1" w:styleId="86">
    <w:name w:val="表格文字"/>
    <w:basedOn w:val="3"/>
    <w:next w:val="1"/>
    <w:qFormat/>
    <w:uiPriority w:val="0"/>
    <w:pPr>
      <w:tabs>
        <w:tab w:val="left" w:pos="3720"/>
      </w:tabs>
      <w:autoSpaceDE w:val="0"/>
      <w:autoSpaceDN w:val="0"/>
      <w:adjustRightInd w:val="0"/>
      <w:spacing w:line="315" w:lineRule="exact"/>
      <w:jc w:val="center"/>
      <w:textAlignment w:val="bottom"/>
    </w:pPr>
    <w:rPr>
      <w:rFonts w:ascii="宋体" w:hAnsi="宋体" w:eastAsia="宋体"/>
      <w:sz w:val="20"/>
      <w:szCs w:val="20"/>
    </w:rPr>
  </w:style>
  <w:style w:type="paragraph" w:customStyle="1" w:styleId="87">
    <w:name w:val="样式 首行缩进"/>
    <w:basedOn w:val="1"/>
    <w:qFormat/>
    <w:uiPriority w:val="0"/>
    <w:pPr>
      <w:keepNext w:val="0"/>
      <w:keepLines w:val="0"/>
      <w:widowControl w:val="0"/>
      <w:suppressLineNumbers w:val="0"/>
      <w:spacing w:before="60" w:beforeAutospacing="0" w:after="60" w:afterAutospacing="0" w:line="360" w:lineRule="auto"/>
      <w:ind w:left="0" w:right="0" w:firstLine="480" w:firstLineChars="200"/>
      <w:jc w:val="both"/>
    </w:pPr>
    <w:rPr>
      <w:rFonts w:hint="default" w:ascii="Times New Roman" w:hAnsi="Times New Roman" w:eastAsia="宋体" w:cs="宋体"/>
      <w:kern w:val="2"/>
      <w:sz w:val="24"/>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103</Pages>
  <Words>23210</Words>
  <Characters>23888</Characters>
  <Lines>433</Lines>
  <Paragraphs>122</Paragraphs>
  <TotalTime>34</TotalTime>
  <ScaleCrop>false</ScaleCrop>
  <LinksUpToDate>false</LinksUpToDate>
  <CharactersWithSpaces>24028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2023-02-01T09:07:00Z</dcterms:created>
  <dc:creator>Yvonne7</dc:creator>
  <cp:lastModifiedBy>刘变香</cp:lastModifiedBy>
  <dcterms:modified xsi:type="dcterms:W3CDTF">2025-09-16T01:35:32Z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EAB2A5F25C854689A525C50986FF554F_13</vt:lpwstr>
  </property>
</Properties>
</file>