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3F773A">
      <w:pPr>
        <w:pStyle w:val="8"/>
        <w:jc w:val="center"/>
        <w:rPr>
          <w:rFonts w:hint="eastAsia"/>
          <w:b/>
          <w:bCs/>
          <w:sz w:val="32"/>
          <w:szCs w:val="32"/>
        </w:rPr>
      </w:pPr>
      <w:r>
        <w:rPr>
          <w:rFonts w:hint="eastAsia"/>
          <w:b/>
          <w:bCs/>
          <w:sz w:val="32"/>
          <w:szCs w:val="32"/>
        </w:rPr>
        <w:t>目 录</w:t>
      </w:r>
    </w:p>
    <w:p w14:paraId="795BE5C5">
      <w:pPr>
        <w:rPr>
          <w:rFonts w:hint="eastAsia"/>
          <w:b/>
          <w:bCs/>
          <w:sz w:val="32"/>
          <w:szCs w:val="32"/>
        </w:rPr>
      </w:pPr>
    </w:p>
    <w:p w14:paraId="30AEDCBD">
      <w:pPr>
        <w:pStyle w:val="19"/>
        <w:tabs>
          <w:tab w:val="right" w:leader="dot" w:pos="8844"/>
        </w:tabs>
        <w:spacing w:line="480" w:lineRule="auto"/>
        <w:rPr>
          <w:b/>
          <w:bCs/>
          <w:sz w:val="24"/>
        </w:rPr>
      </w:pPr>
      <w:r>
        <w:rPr>
          <w:rFonts w:eastAsia="仿宋_GB2312"/>
          <w:sz w:val="24"/>
        </w:rPr>
        <w:fldChar w:fldCharType="begin"/>
      </w:r>
      <w:r>
        <w:rPr>
          <w:rFonts w:eastAsia="仿宋_GB2312"/>
          <w:sz w:val="24"/>
        </w:rPr>
        <w:instrText xml:space="preserve"> TOC \o "1-1" \h \z \u </w:instrText>
      </w:r>
      <w:r>
        <w:rPr>
          <w:rFonts w:eastAsia="仿宋_GB2312"/>
          <w:sz w:val="24"/>
        </w:rPr>
        <w:fldChar w:fldCharType="separate"/>
      </w:r>
      <w:r>
        <w:rPr>
          <w:b/>
          <w:bCs/>
          <w:sz w:val="24"/>
        </w:rPr>
        <w:fldChar w:fldCharType="begin"/>
      </w:r>
      <w:r>
        <w:rPr>
          <w:b/>
          <w:bCs/>
          <w:sz w:val="24"/>
        </w:rPr>
        <w:instrText xml:space="preserve"> HYPERLINK \l _Toc20771 </w:instrText>
      </w:r>
      <w:r>
        <w:rPr>
          <w:b/>
          <w:bCs/>
          <w:sz w:val="24"/>
        </w:rPr>
        <w:fldChar w:fldCharType="separate"/>
      </w:r>
      <w:r>
        <w:rPr>
          <w:b/>
          <w:bCs/>
          <w:snapToGrid w:val="0"/>
          <w:sz w:val="24"/>
        </w:rPr>
        <w:t>一、建设项目基本情况</w:t>
      </w:r>
      <w:r>
        <w:rPr>
          <w:b/>
          <w:bCs/>
          <w:sz w:val="24"/>
        </w:rPr>
        <w:tab/>
      </w:r>
      <w:r>
        <w:rPr>
          <w:rFonts w:hint="eastAsia"/>
          <w:b/>
          <w:bCs/>
          <w:sz w:val="24"/>
          <w:lang w:val="en-US" w:eastAsia="zh-CN"/>
        </w:rPr>
        <w:t>1</w:t>
      </w:r>
      <w:r>
        <w:rPr>
          <w:b/>
          <w:bCs/>
          <w:sz w:val="24"/>
        </w:rPr>
        <w:fldChar w:fldCharType="end"/>
      </w:r>
    </w:p>
    <w:p w14:paraId="2DA56591">
      <w:pPr>
        <w:pStyle w:val="19"/>
        <w:tabs>
          <w:tab w:val="right" w:leader="dot" w:pos="8844"/>
        </w:tabs>
        <w:spacing w:line="480" w:lineRule="auto"/>
        <w:rPr>
          <w:rFonts w:hint="eastAsia" w:eastAsia="宋体"/>
          <w:b/>
          <w:bCs/>
          <w:sz w:val="24"/>
          <w:lang w:val="en-US" w:eastAsia="zh-CN"/>
        </w:rPr>
      </w:pPr>
      <w:r>
        <w:rPr>
          <w:b/>
          <w:bCs/>
          <w:sz w:val="24"/>
        </w:rPr>
        <w:fldChar w:fldCharType="begin"/>
      </w:r>
      <w:r>
        <w:rPr>
          <w:b/>
          <w:bCs/>
          <w:sz w:val="24"/>
        </w:rPr>
        <w:instrText xml:space="preserve"> HYPERLINK \l _Toc19361 </w:instrText>
      </w:r>
      <w:r>
        <w:rPr>
          <w:b/>
          <w:bCs/>
          <w:sz w:val="24"/>
        </w:rPr>
        <w:fldChar w:fldCharType="separate"/>
      </w:r>
      <w:r>
        <w:rPr>
          <w:b/>
          <w:bCs/>
          <w:snapToGrid w:val="0"/>
          <w:sz w:val="24"/>
        </w:rPr>
        <w:t>二、建设项目工程分析</w:t>
      </w:r>
      <w:r>
        <w:rPr>
          <w:b/>
          <w:bCs/>
          <w:sz w:val="24"/>
        </w:rPr>
        <w:tab/>
      </w:r>
      <w:r>
        <w:rPr>
          <w:rFonts w:hint="eastAsia"/>
          <w:b/>
          <w:bCs/>
          <w:sz w:val="24"/>
          <w:lang w:val="en-US" w:eastAsia="zh-CN"/>
        </w:rPr>
        <w:t>2</w:t>
      </w:r>
      <w:r>
        <w:rPr>
          <w:b/>
          <w:bCs/>
          <w:sz w:val="24"/>
        </w:rPr>
        <w:fldChar w:fldCharType="end"/>
      </w:r>
      <w:r>
        <w:rPr>
          <w:rFonts w:hint="eastAsia"/>
          <w:b/>
          <w:bCs/>
          <w:sz w:val="24"/>
          <w:lang w:val="en-US" w:eastAsia="zh-CN"/>
        </w:rPr>
        <w:t>4</w:t>
      </w:r>
    </w:p>
    <w:p w14:paraId="1A4174F2">
      <w:pPr>
        <w:pStyle w:val="19"/>
        <w:tabs>
          <w:tab w:val="right" w:leader="dot" w:pos="8844"/>
        </w:tabs>
        <w:spacing w:line="480" w:lineRule="auto"/>
        <w:jc w:val="left"/>
        <w:rPr>
          <w:b/>
          <w:bCs/>
          <w:sz w:val="24"/>
        </w:rPr>
      </w:pPr>
      <w:r>
        <w:rPr>
          <w:b/>
          <w:bCs/>
          <w:sz w:val="24"/>
        </w:rPr>
        <w:fldChar w:fldCharType="begin"/>
      </w:r>
      <w:r>
        <w:rPr>
          <w:b/>
          <w:bCs/>
          <w:sz w:val="24"/>
        </w:rPr>
        <w:instrText xml:space="preserve"> HYPERLINK \l _Toc11910 </w:instrText>
      </w:r>
      <w:r>
        <w:rPr>
          <w:b/>
          <w:bCs/>
          <w:sz w:val="24"/>
        </w:rPr>
        <w:fldChar w:fldCharType="separate"/>
      </w:r>
      <w:r>
        <w:rPr>
          <w:b/>
          <w:bCs/>
          <w:snapToGrid w:val="0"/>
          <w:sz w:val="24"/>
        </w:rPr>
        <w:t>三、区域环境质量现状、环境保护目标及评价标准</w:t>
      </w:r>
      <w:r>
        <w:rPr>
          <w:b/>
          <w:bCs/>
          <w:sz w:val="24"/>
        </w:rPr>
        <w:tab/>
      </w:r>
      <w:r>
        <w:rPr>
          <w:b/>
          <w:bCs/>
          <w:sz w:val="24"/>
        </w:rPr>
        <w:fldChar w:fldCharType="begin"/>
      </w:r>
      <w:r>
        <w:rPr>
          <w:b/>
          <w:bCs/>
          <w:sz w:val="24"/>
        </w:rPr>
        <w:instrText xml:space="preserve"> PAGEREF _Toc11910 \h </w:instrText>
      </w:r>
      <w:r>
        <w:rPr>
          <w:b/>
          <w:bCs/>
          <w:sz w:val="24"/>
        </w:rPr>
        <w:fldChar w:fldCharType="separate"/>
      </w:r>
      <w:r>
        <w:rPr>
          <w:b/>
          <w:bCs/>
          <w:sz w:val="24"/>
        </w:rPr>
        <w:t>25</w:t>
      </w:r>
      <w:r>
        <w:rPr>
          <w:b/>
          <w:bCs/>
          <w:sz w:val="24"/>
        </w:rPr>
        <w:fldChar w:fldCharType="end"/>
      </w:r>
      <w:r>
        <w:rPr>
          <w:b/>
          <w:bCs/>
          <w:sz w:val="24"/>
        </w:rPr>
        <w:fldChar w:fldCharType="end"/>
      </w:r>
    </w:p>
    <w:p w14:paraId="5CCD9A5E">
      <w:pPr>
        <w:pStyle w:val="19"/>
        <w:tabs>
          <w:tab w:val="right" w:leader="dot" w:pos="8844"/>
        </w:tabs>
        <w:spacing w:line="480" w:lineRule="auto"/>
        <w:rPr>
          <w:b/>
          <w:bCs/>
          <w:sz w:val="24"/>
        </w:rPr>
      </w:pPr>
      <w:r>
        <w:rPr>
          <w:b/>
          <w:bCs/>
          <w:sz w:val="24"/>
        </w:rPr>
        <w:fldChar w:fldCharType="begin"/>
      </w:r>
      <w:r>
        <w:rPr>
          <w:b/>
          <w:bCs/>
          <w:sz w:val="24"/>
        </w:rPr>
        <w:instrText xml:space="preserve"> HYPERLINK \l _Toc1619 </w:instrText>
      </w:r>
      <w:r>
        <w:rPr>
          <w:b/>
          <w:bCs/>
          <w:sz w:val="24"/>
        </w:rPr>
        <w:fldChar w:fldCharType="separate"/>
      </w:r>
      <w:r>
        <w:rPr>
          <w:b/>
          <w:bCs/>
          <w:snapToGrid w:val="0"/>
          <w:sz w:val="24"/>
        </w:rPr>
        <w:t>四、主要环境影响和保护措施</w:t>
      </w:r>
      <w:r>
        <w:rPr>
          <w:b/>
          <w:bCs/>
          <w:sz w:val="24"/>
        </w:rPr>
        <w:tab/>
      </w:r>
      <w:r>
        <w:rPr>
          <w:b/>
          <w:bCs/>
          <w:sz w:val="24"/>
        </w:rPr>
        <w:fldChar w:fldCharType="begin"/>
      </w:r>
      <w:r>
        <w:rPr>
          <w:b/>
          <w:bCs/>
          <w:sz w:val="24"/>
        </w:rPr>
        <w:instrText xml:space="preserve"> PAGEREF _Toc1619 \h </w:instrText>
      </w:r>
      <w:r>
        <w:rPr>
          <w:b/>
          <w:bCs/>
          <w:sz w:val="24"/>
        </w:rPr>
        <w:fldChar w:fldCharType="separate"/>
      </w:r>
      <w:r>
        <w:rPr>
          <w:b/>
          <w:bCs/>
          <w:sz w:val="24"/>
        </w:rPr>
        <w:t>45</w:t>
      </w:r>
      <w:r>
        <w:rPr>
          <w:b/>
          <w:bCs/>
          <w:sz w:val="24"/>
        </w:rPr>
        <w:fldChar w:fldCharType="end"/>
      </w:r>
      <w:r>
        <w:rPr>
          <w:b/>
          <w:bCs/>
          <w:sz w:val="24"/>
        </w:rPr>
        <w:fldChar w:fldCharType="end"/>
      </w:r>
    </w:p>
    <w:p w14:paraId="05F75DED">
      <w:pPr>
        <w:pStyle w:val="19"/>
        <w:tabs>
          <w:tab w:val="right" w:leader="dot" w:pos="8844"/>
        </w:tabs>
        <w:spacing w:line="480" w:lineRule="auto"/>
        <w:rPr>
          <w:b/>
          <w:bCs/>
          <w:sz w:val="24"/>
        </w:rPr>
      </w:pPr>
      <w:r>
        <w:rPr>
          <w:b/>
          <w:bCs/>
          <w:sz w:val="24"/>
        </w:rPr>
        <w:fldChar w:fldCharType="begin"/>
      </w:r>
      <w:r>
        <w:rPr>
          <w:b/>
          <w:bCs/>
          <w:sz w:val="24"/>
        </w:rPr>
        <w:instrText xml:space="preserve"> HYPERLINK \l _Toc14035 </w:instrText>
      </w:r>
      <w:r>
        <w:rPr>
          <w:b/>
          <w:bCs/>
          <w:sz w:val="24"/>
        </w:rPr>
        <w:fldChar w:fldCharType="separate"/>
      </w:r>
      <w:r>
        <w:rPr>
          <w:b/>
          <w:bCs/>
          <w:snapToGrid w:val="0"/>
          <w:sz w:val="24"/>
        </w:rPr>
        <w:t>五、环境保护措施监督检查清单</w:t>
      </w:r>
      <w:r>
        <w:rPr>
          <w:b/>
          <w:bCs/>
          <w:sz w:val="24"/>
        </w:rPr>
        <w:tab/>
      </w:r>
      <w:r>
        <w:rPr>
          <w:b/>
          <w:bCs/>
          <w:sz w:val="24"/>
        </w:rPr>
        <w:fldChar w:fldCharType="begin"/>
      </w:r>
      <w:r>
        <w:rPr>
          <w:b/>
          <w:bCs/>
          <w:sz w:val="24"/>
        </w:rPr>
        <w:instrText xml:space="preserve"> PAGEREF _Toc14035 \h </w:instrText>
      </w:r>
      <w:r>
        <w:rPr>
          <w:b/>
          <w:bCs/>
          <w:sz w:val="24"/>
        </w:rPr>
        <w:fldChar w:fldCharType="separate"/>
      </w:r>
      <w:r>
        <w:rPr>
          <w:b/>
          <w:bCs/>
          <w:sz w:val="24"/>
        </w:rPr>
        <w:t>81</w:t>
      </w:r>
      <w:r>
        <w:rPr>
          <w:b/>
          <w:bCs/>
          <w:sz w:val="24"/>
        </w:rPr>
        <w:fldChar w:fldCharType="end"/>
      </w:r>
      <w:r>
        <w:rPr>
          <w:b/>
          <w:bCs/>
          <w:sz w:val="24"/>
        </w:rPr>
        <w:fldChar w:fldCharType="end"/>
      </w:r>
    </w:p>
    <w:p w14:paraId="68377896">
      <w:pPr>
        <w:pStyle w:val="19"/>
        <w:tabs>
          <w:tab w:val="right" w:leader="dot" w:pos="8844"/>
        </w:tabs>
        <w:spacing w:line="480" w:lineRule="auto"/>
        <w:rPr>
          <w:rFonts w:hint="eastAsia" w:eastAsia="宋体"/>
          <w:b/>
          <w:bCs/>
          <w:sz w:val="24"/>
          <w:lang w:val="en-US" w:eastAsia="zh-CN"/>
        </w:rPr>
      </w:pPr>
      <w:r>
        <w:rPr>
          <w:b/>
          <w:bCs/>
          <w:sz w:val="24"/>
        </w:rPr>
        <w:fldChar w:fldCharType="begin"/>
      </w:r>
      <w:r>
        <w:rPr>
          <w:b/>
          <w:bCs/>
          <w:sz w:val="24"/>
        </w:rPr>
        <w:instrText xml:space="preserve"> HYPERLINK \l _Toc11298 </w:instrText>
      </w:r>
      <w:r>
        <w:rPr>
          <w:b/>
          <w:bCs/>
          <w:sz w:val="24"/>
        </w:rPr>
        <w:fldChar w:fldCharType="separate"/>
      </w:r>
      <w:r>
        <w:rPr>
          <w:b/>
          <w:bCs/>
          <w:snapToGrid w:val="0"/>
          <w:sz w:val="24"/>
        </w:rPr>
        <w:t>六、结论</w:t>
      </w:r>
      <w:r>
        <w:rPr>
          <w:b/>
          <w:bCs/>
          <w:sz w:val="24"/>
        </w:rPr>
        <w:tab/>
      </w:r>
      <w:r>
        <w:rPr>
          <w:rFonts w:hint="eastAsia"/>
          <w:b/>
          <w:bCs/>
          <w:sz w:val="24"/>
          <w:lang w:val="en-US" w:eastAsia="zh-CN"/>
        </w:rPr>
        <w:t>8</w:t>
      </w:r>
      <w:r>
        <w:rPr>
          <w:b/>
          <w:bCs/>
          <w:sz w:val="24"/>
        </w:rPr>
        <w:fldChar w:fldCharType="end"/>
      </w:r>
      <w:r>
        <w:rPr>
          <w:rFonts w:hint="eastAsia"/>
          <w:b/>
          <w:bCs/>
          <w:sz w:val="24"/>
          <w:lang w:val="en-US" w:eastAsia="zh-CN"/>
        </w:rPr>
        <w:t>0</w:t>
      </w:r>
    </w:p>
    <w:p w14:paraId="32D8E61C">
      <w:pPr>
        <w:pStyle w:val="19"/>
        <w:tabs>
          <w:tab w:val="right" w:leader="dot" w:pos="8844"/>
        </w:tabs>
        <w:spacing w:line="480" w:lineRule="auto"/>
      </w:pPr>
      <w:r>
        <w:rPr>
          <w:b/>
          <w:bCs/>
          <w:sz w:val="24"/>
        </w:rPr>
        <w:fldChar w:fldCharType="begin"/>
      </w:r>
      <w:r>
        <w:rPr>
          <w:b/>
          <w:bCs/>
          <w:sz w:val="24"/>
        </w:rPr>
        <w:instrText xml:space="preserve"> HYPERLINK \l _Toc17614 </w:instrText>
      </w:r>
      <w:r>
        <w:rPr>
          <w:b/>
          <w:bCs/>
          <w:sz w:val="24"/>
        </w:rPr>
        <w:fldChar w:fldCharType="separate"/>
      </w:r>
      <w:r>
        <w:rPr>
          <w:b/>
          <w:bCs/>
          <w:snapToGrid w:val="0"/>
          <w:sz w:val="24"/>
        </w:rPr>
        <w:t>附表</w:t>
      </w:r>
      <w:r>
        <w:rPr>
          <w:b/>
          <w:bCs/>
          <w:sz w:val="24"/>
        </w:rPr>
        <w:tab/>
      </w:r>
      <w:r>
        <w:rPr>
          <w:b/>
          <w:bCs/>
          <w:sz w:val="24"/>
        </w:rPr>
        <w:fldChar w:fldCharType="begin"/>
      </w:r>
      <w:r>
        <w:rPr>
          <w:b/>
          <w:bCs/>
          <w:sz w:val="24"/>
        </w:rPr>
        <w:instrText xml:space="preserve"> PAGEREF _Toc17614 \h </w:instrText>
      </w:r>
      <w:r>
        <w:rPr>
          <w:b/>
          <w:bCs/>
          <w:sz w:val="24"/>
        </w:rPr>
        <w:fldChar w:fldCharType="separate"/>
      </w:r>
      <w:r>
        <w:rPr>
          <w:b/>
          <w:bCs/>
          <w:sz w:val="24"/>
        </w:rPr>
        <w:t>84</w:t>
      </w:r>
      <w:r>
        <w:rPr>
          <w:b/>
          <w:bCs/>
          <w:sz w:val="24"/>
        </w:rPr>
        <w:fldChar w:fldCharType="end"/>
      </w:r>
      <w:r>
        <w:rPr>
          <w:b/>
          <w:bCs/>
          <w:sz w:val="24"/>
        </w:rPr>
        <w:fldChar w:fldCharType="end"/>
      </w:r>
    </w:p>
    <w:p w14:paraId="6B46E068">
      <w:pPr>
        <w:spacing w:line="300" w:lineRule="auto"/>
        <w:jc w:val="left"/>
        <w:rPr>
          <w:rFonts w:eastAsia="仿宋_GB2312"/>
          <w:sz w:val="24"/>
        </w:rPr>
      </w:pPr>
      <w:r>
        <w:rPr>
          <w:rFonts w:eastAsia="仿宋_GB2312"/>
        </w:rPr>
        <w:fldChar w:fldCharType="end"/>
      </w:r>
    </w:p>
    <w:p w14:paraId="61270086">
      <w:pPr>
        <w:spacing w:line="300" w:lineRule="auto"/>
        <w:jc w:val="left"/>
        <w:rPr>
          <w:b/>
          <w:sz w:val="24"/>
        </w:rPr>
      </w:pPr>
      <w:r>
        <w:rPr>
          <w:b/>
          <w:sz w:val="24"/>
        </w:rPr>
        <w:t>附表：</w:t>
      </w:r>
    </w:p>
    <w:p w14:paraId="6B2DFE14">
      <w:pPr>
        <w:spacing w:line="300" w:lineRule="auto"/>
        <w:ind w:firstLine="480" w:firstLineChars="200"/>
        <w:jc w:val="left"/>
        <w:rPr>
          <w:bCs/>
          <w:sz w:val="24"/>
        </w:rPr>
      </w:pPr>
      <w:r>
        <w:rPr>
          <w:bCs/>
          <w:sz w:val="24"/>
        </w:rPr>
        <w:t xml:space="preserve">附表1：建设项目污染物排放量汇总表 </w:t>
      </w:r>
    </w:p>
    <w:p w14:paraId="1841B988">
      <w:pPr>
        <w:spacing w:line="360" w:lineRule="auto"/>
        <w:ind w:left="853" w:hanging="853" w:hangingChars="354"/>
        <w:jc w:val="left"/>
        <w:rPr>
          <w:sz w:val="24"/>
        </w:rPr>
      </w:pPr>
      <w:r>
        <w:rPr>
          <w:b/>
          <w:iCs/>
          <w:sz w:val="24"/>
        </w:rPr>
        <w:t>附图：</w:t>
      </w:r>
      <w:r>
        <w:rPr>
          <w:sz w:val="24"/>
        </w:rPr>
        <w:t xml:space="preserve"> </w:t>
      </w:r>
    </w:p>
    <w:p w14:paraId="1422F1EF">
      <w:pPr>
        <w:spacing w:line="360" w:lineRule="auto"/>
        <w:ind w:firstLine="480" w:firstLineChars="200"/>
        <w:jc w:val="left"/>
        <w:rPr>
          <w:iCs/>
          <w:sz w:val="24"/>
        </w:rPr>
      </w:pPr>
      <w:r>
        <w:rPr>
          <w:iCs/>
          <w:sz w:val="24"/>
        </w:rPr>
        <w:t>附图</w:t>
      </w:r>
      <w:r>
        <w:rPr>
          <w:rFonts w:hint="eastAsia"/>
          <w:iCs/>
          <w:sz w:val="24"/>
        </w:rPr>
        <w:t>1</w:t>
      </w:r>
      <w:r>
        <w:rPr>
          <w:rFonts w:hint="eastAsia"/>
          <w:iCs/>
          <w:sz w:val="24"/>
          <w:lang w:eastAsia="zh-CN"/>
        </w:rPr>
        <w:t>：</w:t>
      </w:r>
      <w:r>
        <w:rPr>
          <w:sz w:val="24"/>
        </w:rPr>
        <w:t>项目</w:t>
      </w:r>
      <w:r>
        <w:rPr>
          <w:iCs/>
          <w:sz w:val="24"/>
        </w:rPr>
        <w:t>地理位置图；</w:t>
      </w:r>
    </w:p>
    <w:p w14:paraId="05FF58AC">
      <w:pPr>
        <w:spacing w:line="360" w:lineRule="auto"/>
        <w:ind w:firstLine="480" w:firstLineChars="200"/>
        <w:jc w:val="left"/>
        <w:rPr>
          <w:rFonts w:hint="eastAsia"/>
          <w:iCs/>
          <w:sz w:val="24"/>
          <w:lang w:eastAsia="zh-CN"/>
        </w:rPr>
      </w:pPr>
      <w:r>
        <w:rPr>
          <w:iCs/>
          <w:sz w:val="24"/>
        </w:rPr>
        <w:t>附图</w:t>
      </w:r>
      <w:r>
        <w:rPr>
          <w:rFonts w:hint="eastAsia"/>
          <w:iCs/>
          <w:sz w:val="24"/>
        </w:rPr>
        <w:t>2</w:t>
      </w:r>
      <w:r>
        <w:rPr>
          <w:rFonts w:hint="eastAsia"/>
          <w:iCs/>
          <w:sz w:val="24"/>
          <w:lang w:eastAsia="zh-CN"/>
        </w:rPr>
        <w:t>：</w:t>
      </w:r>
      <w:r>
        <w:rPr>
          <w:rFonts w:hint="eastAsia"/>
          <w:iCs/>
          <w:sz w:val="24"/>
        </w:rPr>
        <w:t>项目平面布置图</w:t>
      </w:r>
      <w:r>
        <w:rPr>
          <w:rFonts w:hint="eastAsia"/>
          <w:iCs/>
          <w:sz w:val="24"/>
          <w:lang w:eastAsia="zh-CN"/>
        </w:rPr>
        <w:t>；</w:t>
      </w:r>
    </w:p>
    <w:p w14:paraId="4551292C">
      <w:pPr>
        <w:spacing w:line="360" w:lineRule="auto"/>
        <w:ind w:firstLine="480" w:firstLineChars="200"/>
        <w:jc w:val="left"/>
        <w:rPr>
          <w:rFonts w:hint="default"/>
          <w:iCs/>
          <w:sz w:val="24"/>
          <w:lang w:val="en-US" w:eastAsia="zh-CN"/>
        </w:rPr>
      </w:pPr>
      <w:r>
        <w:rPr>
          <w:rFonts w:hint="eastAsia"/>
          <w:iCs/>
          <w:sz w:val="24"/>
          <w:lang w:eastAsia="zh-CN"/>
        </w:rPr>
        <w:t>附图</w:t>
      </w:r>
      <w:r>
        <w:rPr>
          <w:rFonts w:hint="default" w:ascii="Times New Roman" w:hAnsi="Times New Roman" w:cs="Times New Roman"/>
          <w:iCs/>
          <w:sz w:val="24"/>
          <w:lang w:val="en-US" w:eastAsia="zh-CN"/>
        </w:rPr>
        <w:t>3：</w:t>
      </w:r>
      <w:r>
        <w:rPr>
          <w:rFonts w:hint="eastAsia"/>
          <w:iCs/>
          <w:sz w:val="24"/>
          <w:lang w:val="en-US" w:eastAsia="zh-CN"/>
        </w:rPr>
        <w:t>项目保护目标及周边关系图。</w:t>
      </w:r>
    </w:p>
    <w:p w14:paraId="00A7AF14">
      <w:pPr>
        <w:spacing w:line="360" w:lineRule="auto"/>
        <w:jc w:val="left"/>
        <w:rPr>
          <w:rFonts w:hint="eastAsia"/>
          <w:b/>
          <w:bCs/>
          <w:iCs/>
          <w:sz w:val="24"/>
          <w:lang w:val="en-US" w:eastAsia="zh-CN"/>
        </w:rPr>
      </w:pPr>
      <w:r>
        <w:rPr>
          <w:rFonts w:hint="eastAsia"/>
          <w:b/>
          <w:bCs/>
          <w:iCs/>
          <w:sz w:val="24"/>
          <w:lang w:eastAsia="zh-CN"/>
        </w:rPr>
        <w:t>附件</w:t>
      </w:r>
      <w:r>
        <w:rPr>
          <w:rFonts w:hint="eastAsia"/>
          <w:b/>
          <w:bCs/>
          <w:iCs/>
          <w:sz w:val="24"/>
          <w:lang w:val="en-US" w:eastAsia="zh-CN"/>
        </w:rPr>
        <w:t>:</w:t>
      </w:r>
    </w:p>
    <w:p w14:paraId="0A66AA9F">
      <w:pPr>
        <w:spacing w:line="360" w:lineRule="auto"/>
        <w:ind w:firstLine="480"/>
        <w:jc w:val="left"/>
        <w:rPr>
          <w:rFonts w:hint="eastAsia"/>
          <w:b w:val="0"/>
          <w:bCs w:val="0"/>
          <w:iCs/>
          <w:sz w:val="24"/>
          <w:lang w:val="en-US" w:eastAsia="zh-CN"/>
        </w:rPr>
      </w:pPr>
      <w:r>
        <w:rPr>
          <w:rFonts w:hint="default" w:ascii="Times New Roman" w:hAnsi="Times New Roman" w:cs="Times New Roman"/>
          <w:b w:val="0"/>
          <w:bCs w:val="0"/>
          <w:iCs/>
          <w:sz w:val="24"/>
          <w:lang w:val="en-US" w:eastAsia="zh-CN"/>
        </w:rPr>
        <w:t>附件1：</w:t>
      </w:r>
      <w:r>
        <w:rPr>
          <w:sz w:val="24"/>
        </w:rPr>
        <w:t>项目三线一单分区管控查询</w:t>
      </w:r>
      <w:r>
        <w:rPr>
          <w:rFonts w:hint="eastAsia"/>
          <w:b w:val="0"/>
          <w:bCs w:val="0"/>
          <w:iCs/>
          <w:sz w:val="24"/>
          <w:lang w:val="en-US" w:eastAsia="zh-CN"/>
        </w:rPr>
        <w:t>；</w:t>
      </w:r>
    </w:p>
    <w:p w14:paraId="3C24B7C8">
      <w:pPr>
        <w:spacing w:line="360" w:lineRule="auto"/>
        <w:ind w:firstLine="480"/>
        <w:jc w:val="left"/>
        <w:rPr>
          <w:rFonts w:hint="eastAsia"/>
          <w:b w:val="0"/>
          <w:bCs w:val="0"/>
          <w:iCs/>
          <w:sz w:val="24"/>
          <w:lang w:val="en-US" w:eastAsia="zh-CN"/>
        </w:rPr>
      </w:pPr>
      <w:r>
        <w:rPr>
          <w:rFonts w:hint="eastAsia"/>
          <w:b w:val="0"/>
          <w:bCs w:val="0"/>
          <w:iCs/>
          <w:sz w:val="24"/>
          <w:lang w:val="en-US" w:eastAsia="zh-CN"/>
        </w:rPr>
        <w:t>附件2：</w:t>
      </w:r>
      <w:r>
        <w:rPr>
          <w:rFonts w:hint="eastAsia"/>
          <w:sz w:val="24"/>
          <w:lang w:val="en-US" w:eastAsia="zh-CN"/>
        </w:rPr>
        <w:t>不动产权证书</w:t>
      </w:r>
      <w:r>
        <w:rPr>
          <w:rFonts w:hint="eastAsia"/>
          <w:b w:val="0"/>
          <w:bCs w:val="0"/>
          <w:iCs/>
          <w:sz w:val="24"/>
          <w:lang w:val="en-US" w:eastAsia="zh-CN"/>
        </w:rPr>
        <w:t>；</w:t>
      </w:r>
    </w:p>
    <w:p w14:paraId="4C68B919">
      <w:pPr>
        <w:spacing w:line="360" w:lineRule="auto"/>
        <w:ind w:firstLine="480"/>
        <w:jc w:val="left"/>
        <w:rPr>
          <w:rFonts w:hint="eastAsia"/>
          <w:color w:val="auto"/>
          <w:sz w:val="24"/>
        </w:rPr>
      </w:pPr>
      <w:r>
        <w:rPr>
          <w:rFonts w:hint="eastAsia"/>
          <w:b w:val="0"/>
          <w:bCs w:val="0"/>
          <w:iCs/>
          <w:sz w:val="24"/>
          <w:lang w:val="en-US" w:eastAsia="zh-CN"/>
        </w:rPr>
        <w:t>附件3：项目投资备案证；</w:t>
      </w:r>
    </w:p>
    <w:p w14:paraId="0C29FE35">
      <w:pPr>
        <w:spacing w:line="360" w:lineRule="auto"/>
        <w:ind w:firstLine="480"/>
        <w:jc w:val="left"/>
        <w:rPr>
          <w:rFonts w:hint="eastAsia"/>
          <w:color w:val="auto"/>
          <w:sz w:val="24"/>
          <w:lang w:val="en-US" w:eastAsia="zh-CN"/>
        </w:rPr>
      </w:pPr>
      <w:r>
        <w:rPr>
          <w:rFonts w:hint="eastAsia"/>
          <w:color w:val="auto"/>
          <w:sz w:val="24"/>
          <w:lang w:eastAsia="zh-CN"/>
        </w:rPr>
        <w:t>附件</w:t>
      </w:r>
      <w:r>
        <w:rPr>
          <w:rFonts w:hint="eastAsia"/>
          <w:color w:val="auto"/>
          <w:sz w:val="24"/>
          <w:lang w:val="en-US" w:eastAsia="zh-CN"/>
        </w:rPr>
        <w:t>4：项目环评委托书；</w:t>
      </w:r>
    </w:p>
    <w:p w14:paraId="49FADCF5">
      <w:pPr>
        <w:spacing w:line="360" w:lineRule="auto"/>
        <w:ind w:firstLine="480"/>
        <w:jc w:val="left"/>
        <w:rPr>
          <w:rFonts w:hint="eastAsia"/>
          <w:color w:val="auto"/>
          <w:sz w:val="24"/>
        </w:rPr>
      </w:pPr>
      <w:r>
        <w:rPr>
          <w:rFonts w:hint="eastAsia"/>
          <w:color w:val="auto"/>
          <w:sz w:val="24"/>
          <w:lang w:val="en-US" w:eastAsia="zh-CN"/>
        </w:rPr>
        <w:t>附件5：</w:t>
      </w:r>
      <w:r>
        <w:rPr>
          <w:rFonts w:hint="eastAsia"/>
          <w:color w:val="auto"/>
          <w:sz w:val="24"/>
        </w:rPr>
        <w:t>云环办函〔2022〕72号关于德宏州生态环境局请求确定木炭、机制炭项目环评审批相关事宜的复函；</w:t>
      </w:r>
    </w:p>
    <w:p w14:paraId="5EFF9CDC">
      <w:pPr>
        <w:spacing w:line="360" w:lineRule="auto"/>
        <w:ind w:firstLine="480"/>
        <w:jc w:val="left"/>
        <w:rPr>
          <w:rFonts w:hint="default" w:eastAsia="宋体"/>
          <w:color w:val="FF0000"/>
          <w:sz w:val="24"/>
          <w:lang w:val="en-US" w:eastAsia="zh-CN"/>
        </w:rPr>
      </w:pPr>
      <w:r>
        <w:rPr>
          <w:rFonts w:hint="eastAsia"/>
          <w:color w:val="auto"/>
          <w:sz w:val="24"/>
          <w:lang w:eastAsia="zh-CN"/>
        </w:rPr>
        <w:t>附件</w:t>
      </w:r>
      <w:r>
        <w:rPr>
          <w:rFonts w:hint="eastAsia"/>
          <w:color w:val="auto"/>
          <w:sz w:val="24"/>
          <w:lang w:val="en-US" w:eastAsia="zh-CN"/>
        </w:rPr>
        <w:t>6：</w:t>
      </w:r>
      <w:r>
        <w:rPr>
          <w:rFonts w:hint="eastAsia"/>
          <w:color w:val="auto"/>
          <w:sz w:val="24"/>
          <w:lang w:eastAsia="zh-CN"/>
        </w:rPr>
        <w:t>《</w:t>
      </w:r>
      <w:r>
        <w:rPr>
          <w:rFonts w:hint="eastAsia" w:ascii="Times New Roman" w:hAnsi="Times New Roman" w:cs="Times New Roman"/>
          <w:b w:val="0"/>
          <w:bCs w:val="0"/>
          <w:color w:val="auto"/>
          <w:sz w:val="24"/>
          <w:szCs w:val="24"/>
          <w:lang w:eastAsia="zh-CN"/>
        </w:rPr>
        <w:t>芒市遮放镇户拉鑫鸿木材加工厂建设项目</w:t>
      </w:r>
      <w:r>
        <w:rPr>
          <w:rFonts w:hint="eastAsia"/>
          <w:color w:val="auto"/>
          <w:sz w:val="24"/>
        </w:rPr>
        <w:t>》</w:t>
      </w:r>
      <w:r>
        <w:rPr>
          <w:rFonts w:hint="eastAsia"/>
          <w:color w:val="auto"/>
          <w:sz w:val="24"/>
          <w:lang w:val="en-US" w:eastAsia="zh-CN"/>
        </w:rPr>
        <w:t>环境质量现状监测报告（引用3年内5km范围内）；</w:t>
      </w:r>
    </w:p>
    <w:p w14:paraId="595E393D">
      <w:pPr>
        <w:spacing w:line="360" w:lineRule="auto"/>
        <w:ind w:firstLine="480"/>
        <w:jc w:val="left"/>
        <w:rPr>
          <w:rFonts w:hint="eastAsia"/>
          <w:sz w:val="24"/>
          <w:lang w:eastAsia="zh-CN"/>
        </w:rPr>
      </w:pPr>
      <w:r>
        <w:rPr>
          <w:rFonts w:hint="eastAsia"/>
          <w:sz w:val="24"/>
        </w:rPr>
        <w:t>附件</w:t>
      </w:r>
      <w:r>
        <w:rPr>
          <w:rFonts w:hint="eastAsia"/>
          <w:sz w:val="24"/>
          <w:lang w:val="en-US" w:eastAsia="zh-CN"/>
        </w:rPr>
        <w:t>7</w:t>
      </w:r>
      <w:r>
        <w:rPr>
          <w:rFonts w:hint="eastAsia"/>
          <w:sz w:val="24"/>
        </w:rPr>
        <w:t>：</w:t>
      </w:r>
      <w:r>
        <w:rPr>
          <w:rFonts w:hint="eastAsia"/>
          <w:color w:val="auto"/>
          <w:sz w:val="24"/>
          <w:lang w:val="en-US" w:eastAsia="zh-CN"/>
        </w:rPr>
        <w:t>芒市三羊农业科技发展有限公司芒市农业废弃物综合利用项目环境质量现状监测；</w:t>
      </w:r>
    </w:p>
    <w:p w14:paraId="563757C9">
      <w:pPr>
        <w:spacing w:line="360" w:lineRule="auto"/>
        <w:ind w:firstLine="480"/>
        <w:jc w:val="left"/>
        <w:rPr>
          <w:rFonts w:hint="eastAsia"/>
          <w:sz w:val="24"/>
          <w:lang w:val="en-US" w:eastAsia="zh-CN"/>
        </w:rPr>
      </w:pPr>
      <w:r>
        <w:rPr>
          <w:rFonts w:hint="eastAsia"/>
          <w:sz w:val="24"/>
          <w:lang w:eastAsia="zh-CN"/>
        </w:rPr>
        <w:t>附件</w:t>
      </w:r>
      <w:r>
        <w:rPr>
          <w:rFonts w:hint="eastAsia"/>
          <w:sz w:val="24"/>
          <w:lang w:val="en-US" w:eastAsia="zh-CN"/>
        </w:rPr>
        <w:t>8：环保搬迁情况说明；</w:t>
      </w:r>
    </w:p>
    <w:p w14:paraId="4A9A9117">
      <w:pPr>
        <w:spacing w:line="360" w:lineRule="auto"/>
        <w:ind w:firstLine="480"/>
        <w:jc w:val="left"/>
        <w:rPr>
          <w:rFonts w:hint="eastAsia"/>
          <w:sz w:val="24"/>
          <w:lang w:val="en-US" w:eastAsia="zh-CN"/>
        </w:rPr>
      </w:pPr>
      <w:r>
        <w:rPr>
          <w:rFonts w:hint="eastAsia"/>
          <w:sz w:val="24"/>
          <w:lang w:val="en-US" w:eastAsia="zh-CN"/>
        </w:rPr>
        <w:t>附件9：生物质颗粒检测报告；</w:t>
      </w:r>
    </w:p>
    <w:p w14:paraId="717A6A0B">
      <w:pPr>
        <w:spacing w:line="360" w:lineRule="auto"/>
        <w:ind w:firstLine="480"/>
        <w:jc w:val="left"/>
        <w:rPr>
          <w:rFonts w:hint="eastAsia"/>
          <w:color w:val="auto"/>
          <w:sz w:val="24"/>
        </w:rPr>
      </w:pPr>
      <w:r>
        <w:rPr>
          <w:rFonts w:hint="eastAsia"/>
          <w:sz w:val="24"/>
          <w:lang w:val="en-US" w:eastAsia="zh-CN"/>
        </w:rPr>
        <w:t>附件10：建设单位营业执照复印件</w:t>
      </w:r>
      <w:r>
        <w:rPr>
          <w:rFonts w:hint="eastAsia"/>
          <w:color w:val="auto"/>
          <w:sz w:val="24"/>
        </w:rPr>
        <w:t>；</w:t>
      </w:r>
    </w:p>
    <w:p w14:paraId="450584A3">
      <w:pPr>
        <w:spacing w:line="360" w:lineRule="auto"/>
        <w:ind w:firstLine="480" w:firstLineChars="200"/>
        <w:rPr>
          <w:rFonts w:hint="eastAsia"/>
          <w:color w:val="auto"/>
          <w:sz w:val="24"/>
          <w:lang w:eastAsia="zh-CN"/>
        </w:rPr>
      </w:pPr>
      <w:r>
        <w:rPr>
          <w:rFonts w:hint="eastAsia"/>
          <w:color w:val="auto"/>
          <w:sz w:val="24"/>
          <w:lang w:eastAsia="zh-CN"/>
        </w:rPr>
        <w:t>附件</w:t>
      </w:r>
      <w:r>
        <w:rPr>
          <w:rFonts w:hint="eastAsia"/>
          <w:color w:val="auto"/>
          <w:sz w:val="24"/>
          <w:lang w:val="en-US" w:eastAsia="zh-CN"/>
        </w:rPr>
        <w:t>11：</w:t>
      </w:r>
      <w:r>
        <w:rPr>
          <w:rFonts w:hint="eastAsia"/>
          <w:sz w:val="24"/>
        </w:rPr>
        <w:t>建设单位法人身份</w:t>
      </w:r>
      <w:r>
        <w:rPr>
          <w:rFonts w:hint="eastAsia"/>
          <w:color w:val="auto"/>
          <w:sz w:val="24"/>
        </w:rPr>
        <w:t>证复印</w:t>
      </w:r>
      <w:r>
        <w:rPr>
          <w:rFonts w:hint="eastAsia"/>
          <w:color w:val="auto"/>
          <w:sz w:val="24"/>
          <w:lang w:eastAsia="zh-CN"/>
        </w:rPr>
        <w:t>；</w:t>
      </w:r>
    </w:p>
    <w:p w14:paraId="4EC51757">
      <w:pPr>
        <w:spacing w:line="360" w:lineRule="auto"/>
        <w:ind w:firstLine="480"/>
        <w:jc w:val="left"/>
        <w:rPr>
          <w:rFonts w:hint="eastAsia"/>
          <w:color w:val="auto"/>
          <w:sz w:val="24"/>
          <w:lang w:eastAsia="zh-CN"/>
        </w:rPr>
      </w:pPr>
      <w:r>
        <w:rPr>
          <w:rFonts w:hint="eastAsia"/>
          <w:color w:val="auto"/>
          <w:sz w:val="24"/>
          <w:lang w:val="en-US" w:eastAsia="zh-CN"/>
        </w:rPr>
        <w:t>附件12：环评合同文件；</w:t>
      </w:r>
    </w:p>
    <w:p w14:paraId="518809DE">
      <w:pPr>
        <w:spacing w:line="360" w:lineRule="auto"/>
        <w:ind w:firstLine="480" w:firstLineChars="200"/>
        <w:rPr>
          <w:rFonts w:hint="eastAsia" w:cs="Times New Roman"/>
          <w:color w:val="auto"/>
          <w:sz w:val="24"/>
          <w:szCs w:val="24"/>
          <w:highlight w:val="none"/>
          <w:lang w:val="en-US" w:eastAsia="zh-CN"/>
        </w:rPr>
      </w:pPr>
      <w:r>
        <w:rPr>
          <w:rFonts w:hint="eastAsia"/>
          <w:color w:val="auto"/>
          <w:sz w:val="24"/>
          <w:lang w:val="en-US" w:eastAsia="zh-CN"/>
        </w:rPr>
        <w:t>附件13：</w:t>
      </w:r>
      <w:r>
        <w:rPr>
          <w:rFonts w:hint="eastAsia"/>
          <w:color w:val="auto"/>
          <w:sz w:val="24"/>
        </w:rPr>
        <w:t xml:space="preserve">德宏正康流程管理表 </w:t>
      </w:r>
      <w:r>
        <w:rPr>
          <w:rFonts w:hint="eastAsia" w:cs="Times New Roman"/>
          <w:color w:val="auto"/>
          <w:sz w:val="24"/>
          <w:szCs w:val="24"/>
          <w:highlight w:val="none"/>
          <w:lang w:val="en-US" w:eastAsia="zh-CN"/>
        </w:rPr>
        <w:t>芒市农业废弃物综合利用项目；</w:t>
      </w:r>
    </w:p>
    <w:p w14:paraId="2C20A2F3">
      <w:pPr>
        <w:spacing w:line="360" w:lineRule="auto"/>
        <w:ind w:firstLine="480" w:firstLineChars="20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附件14：部分原料收购合同；</w:t>
      </w:r>
    </w:p>
    <w:p w14:paraId="78B44BAD">
      <w:pPr>
        <w:spacing w:line="360" w:lineRule="auto"/>
        <w:ind w:firstLine="480" w:firstLineChars="200"/>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附件15：芒市林业草业局关于项目自然保护地回复意见。</w:t>
      </w:r>
    </w:p>
    <w:p w14:paraId="0400D93A">
      <w:pPr>
        <w:spacing w:line="360" w:lineRule="auto"/>
        <w:ind w:firstLine="480"/>
        <w:jc w:val="left"/>
        <w:rPr>
          <w:rFonts w:hint="default" w:eastAsia="宋体"/>
          <w:color w:val="auto"/>
          <w:sz w:val="24"/>
          <w:lang w:val="en-US" w:eastAsia="zh-CN"/>
        </w:rPr>
      </w:pPr>
    </w:p>
    <w:p w14:paraId="458AEEDF">
      <w:pPr>
        <w:spacing w:line="360" w:lineRule="auto"/>
        <w:ind w:firstLine="480"/>
        <w:jc w:val="left"/>
        <w:rPr>
          <w:rFonts w:hint="default" w:eastAsia="宋体"/>
          <w:color w:val="auto"/>
          <w:sz w:val="24"/>
          <w:lang w:val="en-US" w:eastAsia="zh-CN"/>
        </w:rPr>
      </w:pPr>
      <w:bookmarkStart w:id="26" w:name="_GoBack"/>
      <w:bookmarkEnd w:id="26"/>
    </w:p>
    <w:p w14:paraId="68FAEFB5">
      <w:pPr>
        <w:spacing w:line="360" w:lineRule="auto"/>
        <w:ind w:firstLine="480"/>
        <w:jc w:val="left"/>
        <w:rPr>
          <w:rFonts w:hint="default" w:eastAsia="宋体"/>
          <w:color w:val="auto"/>
          <w:sz w:val="24"/>
          <w:lang w:val="en-US" w:eastAsia="zh-CN"/>
        </w:rPr>
      </w:pPr>
    </w:p>
    <w:p w14:paraId="3C20CB70">
      <w:pPr>
        <w:spacing w:line="360" w:lineRule="auto"/>
        <w:ind w:firstLine="480"/>
        <w:jc w:val="left"/>
        <w:rPr>
          <w:rFonts w:hint="default" w:eastAsia="宋体"/>
          <w:color w:val="auto"/>
          <w:sz w:val="24"/>
          <w:lang w:val="en-US" w:eastAsia="zh-CN"/>
        </w:rPr>
      </w:pPr>
    </w:p>
    <w:p w14:paraId="25389721">
      <w:pPr>
        <w:spacing w:line="360" w:lineRule="auto"/>
        <w:ind w:firstLine="480"/>
        <w:jc w:val="left"/>
        <w:rPr>
          <w:rFonts w:hint="default" w:eastAsia="宋体"/>
          <w:color w:val="auto"/>
          <w:sz w:val="24"/>
          <w:lang w:val="en-US" w:eastAsia="zh-CN"/>
        </w:rPr>
      </w:pPr>
    </w:p>
    <w:p w14:paraId="3B200F81">
      <w:pPr>
        <w:spacing w:line="360" w:lineRule="auto"/>
        <w:ind w:firstLine="480"/>
        <w:jc w:val="left"/>
        <w:rPr>
          <w:rFonts w:hint="default" w:eastAsia="宋体"/>
          <w:color w:val="auto"/>
          <w:sz w:val="24"/>
          <w:lang w:val="en-US" w:eastAsia="zh-CN"/>
        </w:rPr>
      </w:pPr>
    </w:p>
    <w:p w14:paraId="34032B98">
      <w:pPr>
        <w:spacing w:line="360" w:lineRule="auto"/>
        <w:ind w:firstLine="480"/>
        <w:jc w:val="left"/>
        <w:rPr>
          <w:rFonts w:hint="default" w:eastAsia="宋体"/>
          <w:color w:val="auto"/>
          <w:sz w:val="24"/>
          <w:lang w:val="en-US" w:eastAsia="zh-CN"/>
        </w:rPr>
      </w:pPr>
    </w:p>
    <w:p w14:paraId="69CDB8A8">
      <w:pPr>
        <w:spacing w:line="360" w:lineRule="auto"/>
        <w:ind w:firstLine="480"/>
        <w:jc w:val="left"/>
        <w:rPr>
          <w:rFonts w:hint="default" w:eastAsia="宋体"/>
          <w:color w:val="auto"/>
          <w:sz w:val="24"/>
          <w:lang w:val="en-US" w:eastAsia="zh-CN"/>
        </w:rPr>
      </w:pPr>
    </w:p>
    <w:p w14:paraId="5C6E125F">
      <w:pPr>
        <w:spacing w:line="360" w:lineRule="auto"/>
        <w:ind w:firstLine="480"/>
        <w:jc w:val="left"/>
        <w:rPr>
          <w:rFonts w:hint="default" w:eastAsia="宋体"/>
          <w:color w:val="auto"/>
          <w:sz w:val="24"/>
          <w:lang w:val="en-US" w:eastAsia="zh-CN"/>
        </w:rPr>
      </w:pPr>
    </w:p>
    <w:p w14:paraId="3B235EE5">
      <w:pPr>
        <w:spacing w:line="360" w:lineRule="auto"/>
        <w:ind w:firstLine="480"/>
        <w:jc w:val="left"/>
        <w:rPr>
          <w:rFonts w:hint="default" w:eastAsia="宋体"/>
          <w:color w:val="auto"/>
          <w:sz w:val="24"/>
          <w:lang w:val="en-US" w:eastAsia="zh-CN"/>
        </w:rPr>
      </w:pPr>
    </w:p>
    <w:p w14:paraId="151B66F4">
      <w:pPr>
        <w:spacing w:line="360" w:lineRule="auto"/>
        <w:ind w:firstLine="480"/>
        <w:jc w:val="left"/>
        <w:rPr>
          <w:rFonts w:hint="default" w:eastAsia="宋体"/>
          <w:color w:val="auto"/>
          <w:sz w:val="24"/>
          <w:lang w:val="en-US" w:eastAsia="zh-CN"/>
        </w:rPr>
      </w:pPr>
    </w:p>
    <w:p w14:paraId="23262445">
      <w:pPr>
        <w:spacing w:line="360" w:lineRule="auto"/>
        <w:ind w:firstLine="480"/>
        <w:jc w:val="left"/>
        <w:rPr>
          <w:rFonts w:hint="default" w:eastAsia="宋体"/>
          <w:color w:val="auto"/>
          <w:sz w:val="24"/>
          <w:lang w:val="en-US" w:eastAsia="zh-CN"/>
        </w:rPr>
      </w:pPr>
    </w:p>
    <w:p w14:paraId="5D1062E9">
      <w:pPr>
        <w:spacing w:line="360" w:lineRule="auto"/>
        <w:ind w:firstLine="480"/>
        <w:jc w:val="left"/>
        <w:rPr>
          <w:rFonts w:hint="default" w:eastAsia="宋体"/>
          <w:color w:val="auto"/>
          <w:sz w:val="24"/>
          <w:lang w:val="en-US" w:eastAsia="zh-CN"/>
        </w:rPr>
      </w:pPr>
    </w:p>
    <w:p w14:paraId="47A9CB36">
      <w:pPr>
        <w:spacing w:line="360" w:lineRule="auto"/>
        <w:ind w:firstLine="480"/>
        <w:jc w:val="left"/>
        <w:rPr>
          <w:rFonts w:hint="default" w:eastAsia="宋体"/>
          <w:color w:val="auto"/>
          <w:sz w:val="24"/>
          <w:lang w:val="en-US" w:eastAsia="zh-CN"/>
        </w:rPr>
      </w:pPr>
    </w:p>
    <w:p w14:paraId="507365DB">
      <w:pPr>
        <w:spacing w:line="360" w:lineRule="auto"/>
        <w:ind w:firstLine="480"/>
        <w:jc w:val="left"/>
        <w:rPr>
          <w:rFonts w:hint="default" w:eastAsia="宋体"/>
          <w:color w:val="auto"/>
          <w:sz w:val="24"/>
          <w:lang w:val="en-US" w:eastAsia="zh-CN"/>
        </w:rPr>
      </w:pPr>
    </w:p>
    <w:p w14:paraId="4A6CE3DF">
      <w:pPr>
        <w:spacing w:line="360" w:lineRule="auto"/>
        <w:ind w:firstLine="480"/>
        <w:jc w:val="left"/>
        <w:rPr>
          <w:rFonts w:hint="default" w:eastAsia="宋体"/>
          <w:color w:val="auto"/>
          <w:sz w:val="24"/>
          <w:lang w:val="en-US" w:eastAsia="zh-CN"/>
        </w:rPr>
      </w:pPr>
    </w:p>
    <w:p w14:paraId="1B043131">
      <w:pPr>
        <w:spacing w:line="360" w:lineRule="auto"/>
        <w:ind w:firstLine="480"/>
        <w:jc w:val="left"/>
        <w:rPr>
          <w:rFonts w:hint="default" w:eastAsia="宋体"/>
          <w:color w:val="auto"/>
          <w:sz w:val="24"/>
          <w:lang w:val="en-US" w:eastAsia="zh-CN"/>
        </w:rPr>
      </w:pPr>
    </w:p>
    <w:p w14:paraId="64955872">
      <w:pPr>
        <w:spacing w:line="360" w:lineRule="auto"/>
        <w:ind w:firstLine="480"/>
        <w:jc w:val="left"/>
        <w:rPr>
          <w:rFonts w:hint="default" w:eastAsia="宋体"/>
          <w:color w:val="auto"/>
          <w:sz w:val="24"/>
          <w:lang w:val="en-US" w:eastAsia="zh-CN"/>
        </w:rPr>
      </w:pPr>
    </w:p>
    <w:p w14:paraId="1EA62F93">
      <w:pPr>
        <w:spacing w:line="360" w:lineRule="auto"/>
        <w:ind w:firstLine="480"/>
        <w:jc w:val="left"/>
        <w:rPr>
          <w:rFonts w:hint="default" w:eastAsia="宋体"/>
          <w:color w:val="auto"/>
          <w:sz w:val="24"/>
          <w:lang w:val="en-US" w:eastAsia="zh-CN"/>
        </w:rPr>
      </w:pPr>
    </w:p>
    <w:p w14:paraId="5DC62BB8">
      <w:pPr>
        <w:spacing w:line="360" w:lineRule="auto"/>
        <w:ind w:firstLine="480"/>
        <w:jc w:val="left"/>
        <w:rPr>
          <w:rFonts w:hint="default" w:eastAsia="宋体"/>
          <w:color w:val="auto"/>
          <w:sz w:val="24"/>
          <w:lang w:val="en-US" w:eastAsia="zh-CN"/>
        </w:rPr>
      </w:pPr>
    </w:p>
    <w:p w14:paraId="140172BA">
      <w:pPr>
        <w:spacing w:line="360" w:lineRule="auto"/>
        <w:ind w:firstLine="480"/>
        <w:jc w:val="left"/>
        <w:rPr>
          <w:rFonts w:hint="default" w:eastAsia="宋体"/>
          <w:color w:val="auto"/>
          <w:sz w:val="24"/>
          <w:lang w:val="en-US" w:eastAsia="zh-CN"/>
        </w:rPr>
      </w:pPr>
    </w:p>
    <w:p w14:paraId="44F7E49C">
      <w:pPr>
        <w:spacing w:line="360" w:lineRule="auto"/>
        <w:ind w:firstLine="480"/>
        <w:jc w:val="left"/>
        <w:rPr>
          <w:rFonts w:hint="default" w:eastAsia="宋体"/>
          <w:color w:val="auto"/>
          <w:sz w:val="24"/>
          <w:lang w:val="en-US" w:eastAsia="zh-CN"/>
        </w:r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3"/>
        <w:gridCol w:w="4189"/>
      </w:tblGrid>
      <w:tr w14:paraId="4C32A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7" w:hRule="atLeast"/>
        </w:trPr>
        <w:tc>
          <w:tcPr>
            <w:tcW w:w="2542" w:type="pct"/>
          </w:tcPr>
          <w:p w14:paraId="1E650341">
            <w:pPr>
              <w:pStyle w:val="2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Times New Roman" w:hAnsi="Times New Roman" w:eastAsia="宋体" w:cs="Times New Roman"/>
                <w:b/>
                <w:bCs/>
                <w:snapToGrid w:val="0"/>
                <w:color w:val="auto"/>
                <w:sz w:val="32"/>
                <w:szCs w:val="32"/>
                <w:highlight w:val="none"/>
                <w:vertAlign w:val="baseline"/>
                <w:lang w:eastAsia="zh-CN"/>
              </w:rPr>
            </w:pPr>
            <w:r>
              <w:rPr>
                <w:rFonts w:hint="eastAsia" w:ascii="Times New Roman" w:hAnsi="Times New Roman" w:eastAsia="宋体" w:cs="Times New Roman"/>
                <w:b/>
                <w:bCs/>
                <w:snapToGrid w:val="0"/>
                <w:color w:val="auto"/>
                <w:sz w:val="32"/>
                <w:szCs w:val="32"/>
                <w:highlight w:val="none"/>
                <w:vertAlign w:val="baseline"/>
                <w:lang w:eastAsia="zh-CN"/>
              </w:rPr>
              <w:drawing>
                <wp:inline distT="0" distB="0" distL="114300" distR="114300">
                  <wp:extent cx="2607310" cy="2484755"/>
                  <wp:effectExtent l="0" t="0" r="2540" b="10795"/>
                  <wp:docPr id="5" name="图片 5" descr="东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东侧"/>
                          <pic:cNvPicPr>
                            <a:picLocks noChangeAspect="1"/>
                          </pic:cNvPicPr>
                        </pic:nvPicPr>
                        <pic:blipFill>
                          <a:blip r:embed="rId9"/>
                          <a:stretch>
                            <a:fillRect/>
                          </a:stretch>
                        </pic:blipFill>
                        <pic:spPr>
                          <a:xfrm>
                            <a:off x="0" y="0"/>
                            <a:ext cx="2607310" cy="2484755"/>
                          </a:xfrm>
                          <a:prstGeom prst="rect">
                            <a:avLst/>
                          </a:prstGeom>
                        </pic:spPr>
                      </pic:pic>
                    </a:graphicData>
                  </a:graphic>
                </wp:inline>
              </w:drawing>
            </w:r>
          </w:p>
          <w:p w14:paraId="7BC6AC41">
            <w:pPr>
              <w:pStyle w:val="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Times New Roman" w:hAnsi="Times New Roman" w:eastAsia="宋体" w:cs="Times New Roman"/>
                <w:b/>
                <w:bCs/>
                <w:snapToGrid w:val="0"/>
                <w:color w:val="auto"/>
                <w:sz w:val="32"/>
                <w:szCs w:val="32"/>
                <w:highlight w:val="none"/>
                <w:vertAlign w:val="baseline"/>
                <w:lang w:eastAsia="zh-CN"/>
              </w:rPr>
            </w:pPr>
            <w:r>
              <w:t xml:space="preserve">图 </w:t>
            </w:r>
            <w:r>
              <w:fldChar w:fldCharType="begin"/>
            </w:r>
            <w:r>
              <w:instrText xml:space="preserve"> SEQ 图 \* ARABIC </w:instrText>
            </w:r>
            <w:r>
              <w:fldChar w:fldCharType="separate"/>
            </w:r>
            <w:r>
              <w:t>1</w:t>
            </w:r>
            <w:r>
              <w:fldChar w:fldCharType="end"/>
            </w:r>
            <w:r>
              <w:rPr>
                <w:rFonts w:hint="eastAsia"/>
                <w:lang w:eastAsia="zh-CN"/>
              </w:rPr>
              <w:t>项目东侧闲着民房照片现状</w:t>
            </w:r>
          </w:p>
        </w:tc>
        <w:tc>
          <w:tcPr>
            <w:tcW w:w="2457" w:type="pct"/>
          </w:tcPr>
          <w:p w14:paraId="18D31EBB">
            <w:pPr>
              <w:pStyle w:val="2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Times New Roman" w:hAnsi="Times New Roman" w:eastAsia="宋体" w:cs="Times New Roman"/>
                <w:b/>
                <w:bCs/>
                <w:snapToGrid w:val="0"/>
                <w:color w:val="auto"/>
                <w:sz w:val="32"/>
                <w:szCs w:val="32"/>
                <w:highlight w:val="none"/>
                <w:vertAlign w:val="baseline"/>
                <w:lang w:eastAsia="zh-CN"/>
              </w:rPr>
            </w:pPr>
            <w:r>
              <w:rPr>
                <w:rFonts w:hint="eastAsia" w:ascii="Times New Roman" w:hAnsi="Times New Roman" w:eastAsia="宋体" w:cs="Times New Roman"/>
                <w:b/>
                <w:bCs/>
                <w:snapToGrid w:val="0"/>
                <w:color w:val="auto"/>
                <w:sz w:val="32"/>
                <w:szCs w:val="32"/>
                <w:highlight w:val="none"/>
                <w:vertAlign w:val="baseline"/>
                <w:lang w:eastAsia="zh-CN"/>
              </w:rPr>
              <w:drawing>
                <wp:inline distT="0" distB="0" distL="114300" distR="114300">
                  <wp:extent cx="2560320" cy="2464435"/>
                  <wp:effectExtent l="0" t="0" r="11430" b="12065"/>
                  <wp:docPr id="12" name="图片 12" descr="南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南侧"/>
                          <pic:cNvPicPr>
                            <a:picLocks noChangeAspect="1"/>
                          </pic:cNvPicPr>
                        </pic:nvPicPr>
                        <pic:blipFill>
                          <a:blip r:embed="rId10"/>
                          <a:stretch>
                            <a:fillRect/>
                          </a:stretch>
                        </pic:blipFill>
                        <pic:spPr>
                          <a:xfrm>
                            <a:off x="0" y="0"/>
                            <a:ext cx="2560320" cy="2464435"/>
                          </a:xfrm>
                          <a:prstGeom prst="rect">
                            <a:avLst/>
                          </a:prstGeom>
                        </pic:spPr>
                      </pic:pic>
                    </a:graphicData>
                  </a:graphic>
                </wp:inline>
              </w:drawing>
            </w:r>
          </w:p>
          <w:p w14:paraId="0952EDC1">
            <w:pPr>
              <w:pStyle w:val="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Times New Roman" w:hAnsi="Times New Roman" w:eastAsia="宋体" w:cs="Times New Roman"/>
                <w:b/>
                <w:bCs/>
                <w:snapToGrid w:val="0"/>
                <w:color w:val="auto"/>
                <w:sz w:val="32"/>
                <w:szCs w:val="32"/>
                <w:highlight w:val="none"/>
                <w:vertAlign w:val="baseline"/>
                <w:lang w:eastAsia="zh-CN"/>
              </w:rPr>
            </w:pPr>
            <w:r>
              <w:t xml:space="preserve">图 </w:t>
            </w:r>
            <w:r>
              <w:fldChar w:fldCharType="begin"/>
            </w:r>
            <w:r>
              <w:instrText xml:space="preserve"> SEQ 图 \* ARABIC </w:instrText>
            </w:r>
            <w:r>
              <w:fldChar w:fldCharType="separate"/>
            </w:r>
            <w:r>
              <w:t>2</w:t>
            </w:r>
            <w:r>
              <w:fldChar w:fldCharType="end"/>
            </w:r>
            <w:r>
              <w:rPr>
                <w:rFonts w:hint="eastAsia"/>
                <w:lang w:eastAsia="zh-CN"/>
              </w:rPr>
              <w:t>项目南侧拟租用办公区闲着民房现状</w:t>
            </w:r>
          </w:p>
        </w:tc>
      </w:tr>
      <w:tr w14:paraId="6169E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1" w:hRule="atLeast"/>
        </w:trPr>
        <w:tc>
          <w:tcPr>
            <w:tcW w:w="2542" w:type="pct"/>
          </w:tcPr>
          <w:p w14:paraId="0A5384CC">
            <w:pPr>
              <w:pStyle w:val="2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Times New Roman" w:hAnsi="Times New Roman" w:eastAsia="宋体" w:cs="Times New Roman"/>
                <w:b/>
                <w:bCs/>
                <w:snapToGrid w:val="0"/>
                <w:color w:val="auto"/>
                <w:sz w:val="32"/>
                <w:szCs w:val="32"/>
                <w:highlight w:val="none"/>
                <w:vertAlign w:val="baseline"/>
                <w:lang w:eastAsia="zh-CN"/>
              </w:rPr>
            </w:pPr>
            <w:r>
              <w:rPr>
                <w:rFonts w:hint="eastAsia" w:ascii="Times New Roman" w:hAnsi="Times New Roman" w:eastAsia="宋体" w:cs="Times New Roman"/>
                <w:b/>
                <w:bCs/>
                <w:snapToGrid w:val="0"/>
                <w:color w:val="auto"/>
                <w:sz w:val="32"/>
                <w:szCs w:val="32"/>
                <w:highlight w:val="none"/>
                <w:vertAlign w:val="baseline"/>
                <w:lang w:eastAsia="zh-CN"/>
              </w:rPr>
              <w:drawing>
                <wp:inline distT="0" distB="0" distL="114300" distR="114300">
                  <wp:extent cx="2560320" cy="2266315"/>
                  <wp:effectExtent l="0" t="0" r="11430" b="635"/>
                  <wp:docPr id="14" name="图片 14" descr="西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西侧"/>
                          <pic:cNvPicPr>
                            <a:picLocks noChangeAspect="1"/>
                          </pic:cNvPicPr>
                        </pic:nvPicPr>
                        <pic:blipFill>
                          <a:blip r:embed="rId11"/>
                          <a:stretch>
                            <a:fillRect/>
                          </a:stretch>
                        </pic:blipFill>
                        <pic:spPr>
                          <a:xfrm>
                            <a:off x="0" y="0"/>
                            <a:ext cx="2560320" cy="2266315"/>
                          </a:xfrm>
                          <a:prstGeom prst="rect">
                            <a:avLst/>
                          </a:prstGeom>
                        </pic:spPr>
                      </pic:pic>
                    </a:graphicData>
                  </a:graphic>
                </wp:inline>
              </w:drawing>
            </w:r>
          </w:p>
          <w:p w14:paraId="7ECAA590">
            <w:pPr>
              <w:pStyle w:val="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Times New Roman" w:hAnsi="Times New Roman" w:eastAsia="宋体" w:cs="Times New Roman"/>
                <w:b/>
                <w:bCs/>
                <w:snapToGrid w:val="0"/>
                <w:color w:val="auto"/>
                <w:sz w:val="32"/>
                <w:szCs w:val="32"/>
                <w:highlight w:val="none"/>
                <w:vertAlign w:val="baseline"/>
                <w:lang w:eastAsia="zh-CN"/>
              </w:rPr>
            </w:pPr>
            <w:r>
              <w:rPr>
                <w:rFonts w:hint="eastAsia"/>
                <w:lang w:eastAsia="zh-CN"/>
              </w:rPr>
              <w:t>图</w:t>
            </w:r>
            <w:r>
              <w:fldChar w:fldCharType="begin"/>
            </w:r>
            <w:r>
              <w:instrText xml:space="preserve"> SEQ 图 \* ARABIC </w:instrText>
            </w:r>
            <w:r>
              <w:fldChar w:fldCharType="separate"/>
            </w:r>
            <w:r>
              <w:t>3</w:t>
            </w:r>
            <w:r>
              <w:fldChar w:fldCharType="end"/>
            </w:r>
            <w:r>
              <w:rPr>
                <w:rFonts w:hint="eastAsia"/>
                <w:lang w:eastAsia="zh-CN"/>
              </w:rPr>
              <w:t>项目西侧拟建碳化窑车间现状</w:t>
            </w:r>
          </w:p>
        </w:tc>
        <w:tc>
          <w:tcPr>
            <w:tcW w:w="2457" w:type="pct"/>
          </w:tcPr>
          <w:p w14:paraId="5DCA0B23">
            <w:pPr>
              <w:pStyle w:val="2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Times New Roman" w:hAnsi="Times New Roman" w:eastAsia="宋体" w:cs="Times New Roman"/>
                <w:b/>
                <w:bCs/>
                <w:snapToGrid w:val="0"/>
                <w:color w:val="auto"/>
                <w:sz w:val="32"/>
                <w:szCs w:val="32"/>
                <w:highlight w:val="none"/>
                <w:vertAlign w:val="baseline"/>
                <w:lang w:eastAsia="zh-CN"/>
              </w:rPr>
            </w:pPr>
            <w:r>
              <w:rPr>
                <w:rFonts w:hint="eastAsia" w:ascii="Times New Roman" w:hAnsi="Times New Roman" w:eastAsia="宋体" w:cs="Times New Roman"/>
                <w:b/>
                <w:bCs/>
                <w:snapToGrid w:val="0"/>
                <w:color w:val="auto"/>
                <w:sz w:val="32"/>
                <w:szCs w:val="32"/>
                <w:highlight w:val="none"/>
                <w:vertAlign w:val="baseline"/>
                <w:lang w:eastAsia="zh-CN"/>
              </w:rPr>
              <w:drawing>
                <wp:inline distT="0" distB="0" distL="114300" distR="114300">
                  <wp:extent cx="2560320" cy="2273300"/>
                  <wp:effectExtent l="0" t="0" r="11430" b="12700"/>
                  <wp:docPr id="15" name="图片 15" descr="北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北侧"/>
                          <pic:cNvPicPr>
                            <a:picLocks noChangeAspect="1"/>
                          </pic:cNvPicPr>
                        </pic:nvPicPr>
                        <pic:blipFill>
                          <a:blip r:embed="rId12"/>
                          <a:stretch>
                            <a:fillRect/>
                          </a:stretch>
                        </pic:blipFill>
                        <pic:spPr>
                          <a:xfrm>
                            <a:off x="0" y="0"/>
                            <a:ext cx="2560320" cy="2273300"/>
                          </a:xfrm>
                          <a:prstGeom prst="rect">
                            <a:avLst/>
                          </a:prstGeom>
                        </pic:spPr>
                      </pic:pic>
                    </a:graphicData>
                  </a:graphic>
                </wp:inline>
              </w:drawing>
            </w:r>
          </w:p>
          <w:p w14:paraId="6A23100F">
            <w:pPr>
              <w:pStyle w:val="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Times New Roman" w:hAnsi="Times New Roman" w:eastAsia="宋体" w:cs="Times New Roman"/>
                <w:b/>
                <w:bCs/>
                <w:snapToGrid w:val="0"/>
                <w:color w:val="auto"/>
                <w:sz w:val="32"/>
                <w:szCs w:val="32"/>
                <w:highlight w:val="none"/>
                <w:vertAlign w:val="baseline"/>
                <w:lang w:eastAsia="zh-CN"/>
              </w:rPr>
            </w:pPr>
            <w:r>
              <w:t xml:space="preserve">图 </w:t>
            </w:r>
            <w:r>
              <w:fldChar w:fldCharType="begin"/>
            </w:r>
            <w:r>
              <w:instrText xml:space="preserve"> SEQ 图 \* ARABIC </w:instrText>
            </w:r>
            <w:r>
              <w:fldChar w:fldCharType="separate"/>
            </w:r>
            <w:r>
              <w:t>4</w:t>
            </w:r>
            <w:r>
              <w:fldChar w:fldCharType="end"/>
            </w:r>
            <w:r>
              <w:rPr>
                <w:rFonts w:hint="eastAsia"/>
                <w:lang w:eastAsia="zh-CN"/>
              </w:rPr>
              <w:t>项目北侧现状</w:t>
            </w:r>
          </w:p>
        </w:tc>
      </w:tr>
      <w:tr w14:paraId="625A7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4" w:hRule="atLeast"/>
        </w:trPr>
        <w:tc>
          <w:tcPr>
            <w:tcW w:w="2542" w:type="pct"/>
          </w:tcPr>
          <w:p w14:paraId="49B63844">
            <w:pPr>
              <w:pStyle w:val="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eastAsia="黑体"/>
                <w:lang w:eastAsia="zh-CN"/>
              </w:rPr>
            </w:pPr>
            <w:r>
              <w:rPr>
                <w:rFonts w:hint="eastAsia" w:eastAsia="黑体"/>
                <w:lang w:eastAsia="zh-CN"/>
              </w:rPr>
              <w:drawing>
                <wp:inline distT="0" distB="0" distL="114300" distR="114300">
                  <wp:extent cx="2559685" cy="2811145"/>
                  <wp:effectExtent l="0" t="0" r="12065" b="8255"/>
                  <wp:docPr id="18" name="图片 18" descr="工程师现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工程师现场"/>
                          <pic:cNvPicPr>
                            <a:picLocks noChangeAspect="1"/>
                          </pic:cNvPicPr>
                        </pic:nvPicPr>
                        <pic:blipFill>
                          <a:blip r:embed="rId13"/>
                          <a:srcRect r="28670"/>
                          <a:stretch>
                            <a:fillRect/>
                          </a:stretch>
                        </pic:blipFill>
                        <pic:spPr>
                          <a:xfrm>
                            <a:off x="0" y="0"/>
                            <a:ext cx="2559600" cy="2811145"/>
                          </a:xfrm>
                          <a:prstGeom prst="rect">
                            <a:avLst/>
                          </a:prstGeom>
                        </pic:spPr>
                      </pic:pic>
                    </a:graphicData>
                  </a:graphic>
                </wp:inline>
              </w:drawing>
            </w:r>
          </w:p>
          <w:p w14:paraId="354764F9">
            <w:pPr>
              <w:pStyle w:val="9"/>
              <w:jc w:val="center"/>
              <w:rPr>
                <w:rFonts w:hint="eastAsia" w:eastAsia="宋体"/>
                <w:lang w:eastAsia="zh-CN"/>
              </w:rPr>
            </w:pPr>
            <w:r>
              <w:t xml:space="preserve">图 </w:t>
            </w:r>
            <w:r>
              <w:fldChar w:fldCharType="begin"/>
            </w:r>
            <w:r>
              <w:instrText xml:space="preserve"> SEQ 图 \* ARABIC </w:instrText>
            </w:r>
            <w:r>
              <w:fldChar w:fldCharType="separate"/>
            </w:r>
            <w:r>
              <w:t>5</w:t>
            </w:r>
            <w:r>
              <w:fldChar w:fldCharType="end"/>
            </w:r>
            <w:r>
              <w:rPr>
                <w:rFonts w:hint="eastAsia"/>
                <w:lang w:eastAsia="zh-CN"/>
              </w:rPr>
              <w:t>环评工程师现场勘察现状照片</w:t>
            </w:r>
          </w:p>
        </w:tc>
        <w:tc>
          <w:tcPr>
            <w:tcW w:w="2457" w:type="pct"/>
          </w:tcPr>
          <w:p w14:paraId="02AA40C8">
            <w:pPr>
              <w:pStyle w:val="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eastAsia="黑体"/>
                <w:lang w:eastAsia="zh-CN"/>
              </w:rPr>
            </w:pPr>
            <w:r>
              <w:rPr>
                <w:rFonts w:hint="eastAsia" w:eastAsia="黑体"/>
                <w:lang w:eastAsia="zh-CN"/>
              </w:rPr>
              <w:drawing>
                <wp:inline distT="0" distB="0" distL="114300" distR="114300">
                  <wp:extent cx="2557145" cy="2894965"/>
                  <wp:effectExtent l="0" t="0" r="14605" b="635"/>
                  <wp:docPr id="19" name="图片 19" descr="包装车间及成品库_p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包装车间及成品库_proc"/>
                          <pic:cNvPicPr>
                            <a:picLocks noChangeAspect="1"/>
                          </pic:cNvPicPr>
                        </pic:nvPicPr>
                        <pic:blipFill>
                          <a:blip r:embed="rId14"/>
                          <a:stretch>
                            <a:fillRect/>
                          </a:stretch>
                        </pic:blipFill>
                        <pic:spPr>
                          <a:xfrm>
                            <a:off x="0" y="0"/>
                            <a:ext cx="2557145" cy="2894965"/>
                          </a:xfrm>
                          <a:prstGeom prst="rect">
                            <a:avLst/>
                          </a:prstGeom>
                        </pic:spPr>
                      </pic:pic>
                    </a:graphicData>
                  </a:graphic>
                </wp:inline>
              </w:drawing>
            </w:r>
          </w:p>
          <w:p w14:paraId="0B1F274E">
            <w:pPr>
              <w:pStyle w:val="9"/>
              <w:jc w:val="center"/>
              <w:rPr>
                <w:rFonts w:hint="eastAsia" w:eastAsia="宋体"/>
                <w:lang w:eastAsia="zh-CN"/>
              </w:rPr>
            </w:pPr>
            <w:r>
              <w:t xml:space="preserve">图 </w:t>
            </w:r>
            <w:r>
              <w:fldChar w:fldCharType="begin"/>
            </w:r>
            <w:r>
              <w:instrText xml:space="preserve"> SEQ 图 \* ARABIC </w:instrText>
            </w:r>
            <w:r>
              <w:fldChar w:fldCharType="separate"/>
            </w:r>
            <w:r>
              <w:t>6</w:t>
            </w:r>
            <w:r>
              <w:fldChar w:fldCharType="end"/>
            </w:r>
            <w:r>
              <w:rPr>
                <w:rFonts w:hint="eastAsia"/>
                <w:lang w:eastAsia="zh-CN"/>
              </w:rPr>
              <w:t>拟建原料库现状照片</w:t>
            </w:r>
          </w:p>
        </w:tc>
      </w:tr>
    </w:tbl>
    <w:p w14:paraId="1FEE4616">
      <w:pPr>
        <w:spacing w:line="360" w:lineRule="auto"/>
        <w:ind w:firstLine="480"/>
        <w:jc w:val="center"/>
        <w:rPr>
          <w:rFonts w:hint="default" w:eastAsia="宋体"/>
          <w:b/>
          <w:bCs/>
          <w:color w:val="auto"/>
          <w:sz w:val="24"/>
          <w:lang w:val="en-US" w:eastAsia="zh-CN"/>
        </w:rPr>
      </w:pPr>
      <w:r>
        <w:rPr>
          <w:rFonts w:hint="eastAsia"/>
          <w:b/>
          <w:bCs/>
          <w:color w:val="auto"/>
          <w:sz w:val="24"/>
          <w:lang w:val="en-US" w:eastAsia="zh-CN"/>
        </w:rPr>
        <w:t>项 目 区 现 状 照 片</w:t>
      </w:r>
    </w:p>
    <w:p w14:paraId="22D3ECB5">
      <w:pPr>
        <w:pStyle w:val="2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b/>
          <w:bCs/>
          <w:snapToGrid w:val="0"/>
          <w:color w:val="auto"/>
          <w:sz w:val="32"/>
          <w:szCs w:val="32"/>
          <w:highlight w:val="none"/>
        </w:rPr>
        <w:sectPr>
          <w:footerReference r:id="rId3" w:type="default"/>
          <w:pgSz w:w="11906" w:h="16838"/>
          <w:pgMar w:top="1440" w:right="1800" w:bottom="1440" w:left="1800" w:header="624" w:footer="680" w:gutter="0"/>
          <w:pgNumType w:fmt="upperRoman" w:start="1"/>
          <w:cols w:space="425" w:num="1"/>
          <w:docGrid w:type="lines" w:linePitch="312" w:charSpace="0"/>
        </w:sectPr>
      </w:pPr>
    </w:p>
    <w:p w14:paraId="79C51079">
      <w:pPr>
        <w:pStyle w:val="2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b/>
          <w:bCs/>
          <w:snapToGrid w:val="0"/>
          <w:color w:val="auto"/>
          <w:sz w:val="32"/>
          <w:szCs w:val="32"/>
          <w:highlight w:val="none"/>
        </w:rPr>
      </w:pPr>
      <w:r>
        <w:rPr>
          <w:rFonts w:hint="default" w:ascii="Times New Roman" w:hAnsi="Times New Roman" w:eastAsia="宋体" w:cs="Times New Roman"/>
          <w:b/>
          <w:bCs/>
          <w:snapToGrid w:val="0"/>
          <w:color w:val="auto"/>
          <w:sz w:val="32"/>
          <w:szCs w:val="32"/>
          <w:highlight w:val="none"/>
        </w:rPr>
        <w:t>一、建设项目基本情况</w:t>
      </w:r>
    </w:p>
    <w:tbl>
      <w:tblPr>
        <w:tblStyle w:val="23"/>
        <w:tblW w:w="4983" w:type="pct"/>
        <w:jc w:val="right"/>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05"/>
        <w:gridCol w:w="624"/>
        <w:gridCol w:w="340"/>
        <w:gridCol w:w="2203"/>
        <w:gridCol w:w="234"/>
        <w:gridCol w:w="1563"/>
        <w:gridCol w:w="2735"/>
      </w:tblGrid>
      <w:tr w14:paraId="5C70FA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45" w:hRule="atLeast"/>
          <w:jc w:val="right"/>
        </w:trPr>
        <w:tc>
          <w:tcPr>
            <w:tcW w:w="741" w:type="pct"/>
            <w:gridSpan w:val="2"/>
            <w:noWrap w:val="0"/>
            <w:tcMar>
              <w:top w:w="16" w:type="dxa"/>
              <w:left w:w="16" w:type="dxa"/>
              <w:right w:w="16" w:type="dxa"/>
            </w:tcMar>
            <w:vAlign w:val="center"/>
          </w:tcPr>
          <w:p w14:paraId="17DC2086">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建设项目名称</w:t>
            </w:r>
          </w:p>
        </w:tc>
        <w:tc>
          <w:tcPr>
            <w:tcW w:w="4258" w:type="pct"/>
            <w:gridSpan w:val="5"/>
            <w:noWrap w:val="0"/>
            <w:vAlign w:val="center"/>
          </w:tcPr>
          <w:p w14:paraId="2F516B4A">
            <w:pPr>
              <w:adjustRightInd w:val="0"/>
              <w:snapToGrid w:val="0"/>
              <w:jc w:val="center"/>
              <w:rPr>
                <w:rFonts w:hint="default" w:ascii="Times New Roman" w:hAnsi="Times New Roman" w:eastAsia="宋体" w:cs="Times New Roman"/>
                <w:color w:val="auto"/>
                <w:sz w:val="24"/>
                <w:szCs w:val="24"/>
                <w:highlight w:val="none"/>
                <w:lang w:val="en-US" w:eastAsia="zh-CN"/>
              </w:rPr>
            </w:pPr>
            <w:bookmarkStart w:id="0" w:name="OLE_LINK4"/>
            <w:r>
              <w:rPr>
                <w:rFonts w:hint="eastAsia" w:cs="Times New Roman"/>
                <w:color w:val="auto"/>
                <w:sz w:val="24"/>
                <w:szCs w:val="24"/>
                <w:highlight w:val="none"/>
                <w:lang w:val="en-US" w:eastAsia="zh-CN"/>
              </w:rPr>
              <w:t>芒市三羊农业科技发展有限公司芒市农业废弃物综合利用项目</w:t>
            </w:r>
            <w:bookmarkEnd w:id="0"/>
          </w:p>
        </w:tc>
      </w:tr>
      <w:tr w14:paraId="78727E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8" w:hRule="atLeast"/>
          <w:jc w:val="right"/>
        </w:trPr>
        <w:tc>
          <w:tcPr>
            <w:tcW w:w="741" w:type="pct"/>
            <w:gridSpan w:val="2"/>
            <w:noWrap w:val="0"/>
            <w:tcMar>
              <w:top w:w="16" w:type="dxa"/>
              <w:left w:w="16" w:type="dxa"/>
              <w:right w:w="16" w:type="dxa"/>
            </w:tcMar>
            <w:vAlign w:val="center"/>
          </w:tcPr>
          <w:p w14:paraId="3A88B28E">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项目代码</w:t>
            </w:r>
          </w:p>
        </w:tc>
        <w:tc>
          <w:tcPr>
            <w:tcW w:w="4258" w:type="pct"/>
            <w:gridSpan w:val="5"/>
            <w:noWrap w:val="0"/>
            <w:vAlign w:val="center"/>
          </w:tcPr>
          <w:p w14:paraId="377234B8">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2406-533103-04-01-794079</w:t>
            </w:r>
          </w:p>
        </w:tc>
      </w:tr>
      <w:tr w14:paraId="1390FF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3" w:hRule="atLeast"/>
          <w:jc w:val="right"/>
        </w:trPr>
        <w:tc>
          <w:tcPr>
            <w:tcW w:w="741" w:type="pct"/>
            <w:gridSpan w:val="2"/>
            <w:noWrap w:val="0"/>
            <w:tcMar>
              <w:top w:w="16" w:type="dxa"/>
              <w:left w:w="16" w:type="dxa"/>
              <w:right w:w="16" w:type="dxa"/>
            </w:tcMar>
            <w:vAlign w:val="center"/>
          </w:tcPr>
          <w:p w14:paraId="700BA8F0">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建设单位联系人</w:t>
            </w:r>
          </w:p>
        </w:tc>
        <w:tc>
          <w:tcPr>
            <w:tcW w:w="1531" w:type="pct"/>
            <w:gridSpan w:val="2"/>
            <w:noWrap w:val="0"/>
            <w:vAlign w:val="center"/>
          </w:tcPr>
          <w:p w14:paraId="208CDAFB">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李家肆</w:t>
            </w:r>
          </w:p>
        </w:tc>
        <w:tc>
          <w:tcPr>
            <w:tcW w:w="1081" w:type="pct"/>
            <w:gridSpan w:val="2"/>
            <w:noWrap w:val="0"/>
            <w:vAlign w:val="center"/>
          </w:tcPr>
          <w:p w14:paraId="77E02B14">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联系方式</w:t>
            </w:r>
          </w:p>
        </w:tc>
        <w:tc>
          <w:tcPr>
            <w:tcW w:w="1645" w:type="pct"/>
            <w:noWrap w:val="0"/>
            <w:vAlign w:val="center"/>
          </w:tcPr>
          <w:p w14:paraId="1E487659">
            <w:pPr>
              <w:adjustRightInd w:val="0"/>
              <w:snapToGrid w:val="0"/>
              <w:jc w:val="center"/>
              <w:rPr>
                <w:rFonts w:hint="default" w:ascii="Times New Roman" w:hAnsi="Times New Roman" w:eastAsia="宋体" w:cs="Times New Roman"/>
                <w:color w:val="auto"/>
                <w:sz w:val="24"/>
                <w:szCs w:val="24"/>
                <w:highlight w:val="none"/>
                <w:lang w:val="en-US" w:eastAsia="zh-CN"/>
              </w:rPr>
            </w:pPr>
            <w:bookmarkStart w:id="1" w:name="OLE_LINK1"/>
            <w:r>
              <w:rPr>
                <w:rFonts w:hint="eastAsia" w:cs="Times New Roman"/>
                <w:color w:val="auto"/>
                <w:sz w:val="24"/>
                <w:szCs w:val="24"/>
                <w:highlight w:val="none"/>
                <w:lang w:val="en-US" w:eastAsia="zh-CN"/>
              </w:rPr>
              <w:t>180******706</w:t>
            </w:r>
            <w:bookmarkEnd w:id="1"/>
            <w:r>
              <w:rPr>
                <w:rFonts w:hint="eastAsia" w:ascii="Times New Roman" w:hAnsi="Times New Roman" w:eastAsia="宋体" w:cs="Times New Roman"/>
                <w:color w:val="auto"/>
                <w:sz w:val="24"/>
                <w:szCs w:val="24"/>
                <w:highlight w:val="none"/>
                <w:lang w:val="en-US" w:eastAsia="zh-CN"/>
              </w:rPr>
              <w:t xml:space="preserve"> </w:t>
            </w:r>
          </w:p>
        </w:tc>
      </w:tr>
      <w:tr w14:paraId="601A89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8" w:hRule="atLeast"/>
          <w:jc w:val="right"/>
        </w:trPr>
        <w:tc>
          <w:tcPr>
            <w:tcW w:w="741" w:type="pct"/>
            <w:gridSpan w:val="2"/>
            <w:noWrap w:val="0"/>
            <w:tcMar>
              <w:top w:w="16" w:type="dxa"/>
              <w:left w:w="16" w:type="dxa"/>
              <w:right w:w="16" w:type="dxa"/>
            </w:tcMar>
            <w:vAlign w:val="center"/>
          </w:tcPr>
          <w:p w14:paraId="12A3DCA7">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建设地点</w:t>
            </w:r>
          </w:p>
        </w:tc>
        <w:tc>
          <w:tcPr>
            <w:tcW w:w="4258" w:type="pct"/>
            <w:gridSpan w:val="5"/>
            <w:noWrap w:val="0"/>
            <w:vAlign w:val="center"/>
          </w:tcPr>
          <w:p w14:paraId="2F908D2B">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z w:val="24"/>
                <w:szCs w:val="24"/>
                <w:highlight w:val="none"/>
                <w:lang w:val="en-US" w:eastAsia="zh-CN"/>
              </w:rPr>
            </w:pPr>
            <w:bookmarkStart w:id="2" w:name="OLE_LINK9"/>
            <w:r>
              <w:rPr>
                <w:rFonts w:hint="eastAsia" w:cs="Times New Roman"/>
                <w:color w:val="auto"/>
                <w:sz w:val="24"/>
                <w:szCs w:val="24"/>
                <w:highlight w:val="none"/>
                <w:lang w:val="en-US" w:eastAsia="zh-CN"/>
              </w:rPr>
              <w:t>云南省德宏州芒市遮放农场晓阳社区居民委员会第七居民小组</w:t>
            </w:r>
            <w:bookmarkEnd w:id="2"/>
          </w:p>
        </w:tc>
      </w:tr>
      <w:tr w14:paraId="638A3F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8" w:hRule="atLeast"/>
          <w:jc w:val="right"/>
        </w:trPr>
        <w:tc>
          <w:tcPr>
            <w:tcW w:w="741" w:type="pct"/>
            <w:gridSpan w:val="2"/>
            <w:noWrap w:val="0"/>
            <w:tcMar>
              <w:top w:w="16" w:type="dxa"/>
              <w:left w:w="16" w:type="dxa"/>
              <w:right w:w="16" w:type="dxa"/>
            </w:tcMar>
            <w:vAlign w:val="center"/>
          </w:tcPr>
          <w:p w14:paraId="4C68472E">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地理坐标</w:t>
            </w:r>
          </w:p>
        </w:tc>
        <w:tc>
          <w:tcPr>
            <w:tcW w:w="4258" w:type="pct"/>
            <w:gridSpan w:val="5"/>
            <w:noWrap w:val="0"/>
            <w:vAlign w:val="center"/>
          </w:tcPr>
          <w:p w14:paraId="163A0E6E">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98</w:t>
            </w:r>
            <w:r>
              <w:rPr>
                <w:rFonts w:hint="default" w:ascii="Times New Roman" w:hAnsi="Times New Roman" w:eastAsia="宋体" w:cs="Times New Roman"/>
                <w:color w:val="auto"/>
                <w:sz w:val="24"/>
                <w:szCs w:val="24"/>
                <w:highlight w:val="none"/>
                <w:lang w:val="en-US" w:eastAsia="zh-CN"/>
              </w:rPr>
              <w:t>度</w:t>
            </w:r>
            <w:r>
              <w:rPr>
                <w:rFonts w:hint="eastAsia" w:cs="Times New Roman"/>
                <w:color w:val="auto"/>
                <w:sz w:val="24"/>
                <w:szCs w:val="24"/>
                <w:highlight w:val="none"/>
                <w:lang w:val="en-US" w:eastAsia="zh-CN"/>
              </w:rPr>
              <w:t>10.53</w:t>
            </w:r>
            <w:r>
              <w:rPr>
                <w:rFonts w:hint="default" w:ascii="Times New Roman" w:hAnsi="Times New Roman" w:eastAsia="宋体" w:cs="Times New Roman"/>
                <w:color w:val="auto"/>
                <w:sz w:val="24"/>
                <w:szCs w:val="24"/>
                <w:highlight w:val="none"/>
                <w:lang w:val="en-US" w:eastAsia="zh-CN"/>
              </w:rPr>
              <w:t>分</w:t>
            </w:r>
            <w:r>
              <w:rPr>
                <w:rFonts w:hint="default" w:ascii="Times New Roman" w:hAnsi="Times New Roman" w:eastAsia="宋体" w:cs="Times New Roman"/>
                <w:color w:val="auto"/>
                <w:sz w:val="24"/>
                <w:szCs w:val="24"/>
                <w:shd w:val="clear"/>
              </w:rPr>
              <w:t>995</w:t>
            </w:r>
            <w:r>
              <w:rPr>
                <w:rFonts w:hint="default" w:ascii="Times New Roman" w:hAnsi="Times New Roman" w:eastAsia="宋体" w:cs="Times New Roman"/>
                <w:color w:val="auto"/>
                <w:sz w:val="24"/>
                <w:szCs w:val="24"/>
                <w:highlight w:val="none"/>
                <w:lang w:val="en-US" w:eastAsia="zh-CN"/>
              </w:rPr>
              <w:t>秒，</w:t>
            </w:r>
            <w:r>
              <w:rPr>
                <w:rFonts w:hint="eastAsia"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lang w:val="en-US" w:eastAsia="zh-CN"/>
              </w:rPr>
              <w:t>度</w:t>
            </w:r>
            <w:r>
              <w:rPr>
                <w:rFonts w:hint="eastAsia" w:cs="Times New Roman"/>
                <w:color w:val="auto"/>
                <w:sz w:val="24"/>
                <w:szCs w:val="24"/>
                <w:highlight w:val="none"/>
                <w:lang w:val="en-US" w:eastAsia="zh-CN"/>
              </w:rPr>
              <w:t>14.15</w:t>
            </w:r>
            <w:r>
              <w:rPr>
                <w:rFonts w:hint="default" w:ascii="Times New Roman" w:hAnsi="Times New Roman" w:eastAsia="宋体" w:cs="Times New Roman"/>
                <w:color w:val="auto"/>
                <w:sz w:val="24"/>
                <w:szCs w:val="24"/>
                <w:highlight w:val="none"/>
                <w:lang w:val="en-US" w:eastAsia="zh-CN"/>
              </w:rPr>
              <w:t>分</w:t>
            </w:r>
            <w:r>
              <w:rPr>
                <w:rFonts w:hint="eastAsia" w:cs="Times New Roman"/>
                <w:color w:val="auto"/>
                <w:sz w:val="24"/>
                <w:szCs w:val="24"/>
                <w:highlight w:val="none"/>
                <w:lang w:val="en-US" w:eastAsia="zh-CN"/>
              </w:rPr>
              <w:t>15.148</w:t>
            </w:r>
            <w:r>
              <w:rPr>
                <w:rFonts w:hint="default" w:ascii="Times New Roman" w:hAnsi="Times New Roman" w:eastAsia="宋体" w:cs="Times New Roman"/>
                <w:color w:val="auto"/>
                <w:sz w:val="24"/>
                <w:szCs w:val="24"/>
                <w:highlight w:val="none"/>
                <w:lang w:val="en-US" w:eastAsia="zh-CN"/>
              </w:rPr>
              <w:t>秒）</w:t>
            </w:r>
          </w:p>
        </w:tc>
      </w:tr>
      <w:tr w14:paraId="09CBDD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3" w:hRule="atLeast"/>
          <w:jc w:val="right"/>
        </w:trPr>
        <w:tc>
          <w:tcPr>
            <w:tcW w:w="741" w:type="pct"/>
            <w:gridSpan w:val="2"/>
            <w:noWrap w:val="0"/>
            <w:tcMar>
              <w:top w:w="16" w:type="dxa"/>
              <w:left w:w="16" w:type="dxa"/>
              <w:right w:w="16" w:type="dxa"/>
            </w:tcMar>
            <w:vAlign w:val="center"/>
          </w:tcPr>
          <w:p w14:paraId="281F7FA5">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国民经济</w:t>
            </w:r>
          </w:p>
          <w:p w14:paraId="21E93E82">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行业类别</w:t>
            </w:r>
          </w:p>
        </w:tc>
        <w:tc>
          <w:tcPr>
            <w:tcW w:w="1672" w:type="pct"/>
            <w:gridSpan w:val="3"/>
            <w:noWrap w:val="0"/>
            <w:vAlign w:val="center"/>
          </w:tcPr>
          <w:p w14:paraId="66972251">
            <w:pPr>
              <w:adjustRightInd w:val="0"/>
              <w:snapToGrid w:val="0"/>
              <w:jc w:val="center"/>
              <w:rPr>
                <w:rFonts w:hint="default" w:ascii="Times New Roman" w:hAnsi="Times New Roman" w:eastAsia="宋体" w:cs="Times New Roman"/>
                <w:color w:val="auto"/>
                <w:sz w:val="24"/>
                <w:szCs w:val="24"/>
                <w:highlight w:val="none"/>
              </w:rPr>
            </w:pPr>
            <w:r>
              <w:rPr>
                <w:sz w:val="24"/>
              </w:rPr>
              <w:t>C</w:t>
            </w:r>
            <w:r>
              <w:rPr>
                <w:rFonts w:hint="eastAsia"/>
                <w:sz w:val="24"/>
              </w:rPr>
              <w:t>2663</w:t>
            </w:r>
            <w:r>
              <w:rPr>
                <w:sz w:val="24"/>
              </w:rPr>
              <w:t>林产化学产品制造</w:t>
            </w:r>
          </w:p>
        </w:tc>
        <w:tc>
          <w:tcPr>
            <w:tcW w:w="941" w:type="pct"/>
            <w:noWrap w:val="0"/>
            <w:vAlign w:val="center"/>
          </w:tcPr>
          <w:p w14:paraId="47AA3986">
            <w:pPr>
              <w:adjustRightInd w:val="0"/>
              <w:snapToGrid w:val="0"/>
              <w:jc w:val="center"/>
              <w:rPr>
                <w:rFonts w:hint="default" w:ascii="Times New Roman" w:hAnsi="Times New Roman" w:eastAsia="宋体" w:cs="Times New Roman"/>
                <w:b/>
                <w:bCs/>
                <w:color w:val="auto"/>
                <w:sz w:val="24"/>
                <w:szCs w:val="24"/>
                <w:highlight w:val="none"/>
              </w:rPr>
            </w:pPr>
            <w:bookmarkStart w:id="3" w:name="_Hlk49843745"/>
            <w:r>
              <w:rPr>
                <w:rFonts w:hint="default" w:ascii="Times New Roman" w:hAnsi="Times New Roman" w:eastAsia="宋体" w:cs="Times New Roman"/>
                <w:b/>
                <w:bCs/>
                <w:color w:val="auto"/>
                <w:sz w:val="24"/>
                <w:szCs w:val="24"/>
                <w:highlight w:val="none"/>
              </w:rPr>
              <w:t>建设项目</w:t>
            </w:r>
          </w:p>
          <w:p w14:paraId="015D56EF">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行业类别</w:t>
            </w:r>
            <w:bookmarkEnd w:id="3"/>
          </w:p>
        </w:tc>
        <w:tc>
          <w:tcPr>
            <w:tcW w:w="1645" w:type="pct"/>
            <w:noWrap w:val="0"/>
            <w:vAlign w:val="center"/>
          </w:tcPr>
          <w:p w14:paraId="0EBBC0E2">
            <w:pPr>
              <w:adjustRightInd w:val="0"/>
              <w:snapToGrid w:val="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shd w:val="clear"/>
              </w:rPr>
              <w:t>三十九、废弃资源综合利用业42-85.非金属废料和碎屑加工处理422</w:t>
            </w:r>
          </w:p>
        </w:tc>
      </w:tr>
      <w:tr w14:paraId="308DD7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50" w:hRule="atLeast"/>
          <w:jc w:val="right"/>
        </w:trPr>
        <w:tc>
          <w:tcPr>
            <w:tcW w:w="741" w:type="pct"/>
            <w:gridSpan w:val="2"/>
            <w:noWrap w:val="0"/>
            <w:tcMar>
              <w:top w:w="16" w:type="dxa"/>
              <w:left w:w="16" w:type="dxa"/>
              <w:right w:w="16" w:type="dxa"/>
            </w:tcMar>
            <w:vAlign w:val="center"/>
          </w:tcPr>
          <w:p w14:paraId="620F9C5A">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建设性质</w:t>
            </w:r>
          </w:p>
        </w:tc>
        <w:tc>
          <w:tcPr>
            <w:tcW w:w="1672" w:type="pct"/>
            <w:gridSpan w:val="3"/>
            <w:noWrap w:val="0"/>
            <w:vAlign w:val="center"/>
          </w:tcPr>
          <w:p w14:paraId="4426D093">
            <w:pPr>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新建（迁建）</w:t>
            </w:r>
          </w:p>
          <w:p w14:paraId="7A658E38">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改建</w:t>
            </w:r>
          </w:p>
          <w:p w14:paraId="18B95899">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扩建</w:t>
            </w:r>
          </w:p>
          <w:p w14:paraId="4C4212A5">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技术改造</w:t>
            </w:r>
          </w:p>
        </w:tc>
        <w:tc>
          <w:tcPr>
            <w:tcW w:w="941" w:type="pct"/>
            <w:noWrap w:val="0"/>
            <w:vAlign w:val="center"/>
          </w:tcPr>
          <w:p w14:paraId="4CB9E94C">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建设项目</w:t>
            </w:r>
          </w:p>
          <w:p w14:paraId="7CCB2F76">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申报情形</w:t>
            </w:r>
          </w:p>
        </w:tc>
        <w:tc>
          <w:tcPr>
            <w:tcW w:w="1645" w:type="pct"/>
            <w:noWrap w:val="0"/>
            <w:vAlign w:val="center"/>
          </w:tcPr>
          <w:p w14:paraId="2B89DF54">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首次申报项目</w:t>
            </w:r>
          </w:p>
          <w:p w14:paraId="00168C6A">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不予批准后再次申报项目</w:t>
            </w:r>
          </w:p>
          <w:p w14:paraId="2E476B02">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超五年重新审核项目</w:t>
            </w:r>
          </w:p>
          <w:p w14:paraId="3016B795">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重大变动重新报批项目</w:t>
            </w:r>
          </w:p>
        </w:tc>
      </w:tr>
      <w:tr w14:paraId="7A64F8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79" w:hRule="atLeast"/>
          <w:jc w:val="right"/>
        </w:trPr>
        <w:tc>
          <w:tcPr>
            <w:tcW w:w="741" w:type="pct"/>
            <w:gridSpan w:val="2"/>
            <w:noWrap w:val="0"/>
            <w:tcMar>
              <w:top w:w="16" w:type="dxa"/>
              <w:left w:w="16" w:type="dxa"/>
              <w:right w:w="16" w:type="dxa"/>
            </w:tcMar>
            <w:vAlign w:val="center"/>
          </w:tcPr>
          <w:p w14:paraId="6608A41B">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项目审批（核准/备案）部门（选填）</w:t>
            </w:r>
          </w:p>
        </w:tc>
        <w:tc>
          <w:tcPr>
            <w:tcW w:w="1672" w:type="pct"/>
            <w:gridSpan w:val="3"/>
            <w:noWrap w:val="0"/>
            <w:vAlign w:val="center"/>
          </w:tcPr>
          <w:p w14:paraId="3152FA81">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芒市发展和改革局</w:t>
            </w:r>
          </w:p>
        </w:tc>
        <w:tc>
          <w:tcPr>
            <w:tcW w:w="941" w:type="pct"/>
            <w:noWrap w:val="0"/>
            <w:vAlign w:val="center"/>
          </w:tcPr>
          <w:p w14:paraId="49C4AB8E">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项目审批（核准/备案）文号（选填）</w:t>
            </w:r>
          </w:p>
        </w:tc>
        <w:tc>
          <w:tcPr>
            <w:tcW w:w="1645" w:type="pct"/>
            <w:noWrap w:val="0"/>
            <w:vAlign w:val="center"/>
          </w:tcPr>
          <w:p w14:paraId="205ACB37">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2406-533103-04-01-794079</w:t>
            </w:r>
          </w:p>
        </w:tc>
      </w:tr>
      <w:tr w14:paraId="586072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3" w:hRule="atLeast"/>
          <w:jc w:val="right"/>
        </w:trPr>
        <w:tc>
          <w:tcPr>
            <w:tcW w:w="741" w:type="pct"/>
            <w:gridSpan w:val="2"/>
            <w:noWrap w:val="0"/>
            <w:tcMar>
              <w:top w:w="16" w:type="dxa"/>
              <w:left w:w="16" w:type="dxa"/>
              <w:right w:w="16" w:type="dxa"/>
            </w:tcMar>
            <w:vAlign w:val="center"/>
          </w:tcPr>
          <w:p w14:paraId="52A50E80">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总投资（万元）</w:t>
            </w:r>
          </w:p>
        </w:tc>
        <w:tc>
          <w:tcPr>
            <w:tcW w:w="1672" w:type="pct"/>
            <w:gridSpan w:val="3"/>
            <w:noWrap w:val="0"/>
            <w:vAlign w:val="center"/>
          </w:tcPr>
          <w:p w14:paraId="531E0071">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150</w:t>
            </w:r>
          </w:p>
        </w:tc>
        <w:tc>
          <w:tcPr>
            <w:tcW w:w="941" w:type="pct"/>
            <w:noWrap w:val="0"/>
            <w:tcMar>
              <w:top w:w="16" w:type="dxa"/>
              <w:left w:w="16" w:type="dxa"/>
              <w:right w:w="16" w:type="dxa"/>
            </w:tcMar>
            <w:vAlign w:val="center"/>
          </w:tcPr>
          <w:p w14:paraId="16E3017E">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环保投资（万元）</w:t>
            </w:r>
          </w:p>
        </w:tc>
        <w:tc>
          <w:tcPr>
            <w:tcW w:w="1645" w:type="pct"/>
            <w:noWrap w:val="0"/>
            <w:vAlign w:val="center"/>
          </w:tcPr>
          <w:p w14:paraId="13DE43EF">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30</w:t>
            </w:r>
          </w:p>
        </w:tc>
      </w:tr>
      <w:tr w14:paraId="75EDE9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3" w:hRule="atLeast"/>
          <w:jc w:val="right"/>
        </w:trPr>
        <w:tc>
          <w:tcPr>
            <w:tcW w:w="741" w:type="pct"/>
            <w:gridSpan w:val="2"/>
            <w:noWrap w:val="0"/>
            <w:tcMar>
              <w:top w:w="16" w:type="dxa"/>
              <w:left w:w="16" w:type="dxa"/>
              <w:right w:w="16" w:type="dxa"/>
            </w:tcMar>
            <w:vAlign w:val="center"/>
          </w:tcPr>
          <w:p w14:paraId="3E16299F">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环保投资占比（%）</w:t>
            </w:r>
          </w:p>
        </w:tc>
        <w:tc>
          <w:tcPr>
            <w:tcW w:w="1672" w:type="pct"/>
            <w:gridSpan w:val="3"/>
            <w:noWrap w:val="0"/>
            <w:vAlign w:val="center"/>
          </w:tcPr>
          <w:p w14:paraId="07A51304">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20</w:t>
            </w:r>
          </w:p>
        </w:tc>
        <w:tc>
          <w:tcPr>
            <w:tcW w:w="941" w:type="pct"/>
            <w:noWrap w:val="0"/>
            <w:tcMar>
              <w:top w:w="16" w:type="dxa"/>
              <w:left w:w="16" w:type="dxa"/>
              <w:right w:w="16" w:type="dxa"/>
            </w:tcMar>
            <w:vAlign w:val="center"/>
          </w:tcPr>
          <w:p w14:paraId="5C064AFA">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施工工期</w:t>
            </w:r>
          </w:p>
        </w:tc>
        <w:tc>
          <w:tcPr>
            <w:tcW w:w="1645" w:type="pct"/>
            <w:noWrap w:val="0"/>
            <w:vAlign w:val="center"/>
          </w:tcPr>
          <w:p w14:paraId="4927E351">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2024.12~2025.1（2个月）</w:t>
            </w:r>
          </w:p>
        </w:tc>
      </w:tr>
      <w:tr w14:paraId="18F3D6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3" w:hRule="atLeast"/>
          <w:jc w:val="right"/>
        </w:trPr>
        <w:tc>
          <w:tcPr>
            <w:tcW w:w="741" w:type="pct"/>
            <w:gridSpan w:val="2"/>
            <w:noWrap w:val="0"/>
            <w:tcMar>
              <w:top w:w="16" w:type="dxa"/>
              <w:left w:w="16" w:type="dxa"/>
              <w:right w:w="16" w:type="dxa"/>
            </w:tcMar>
            <w:vAlign w:val="center"/>
          </w:tcPr>
          <w:p w14:paraId="4F83431D">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是否开工建设</w:t>
            </w:r>
          </w:p>
        </w:tc>
        <w:tc>
          <w:tcPr>
            <w:tcW w:w="1672" w:type="pct"/>
            <w:gridSpan w:val="3"/>
            <w:noWrap w:val="0"/>
            <w:vAlign w:val="center"/>
          </w:tcPr>
          <w:p w14:paraId="5F152D38">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否</w:t>
            </w:r>
          </w:p>
          <w:p w14:paraId="4769CBC8">
            <w:pPr>
              <w:adjustRightInd w:val="0"/>
              <w:snapToGrid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是</w:t>
            </w:r>
          </w:p>
        </w:tc>
        <w:tc>
          <w:tcPr>
            <w:tcW w:w="941" w:type="pct"/>
            <w:noWrap w:val="0"/>
            <w:tcMar>
              <w:top w:w="16" w:type="dxa"/>
              <w:left w:w="16" w:type="dxa"/>
              <w:right w:w="16" w:type="dxa"/>
            </w:tcMar>
            <w:vAlign w:val="center"/>
          </w:tcPr>
          <w:p w14:paraId="6D0EAF40">
            <w:pPr>
              <w:adjustRightInd w:val="0"/>
              <w:snapToGrid w:val="0"/>
              <w:jc w:val="center"/>
              <w:rPr>
                <w:rFonts w:hint="default" w:ascii="Times New Roman" w:hAnsi="Times New Roman" w:eastAsia="宋体" w:cs="Times New Roman"/>
                <w:b/>
                <w:bCs/>
                <w:color w:val="auto"/>
                <w:spacing w:val="-6"/>
                <w:sz w:val="24"/>
                <w:szCs w:val="24"/>
                <w:highlight w:val="none"/>
              </w:rPr>
            </w:pPr>
            <w:r>
              <w:rPr>
                <w:rFonts w:hint="default" w:ascii="Times New Roman" w:hAnsi="Times New Roman" w:eastAsia="宋体" w:cs="Times New Roman"/>
                <w:b/>
                <w:bCs/>
                <w:color w:val="auto"/>
                <w:spacing w:val="-6"/>
                <w:sz w:val="24"/>
                <w:szCs w:val="24"/>
                <w:highlight w:val="none"/>
              </w:rPr>
              <w:t>用地（用海）</w:t>
            </w:r>
          </w:p>
          <w:p w14:paraId="3AC2C8D0">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pacing w:val="-6"/>
                <w:sz w:val="24"/>
                <w:szCs w:val="24"/>
                <w:highlight w:val="none"/>
              </w:rPr>
              <w:t>面积（m</w:t>
            </w:r>
            <w:r>
              <w:rPr>
                <w:rFonts w:hint="default" w:ascii="Times New Roman" w:hAnsi="Times New Roman" w:eastAsia="宋体" w:cs="Times New Roman"/>
                <w:b/>
                <w:bCs/>
                <w:color w:val="auto"/>
                <w:spacing w:val="-6"/>
                <w:sz w:val="24"/>
                <w:szCs w:val="24"/>
                <w:highlight w:val="none"/>
                <w:vertAlign w:val="superscript"/>
              </w:rPr>
              <w:t>2</w:t>
            </w:r>
            <w:r>
              <w:rPr>
                <w:rFonts w:hint="default" w:ascii="Times New Roman" w:hAnsi="Times New Roman" w:eastAsia="宋体" w:cs="Times New Roman"/>
                <w:b/>
                <w:bCs/>
                <w:color w:val="auto"/>
                <w:spacing w:val="-6"/>
                <w:sz w:val="24"/>
                <w:szCs w:val="24"/>
                <w:highlight w:val="none"/>
              </w:rPr>
              <w:t>）</w:t>
            </w:r>
          </w:p>
        </w:tc>
        <w:tc>
          <w:tcPr>
            <w:tcW w:w="1645" w:type="pct"/>
            <w:noWrap w:val="0"/>
            <w:vAlign w:val="center"/>
          </w:tcPr>
          <w:p w14:paraId="439A7E05">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3893</w:t>
            </w:r>
          </w:p>
        </w:tc>
      </w:tr>
      <w:tr w14:paraId="3F3DF3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98" w:hRule="atLeast"/>
          <w:jc w:val="right"/>
        </w:trPr>
        <w:tc>
          <w:tcPr>
            <w:tcW w:w="365" w:type="pct"/>
            <w:noWrap w:val="0"/>
            <w:vAlign w:val="center"/>
          </w:tcPr>
          <w:p w14:paraId="35A906C3">
            <w:pPr>
              <w:autoSpaceDE w:val="0"/>
              <w:autoSpaceDN w:val="0"/>
              <w:adjustRightInd w:val="0"/>
              <w:snapToGrid w:val="0"/>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专项评价设置情况</w:t>
            </w:r>
          </w:p>
        </w:tc>
        <w:tc>
          <w:tcPr>
            <w:tcW w:w="4634" w:type="pct"/>
            <w:gridSpan w:val="6"/>
            <w:noWrap w:val="0"/>
            <w:vAlign w:val="center"/>
          </w:tcPr>
          <w:p w14:paraId="740C1AD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lang w:eastAsia="zh-CN"/>
              </w:rPr>
            </w:pPr>
            <w:r>
              <w:rPr>
                <w:rFonts w:hint="eastAsia"/>
                <w:sz w:val="24"/>
              </w:rPr>
              <w:t>根据《建设项目环境影响报告表编制技术指南（污染影响类）（试行）》，本项目不设置专项评价；具体专项评价设置原则及本项目判定情况见下表。</w:t>
            </w:r>
          </w:p>
          <w:p w14:paraId="70D4B267">
            <w:pPr>
              <w:ind w:firstLine="482"/>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表1</w:t>
            </w:r>
            <w:r>
              <w:rPr>
                <w:rFonts w:hint="default" w:ascii="Times New Roman" w:hAnsi="Times New Roman" w:eastAsia="宋体" w:cs="Times New Roman"/>
                <w:b/>
                <w:bCs/>
                <w:color w:val="auto"/>
                <w:sz w:val="24"/>
                <w:lang w:val="en-US" w:eastAsia="zh-CN"/>
              </w:rPr>
              <w:t>-1</w:t>
            </w:r>
            <w:r>
              <w:rPr>
                <w:rFonts w:hint="default" w:ascii="Times New Roman" w:hAnsi="Times New Roman" w:eastAsia="宋体" w:cs="Times New Roman"/>
                <w:b/>
                <w:bCs/>
                <w:color w:val="auto"/>
                <w:sz w:val="24"/>
              </w:rPr>
              <w:t xml:space="preserve"> </w:t>
            </w:r>
            <w:r>
              <w:rPr>
                <w:rFonts w:hint="default" w:ascii="Times New Roman" w:hAnsi="Times New Roman" w:eastAsia="宋体" w:cs="Times New Roman"/>
                <w:b/>
                <w:bCs/>
                <w:color w:val="auto"/>
                <w:sz w:val="24"/>
                <w:lang w:val="en-US" w:eastAsia="zh-CN"/>
              </w:rPr>
              <w:t xml:space="preserve"> </w:t>
            </w:r>
            <w:r>
              <w:rPr>
                <w:rFonts w:hint="default" w:ascii="Times New Roman" w:hAnsi="Times New Roman" w:eastAsia="宋体" w:cs="Times New Roman"/>
                <w:b/>
                <w:bCs/>
                <w:color w:val="auto"/>
                <w:sz w:val="24"/>
              </w:rPr>
              <w:t>专项评价设置</w:t>
            </w:r>
            <w:r>
              <w:rPr>
                <w:rFonts w:hint="default" w:ascii="Times New Roman" w:hAnsi="Times New Roman" w:eastAsia="宋体" w:cs="Times New Roman"/>
                <w:b/>
                <w:bCs/>
                <w:color w:val="auto"/>
                <w:sz w:val="24"/>
                <w:lang w:val="en-US" w:eastAsia="zh-CN"/>
              </w:rPr>
              <w:t>对照</w:t>
            </w:r>
            <w:r>
              <w:rPr>
                <w:rFonts w:hint="default" w:ascii="Times New Roman" w:hAnsi="Times New Roman" w:eastAsia="宋体" w:cs="Times New Roman"/>
                <w:b/>
                <w:bCs/>
                <w:color w:val="auto"/>
                <w:sz w:val="24"/>
              </w:rPr>
              <w:t>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2875"/>
              <w:gridCol w:w="2790"/>
              <w:gridCol w:w="863"/>
            </w:tblGrid>
            <w:tr w14:paraId="43E50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5" w:type="dxa"/>
                  <w:noWrap w:val="0"/>
                  <w:vAlign w:val="center"/>
                </w:tcPr>
                <w:p w14:paraId="4D4C1CC8">
                  <w:pPr>
                    <w:jc w:val="both"/>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专项评价的类别</w:t>
                  </w:r>
                </w:p>
              </w:tc>
              <w:tc>
                <w:tcPr>
                  <w:tcW w:w="2875" w:type="dxa"/>
                  <w:noWrap w:val="0"/>
                  <w:vAlign w:val="center"/>
                </w:tcPr>
                <w:p w14:paraId="503E22A8">
                  <w:pPr>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设置原则</w:t>
                  </w:r>
                </w:p>
              </w:tc>
              <w:tc>
                <w:tcPr>
                  <w:tcW w:w="2790" w:type="dxa"/>
                  <w:noWrap w:val="0"/>
                  <w:vAlign w:val="center"/>
                </w:tcPr>
                <w:p w14:paraId="324AF042">
                  <w:pPr>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本项目情况</w:t>
                  </w:r>
                </w:p>
              </w:tc>
              <w:tc>
                <w:tcPr>
                  <w:tcW w:w="863" w:type="dxa"/>
                  <w:noWrap w:val="0"/>
                  <w:vAlign w:val="center"/>
                </w:tcPr>
                <w:p w14:paraId="7B38D987">
                  <w:pPr>
                    <w:jc w:val="center"/>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是否设置专项评价</w:t>
                  </w:r>
                </w:p>
              </w:tc>
            </w:tr>
            <w:tr w14:paraId="22503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5" w:type="dxa"/>
                  <w:noWrap w:val="0"/>
                  <w:vAlign w:val="center"/>
                </w:tcPr>
                <w:p w14:paraId="167A8B5A">
                  <w:pPr>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大气</w:t>
                  </w:r>
                </w:p>
              </w:tc>
              <w:tc>
                <w:tcPr>
                  <w:tcW w:w="2875" w:type="dxa"/>
                  <w:noWrap w:val="0"/>
                  <w:vAlign w:val="center"/>
                </w:tcPr>
                <w:p w14:paraId="0E9A587E">
                  <w:pPr>
                    <w:jc w:val="center"/>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排放废气含有毒有害污染物</w:t>
                  </w:r>
                  <w:r>
                    <w:rPr>
                      <w:rFonts w:hint="default" w:ascii="Times New Roman" w:hAnsi="Times New Roman" w:cs="Times New Roman" w:eastAsiaTheme="minorEastAsia"/>
                      <w:b w:val="0"/>
                      <w:bCs w:val="0"/>
                      <w:color w:val="auto"/>
                      <w:sz w:val="21"/>
                      <w:szCs w:val="21"/>
                      <w:vertAlign w:val="superscript"/>
                      <w:lang w:val="en-US" w:eastAsia="zh-CN"/>
                    </w:rPr>
                    <w:t>1</w:t>
                  </w:r>
                  <w:r>
                    <w:rPr>
                      <w:rFonts w:hint="default" w:ascii="Times New Roman" w:hAnsi="Times New Roman" w:cs="Times New Roman" w:eastAsiaTheme="minorEastAsia"/>
                      <w:b w:val="0"/>
                      <w:bCs w:val="0"/>
                      <w:color w:val="auto"/>
                      <w:sz w:val="21"/>
                      <w:szCs w:val="21"/>
                      <w:vertAlign w:val="baseline"/>
                      <w:lang w:val="en-US" w:eastAsia="zh-CN"/>
                    </w:rPr>
                    <w:t>、二噁英、苯并[a]芘、氰化物、氯气且厂界外500米范围内有环境空气保护目标</w:t>
                  </w:r>
                  <w:r>
                    <w:rPr>
                      <w:rFonts w:hint="default" w:ascii="Times New Roman" w:hAnsi="Times New Roman" w:cs="Times New Roman" w:eastAsiaTheme="minorEastAsia"/>
                      <w:b w:val="0"/>
                      <w:bCs w:val="0"/>
                      <w:color w:val="auto"/>
                      <w:sz w:val="21"/>
                      <w:szCs w:val="21"/>
                      <w:vertAlign w:val="superscript"/>
                      <w:lang w:val="en-US" w:eastAsia="zh-CN"/>
                    </w:rPr>
                    <w:t>2</w:t>
                  </w:r>
                  <w:r>
                    <w:rPr>
                      <w:rFonts w:hint="default" w:ascii="Times New Roman" w:hAnsi="Times New Roman" w:cs="Times New Roman" w:eastAsiaTheme="minorEastAsia"/>
                      <w:b w:val="0"/>
                      <w:bCs w:val="0"/>
                      <w:color w:val="auto"/>
                      <w:sz w:val="21"/>
                      <w:szCs w:val="21"/>
                      <w:vertAlign w:val="baseline"/>
                      <w:lang w:val="en-US" w:eastAsia="zh-CN"/>
                    </w:rPr>
                    <w:t>的建设</w:t>
                  </w:r>
                  <w:r>
                    <w:rPr>
                      <w:rFonts w:hint="eastAsia" w:cs="Times New Roman" w:eastAsiaTheme="minorEastAsia"/>
                      <w:b w:val="0"/>
                      <w:bCs w:val="0"/>
                      <w:color w:val="auto"/>
                      <w:sz w:val="21"/>
                      <w:szCs w:val="21"/>
                      <w:vertAlign w:val="baseline"/>
                      <w:lang w:val="en-US" w:eastAsia="zh-CN"/>
                    </w:rPr>
                    <w:t>项目</w:t>
                  </w:r>
                </w:p>
              </w:tc>
              <w:tc>
                <w:tcPr>
                  <w:tcW w:w="2790" w:type="dxa"/>
                  <w:noWrap w:val="0"/>
                  <w:vAlign w:val="center"/>
                </w:tcPr>
                <w:p w14:paraId="45DFEC31">
                  <w:pPr>
                    <w:jc w:val="center"/>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项目废气主要为生产过程中产生的颗粒物、SO</w:t>
                  </w:r>
                  <w:r>
                    <w:rPr>
                      <w:rFonts w:hint="default" w:ascii="Times New Roman" w:hAnsi="Times New Roman" w:cs="Times New Roman" w:eastAsiaTheme="minorEastAsia"/>
                      <w:b w:val="0"/>
                      <w:bCs w:val="0"/>
                      <w:color w:val="auto"/>
                      <w:sz w:val="21"/>
                      <w:szCs w:val="21"/>
                      <w:vertAlign w:val="subscript"/>
                      <w:lang w:val="en-US" w:eastAsia="zh-CN"/>
                    </w:rPr>
                    <w:t>2</w:t>
                  </w:r>
                  <w:r>
                    <w:rPr>
                      <w:rFonts w:hint="default" w:ascii="Times New Roman" w:hAnsi="Times New Roman" w:cs="Times New Roman" w:eastAsiaTheme="minorEastAsia"/>
                      <w:b w:val="0"/>
                      <w:bCs w:val="0"/>
                      <w:color w:val="auto"/>
                      <w:sz w:val="21"/>
                      <w:szCs w:val="21"/>
                      <w:vertAlign w:val="baseline"/>
                      <w:lang w:val="en-US" w:eastAsia="zh-CN"/>
                    </w:rPr>
                    <w:t>、NOx、</w:t>
                  </w:r>
                  <w:r>
                    <w:rPr>
                      <w:rFonts w:hint="eastAsia" w:cs="Times New Roman" w:eastAsiaTheme="minorEastAsia"/>
                      <w:b w:val="0"/>
                      <w:bCs w:val="0"/>
                      <w:color w:val="auto"/>
                      <w:sz w:val="21"/>
                      <w:szCs w:val="21"/>
                      <w:vertAlign w:val="baseline"/>
                      <w:lang w:val="en-US" w:eastAsia="zh-CN"/>
                    </w:rPr>
                    <w:t>有机挥发物（</w:t>
                  </w:r>
                  <w:r>
                    <w:rPr>
                      <w:rFonts w:hint="default" w:ascii="Times New Roman" w:hAnsi="Times New Roman" w:cs="Times New Roman" w:eastAsiaTheme="minorEastAsia"/>
                      <w:b w:val="0"/>
                      <w:bCs w:val="0"/>
                      <w:color w:val="auto"/>
                      <w:sz w:val="21"/>
                      <w:szCs w:val="21"/>
                      <w:vertAlign w:val="baseline"/>
                      <w:lang w:val="en-US" w:eastAsia="zh-CN"/>
                    </w:rPr>
                    <w:t>非甲烷总烃</w:t>
                  </w:r>
                  <w:r>
                    <w:rPr>
                      <w:rFonts w:hint="eastAsia" w:cs="Times New Roman" w:eastAsiaTheme="minorEastAsia"/>
                      <w:b w:val="0"/>
                      <w:bCs w:val="0"/>
                      <w:color w:val="auto"/>
                      <w:sz w:val="21"/>
                      <w:szCs w:val="21"/>
                      <w:vertAlign w:val="baseline"/>
                      <w:lang w:val="en-US" w:eastAsia="zh-CN"/>
                    </w:rPr>
                    <w:t>）</w:t>
                  </w:r>
                  <w:r>
                    <w:rPr>
                      <w:rFonts w:hint="default" w:ascii="Times New Roman" w:hAnsi="Times New Roman" w:cs="Times New Roman" w:eastAsiaTheme="minorEastAsia"/>
                      <w:b w:val="0"/>
                      <w:bCs w:val="0"/>
                      <w:color w:val="auto"/>
                      <w:sz w:val="21"/>
                      <w:szCs w:val="21"/>
                      <w:vertAlign w:val="baseline"/>
                      <w:lang w:val="en-US" w:eastAsia="zh-CN"/>
                    </w:rPr>
                    <w:t>，</w:t>
                  </w:r>
                  <w:r>
                    <w:rPr>
                      <w:rFonts w:hint="eastAsia" w:cs="Times New Roman" w:eastAsiaTheme="minorEastAsia"/>
                      <w:b w:val="0"/>
                      <w:bCs w:val="0"/>
                      <w:color w:val="auto"/>
                      <w:sz w:val="21"/>
                      <w:szCs w:val="21"/>
                      <w:vertAlign w:val="baseline"/>
                      <w:lang w:val="en-US" w:eastAsia="zh-CN"/>
                    </w:rPr>
                    <w:t>烟气黑度，不属于</w:t>
                  </w:r>
                  <w:r>
                    <w:rPr>
                      <w:rFonts w:hint="default" w:ascii="Times New Roman" w:hAnsi="Times New Roman" w:cs="Times New Roman" w:eastAsiaTheme="minorEastAsia"/>
                      <w:b w:val="0"/>
                      <w:bCs w:val="0"/>
                      <w:color w:val="auto"/>
                      <w:sz w:val="21"/>
                      <w:szCs w:val="21"/>
                      <w:vertAlign w:val="baseline"/>
                      <w:lang w:val="en-US" w:eastAsia="zh-CN"/>
                    </w:rPr>
                    <w:t>排放废气含有毒有害污染物</w:t>
                  </w:r>
                  <w:r>
                    <w:rPr>
                      <w:rFonts w:hint="eastAsia" w:cs="Times New Roman" w:eastAsiaTheme="minorEastAsia"/>
                      <w:b w:val="0"/>
                      <w:bCs w:val="0"/>
                      <w:color w:val="auto"/>
                      <w:sz w:val="21"/>
                      <w:szCs w:val="21"/>
                      <w:vertAlign w:val="baseline"/>
                      <w:lang w:val="en-US" w:eastAsia="zh-CN"/>
                    </w:rPr>
                    <w:t>项目</w:t>
                  </w:r>
                </w:p>
              </w:tc>
              <w:tc>
                <w:tcPr>
                  <w:tcW w:w="863" w:type="dxa"/>
                  <w:noWrap w:val="0"/>
                  <w:vAlign w:val="center"/>
                </w:tcPr>
                <w:p w14:paraId="234E6D83">
                  <w:pPr>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否</w:t>
                  </w:r>
                </w:p>
              </w:tc>
            </w:tr>
            <w:tr w14:paraId="2AABB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5" w:type="dxa"/>
                  <w:noWrap w:val="0"/>
                  <w:vAlign w:val="center"/>
                </w:tcPr>
                <w:p w14:paraId="0934BEE6">
                  <w:pPr>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地表水</w:t>
                  </w:r>
                </w:p>
              </w:tc>
              <w:tc>
                <w:tcPr>
                  <w:tcW w:w="2875" w:type="dxa"/>
                  <w:noWrap w:val="0"/>
                  <w:vAlign w:val="center"/>
                </w:tcPr>
                <w:p w14:paraId="49AA8C64">
                  <w:pPr>
                    <w:jc w:val="center"/>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新增工业废水直排建设项目（槽罐车外送污水处理厂的除外）；</w:t>
                  </w:r>
                </w:p>
                <w:p w14:paraId="39DF3A5D">
                  <w:pPr>
                    <w:jc w:val="center"/>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新增废水直排的污水集中处理厂</w:t>
                  </w:r>
                </w:p>
              </w:tc>
              <w:tc>
                <w:tcPr>
                  <w:tcW w:w="2790" w:type="dxa"/>
                  <w:noWrap w:val="0"/>
                  <w:vAlign w:val="center"/>
                </w:tcPr>
                <w:p w14:paraId="64CBD7DC">
                  <w:pPr>
                    <w:jc w:val="center"/>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项目生产不涉及用水，生活废水不外排，不属于新增工业废水直排建设项目</w:t>
                  </w:r>
                </w:p>
              </w:tc>
              <w:tc>
                <w:tcPr>
                  <w:tcW w:w="863" w:type="dxa"/>
                  <w:noWrap w:val="0"/>
                  <w:vAlign w:val="center"/>
                </w:tcPr>
                <w:p w14:paraId="7A9A3824">
                  <w:pPr>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否</w:t>
                  </w:r>
                </w:p>
              </w:tc>
            </w:tr>
            <w:tr w14:paraId="61D5C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5" w:type="dxa"/>
                  <w:noWrap w:val="0"/>
                  <w:vAlign w:val="center"/>
                </w:tcPr>
                <w:p w14:paraId="7587D2BA">
                  <w:pPr>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环境风险</w:t>
                  </w:r>
                </w:p>
              </w:tc>
              <w:tc>
                <w:tcPr>
                  <w:tcW w:w="2875" w:type="dxa"/>
                  <w:noWrap w:val="0"/>
                  <w:vAlign w:val="center"/>
                </w:tcPr>
                <w:p w14:paraId="45D8E90C">
                  <w:pPr>
                    <w:jc w:val="center"/>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有毒有害和易燃易爆危险物质存储量超过临界量</w:t>
                  </w:r>
                  <w:r>
                    <w:rPr>
                      <w:rFonts w:hint="default" w:ascii="Times New Roman" w:hAnsi="Times New Roman" w:cs="Times New Roman" w:eastAsiaTheme="minorEastAsia"/>
                      <w:b w:val="0"/>
                      <w:bCs w:val="0"/>
                      <w:color w:val="auto"/>
                      <w:sz w:val="21"/>
                      <w:szCs w:val="21"/>
                      <w:vertAlign w:val="superscript"/>
                      <w:lang w:val="en-US" w:eastAsia="zh-CN"/>
                    </w:rPr>
                    <w:t>3</w:t>
                  </w:r>
                  <w:r>
                    <w:rPr>
                      <w:rFonts w:hint="default" w:ascii="Times New Roman" w:hAnsi="Times New Roman" w:cs="Times New Roman" w:eastAsiaTheme="minorEastAsia"/>
                      <w:b w:val="0"/>
                      <w:bCs w:val="0"/>
                      <w:color w:val="auto"/>
                      <w:sz w:val="21"/>
                      <w:szCs w:val="21"/>
                      <w:vertAlign w:val="baseline"/>
                      <w:lang w:val="en-US" w:eastAsia="zh-CN"/>
                    </w:rPr>
                    <w:t>的建设</w:t>
                  </w:r>
                  <w:r>
                    <w:rPr>
                      <w:rFonts w:hint="eastAsia" w:cs="Times New Roman" w:eastAsiaTheme="minorEastAsia"/>
                      <w:b w:val="0"/>
                      <w:bCs w:val="0"/>
                      <w:color w:val="auto"/>
                      <w:sz w:val="21"/>
                      <w:szCs w:val="21"/>
                      <w:vertAlign w:val="baseline"/>
                      <w:lang w:val="en-US" w:eastAsia="zh-CN"/>
                    </w:rPr>
                    <w:t>项目</w:t>
                  </w:r>
                </w:p>
              </w:tc>
              <w:tc>
                <w:tcPr>
                  <w:tcW w:w="2790" w:type="dxa"/>
                  <w:noWrap w:val="0"/>
                  <w:vAlign w:val="center"/>
                </w:tcPr>
                <w:p w14:paraId="51170767">
                  <w:pPr>
                    <w:jc w:val="center"/>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项目</w:t>
                  </w:r>
                  <w:r>
                    <w:rPr>
                      <w:color w:val="auto"/>
                    </w:rPr>
                    <w:t>废</w:t>
                  </w:r>
                  <w:r>
                    <w:rPr>
                      <w:rFonts w:hint="eastAsia"/>
                      <w:color w:val="auto"/>
                    </w:rPr>
                    <w:t>机</w:t>
                  </w:r>
                  <w:r>
                    <w:rPr>
                      <w:color w:val="auto"/>
                    </w:rPr>
                    <w:t>油</w:t>
                  </w:r>
                  <w:r>
                    <w:rPr>
                      <w:rFonts w:hint="eastAsia"/>
                      <w:color w:val="auto"/>
                      <w:lang w:val="en-US" w:eastAsia="zh-CN"/>
                    </w:rPr>
                    <w:t>年最大暂存量为0.2t，</w:t>
                  </w:r>
                  <w:r>
                    <w:rPr>
                      <w:rFonts w:hint="default" w:ascii="Times New Roman" w:hAnsi="Times New Roman" w:cs="Times New Roman" w:eastAsiaTheme="minorEastAsia"/>
                      <w:b w:val="0"/>
                      <w:bCs w:val="0"/>
                      <w:color w:val="auto"/>
                      <w:sz w:val="21"/>
                      <w:szCs w:val="21"/>
                      <w:vertAlign w:val="baseline"/>
                      <w:lang w:val="en-US" w:eastAsia="zh-CN"/>
                    </w:rPr>
                    <w:t>存储量</w:t>
                  </w:r>
                  <w:r>
                    <w:rPr>
                      <w:rFonts w:hint="eastAsia" w:cs="Times New Roman" w:eastAsiaTheme="minorEastAsia"/>
                      <w:b w:val="0"/>
                      <w:bCs w:val="0"/>
                      <w:color w:val="auto"/>
                      <w:sz w:val="21"/>
                      <w:szCs w:val="21"/>
                      <w:vertAlign w:val="baseline"/>
                      <w:lang w:val="en-US" w:eastAsia="zh-CN"/>
                    </w:rPr>
                    <w:t>未</w:t>
                  </w:r>
                  <w:r>
                    <w:rPr>
                      <w:rFonts w:hint="default" w:ascii="Times New Roman" w:hAnsi="Times New Roman" w:cs="Times New Roman" w:eastAsiaTheme="minorEastAsia"/>
                      <w:b w:val="0"/>
                      <w:bCs w:val="0"/>
                      <w:color w:val="auto"/>
                      <w:sz w:val="21"/>
                      <w:szCs w:val="21"/>
                      <w:vertAlign w:val="baseline"/>
                      <w:lang w:val="en-US" w:eastAsia="zh-CN"/>
                    </w:rPr>
                    <w:t>超过临界量</w:t>
                  </w:r>
                </w:p>
              </w:tc>
              <w:tc>
                <w:tcPr>
                  <w:tcW w:w="863" w:type="dxa"/>
                  <w:noWrap w:val="0"/>
                  <w:vAlign w:val="center"/>
                </w:tcPr>
                <w:p w14:paraId="4FEB771D">
                  <w:pPr>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否</w:t>
                  </w:r>
                </w:p>
              </w:tc>
            </w:tr>
            <w:tr w14:paraId="0702D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5" w:type="dxa"/>
                  <w:noWrap w:val="0"/>
                  <w:vAlign w:val="center"/>
                </w:tcPr>
                <w:p w14:paraId="5A5FC1AB">
                  <w:pPr>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生态</w:t>
                  </w:r>
                </w:p>
              </w:tc>
              <w:tc>
                <w:tcPr>
                  <w:tcW w:w="2875" w:type="dxa"/>
                  <w:noWrap w:val="0"/>
                  <w:vAlign w:val="center"/>
                </w:tcPr>
                <w:p w14:paraId="5C5B67C0">
                  <w:pPr>
                    <w:jc w:val="center"/>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取水口下游500米范围内有重要水生生物的自然产卵场、索饵场、越冬场和洄游通道的新增河道取水的污染类建设项目</w:t>
                  </w:r>
                </w:p>
              </w:tc>
              <w:tc>
                <w:tcPr>
                  <w:tcW w:w="2790" w:type="dxa"/>
                  <w:noWrap w:val="0"/>
                  <w:vAlign w:val="center"/>
                </w:tcPr>
                <w:p w14:paraId="796A70C1">
                  <w:pPr>
                    <w:jc w:val="center"/>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不涉及取水口</w:t>
                  </w:r>
                </w:p>
              </w:tc>
              <w:tc>
                <w:tcPr>
                  <w:tcW w:w="863" w:type="dxa"/>
                  <w:noWrap w:val="0"/>
                  <w:vAlign w:val="center"/>
                </w:tcPr>
                <w:p w14:paraId="6F953E7D">
                  <w:pPr>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否</w:t>
                  </w:r>
                </w:p>
              </w:tc>
            </w:tr>
            <w:tr w14:paraId="16116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5" w:type="dxa"/>
                  <w:noWrap w:val="0"/>
                  <w:vAlign w:val="center"/>
                </w:tcPr>
                <w:p w14:paraId="0C397EA4">
                  <w:pPr>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海洋</w:t>
                  </w:r>
                </w:p>
              </w:tc>
              <w:tc>
                <w:tcPr>
                  <w:tcW w:w="2875" w:type="dxa"/>
                  <w:noWrap w:val="0"/>
                  <w:vAlign w:val="center"/>
                </w:tcPr>
                <w:p w14:paraId="508B0506">
                  <w:pPr>
                    <w:jc w:val="center"/>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直接向海排放污染物的海洋工程建设项目</w:t>
                  </w:r>
                </w:p>
              </w:tc>
              <w:tc>
                <w:tcPr>
                  <w:tcW w:w="2790" w:type="dxa"/>
                  <w:noWrap w:val="0"/>
                  <w:vAlign w:val="center"/>
                </w:tcPr>
                <w:p w14:paraId="09988CD6">
                  <w:pPr>
                    <w:jc w:val="center"/>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本项目不属于向海排放污染物的海洋工程建设项目</w:t>
                  </w:r>
                </w:p>
              </w:tc>
              <w:tc>
                <w:tcPr>
                  <w:tcW w:w="863" w:type="dxa"/>
                  <w:noWrap w:val="0"/>
                  <w:vAlign w:val="center"/>
                </w:tcPr>
                <w:p w14:paraId="3F5950A7">
                  <w:pPr>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否</w:t>
                  </w:r>
                </w:p>
              </w:tc>
            </w:tr>
            <w:tr w14:paraId="39646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73" w:type="dxa"/>
                  <w:gridSpan w:val="4"/>
                  <w:noWrap w:val="0"/>
                  <w:vAlign w:val="center"/>
                </w:tcPr>
                <w:p w14:paraId="1DC89C1E">
                  <w:pPr>
                    <w:jc w:val="left"/>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注：1.废气中有毒有害污染物指纳入《有毒有害大气污染物名录》的污染物（不包括无排放标准的污染物）。</w:t>
                  </w:r>
                </w:p>
                <w:p w14:paraId="2BE12267">
                  <w:pPr>
                    <w:numPr>
                      <w:ilvl w:val="0"/>
                      <w:numId w:val="0"/>
                    </w:numPr>
                    <w:ind w:firstLine="420" w:firstLineChars="200"/>
                    <w:jc w:val="left"/>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2.环境空气保护目标指自然保护区、风景名胜区、居住区、文化区和农村地区中人群较集中的区域。</w:t>
                  </w:r>
                </w:p>
                <w:p w14:paraId="1DDBB0C6">
                  <w:pPr>
                    <w:numPr>
                      <w:ilvl w:val="0"/>
                      <w:numId w:val="0"/>
                    </w:numPr>
                    <w:ind w:firstLine="420" w:firstLineChars="200"/>
                    <w:jc w:val="left"/>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3.临界量及其计算方法可参考《建设项目环境风险评价技术导则》（HJ 169）附录B、附录C。</w:t>
                  </w:r>
                </w:p>
              </w:tc>
            </w:tr>
          </w:tbl>
          <w:p w14:paraId="36F863F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lang w:val="en-US" w:eastAsia="zh-CN"/>
              </w:rPr>
              <w:t>根据上表分析，本项目不设置专项评价，专项评价设置情况为“无”。</w:t>
            </w:r>
          </w:p>
        </w:tc>
      </w:tr>
      <w:tr w14:paraId="21899E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946" w:type="pct"/>
            <w:gridSpan w:val="3"/>
            <w:noWrap w:val="0"/>
            <w:vAlign w:val="center"/>
          </w:tcPr>
          <w:p w14:paraId="3E4C32E9">
            <w:pPr>
              <w:autoSpaceDE w:val="0"/>
              <w:autoSpaceDN w:val="0"/>
              <w:adjustRightInd w:val="0"/>
              <w:snapToGrid w:val="0"/>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sz w:val="24"/>
                <w:szCs w:val="24"/>
                <w:highlight w:val="none"/>
              </w:rPr>
              <w:t>规划情况</w:t>
            </w:r>
          </w:p>
        </w:tc>
        <w:tc>
          <w:tcPr>
            <w:tcW w:w="4053" w:type="pct"/>
            <w:gridSpan w:val="4"/>
            <w:noWrap w:val="0"/>
            <w:vAlign w:val="center"/>
          </w:tcPr>
          <w:p w14:paraId="5EA4D0B6">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无</w:t>
            </w:r>
          </w:p>
        </w:tc>
      </w:tr>
      <w:tr w14:paraId="174BCF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4" w:hRule="atLeast"/>
          <w:jc w:val="right"/>
        </w:trPr>
        <w:tc>
          <w:tcPr>
            <w:tcW w:w="946" w:type="pct"/>
            <w:gridSpan w:val="3"/>
            <w:noWrap w:val="0"/>
            <w:vAlign w:val="center"/>
          </w:tcPr>
          <w:p w14:paraId="31729117">
            <w:pPr>
              <w:adjustRightInd w:val="0"/>
              <w:snapToGrid w:val="0"/>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sz w:val="24"/>
                <w:szCs w:val="24"/>
                <w:highlight w:val="none"/>
              </w:rPr>
              <w:t>规划环境影响评价情况</w:t>
            </w:r>
          </w:p>
        </w:tc>
        <w:tc>
          <w:tcPr>
            <w:tcW w:w="4053" w:type="pct"/>
            <w:gridSpan w:val="4"/>
            <w:noWrap w:val="0"/>
            <w:vAlign w:val="center"/>
          </w:tcPr>
          <w:p w14:paraId="56AB606C">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无</w:t>
            </w:r>
          </w:p>
        </w:tc>
      </w:tr>
      <w:tr w14:paraId="484F04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4" w:hRule="atLeast"/>
          <w:jc w:val="right"/>
        </w:trPr>
        <w:tc>
          <w:tcPr>
            <w:tcW w:w="946" w:type="pct"/>
            <w:gridSpan w:val="3"/>
            <w:noWrap w:val="0"/>
            <w:vAlign w:val="center"/>
          </w:tcPr>
          <w:p w14:paraId="3D3E58B4">
            <w:pPr>
              <w:autoSpaceDE w:val="0"/>
              <w:autoSpaceDN w:val="0"/>
              <w:adjustRightInd w:val="0"/>
              <w:snapToGrid w:val="0"/>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规划及规划环境影响评价符合性分析</w:t>
            </w:r>
          </w:p>
        </w:tc>
        <w:tc>
          <w:tcPr>
            <w:tcW w:w="4053" w:type="pct"/>
            <w:gridSpan w:val="4"/>
            <w:noWrap w:val="0"/>
            <w:vAlign w:val="center"/>
          </w:tcPr>
          <w:p w14:paraId="73422A88">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无</w:t>
            </w:r>
          </w:p>
        </w:tc>
      </w:tr>
    </w:tbl>
    <w:p w14:paraId="194AE5D1">
      <w:pPr>
        <w:sectPr>
          <w:footerReference r:id="rId4" w:type="default"/>
          <w:pgSz w:w="11906" w:h="16838"/>
          <w:pgMar w:top="1440" w:right="1800" w:bottom="1440" w:left="1800" w:header="624" w:footer="680" w:gutter="0"/>
          <w:pgNumType w:fmt="decimal" w:start="1"/>
          <w:cols w:space="425" w:num="1"/>
          <w:docGrid w:type="lines" w:linePitch="312" w:charSpace="0"/>
        </w:sectPr>
      </w:pPr>
    </w:p>
    <w:tbl>
      <w:tblPr>
        <w:tblStyle w:val="23"/>
        <w:tblW w:w="13899" w:type="dxa"/>
        <w:jc w:val="center"/>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3306"/>
      </w:tblGrid>
      <w:tr w14:paraId="4D4EE4B9">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593" w:type="dxa"/>
            <w:noWrap w:val="0"/>
            <w:vAlign w:val="center"/>
          </w:tcPr>
          <w:p w14:paraId="59F1E01D">
            <w:pPr>
              <w:autoSpaceDE w:val="0"/>
              <w:autoSpaceDN w:val="0"/>
              <w:adjustRightInd w:val="0"/>
              <w:snapToGrid w:val="0"/>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其他符合性分析</w:t>
            </w:r>
          </w:p>
        </w:tc>
        <w:tc>
          <w:tcPr>
            <w:tcW w:w="13306" w:type="dxa"/>
            <w:noWrap w:val="0"/>
            <w:vAlign w:val="center"/>
          </w:tcPr>
          <w:p w14:paraId="32B6A529">
            <w:pPr>
              <w:numPr>
                <w:ilvl w:val="0"/>
                <w:numId w:val="2"/>
              </w:numPr>
              <w:spacing w:line="360" w:lineRule="auto"/>
              <w:ind w:firstLine="482"/>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项目产业政策符合性分析</w:t>
            </w:r>
          </w:p>
          <w:p w14:paraId="77B107BC">
            <w:pPr>
              <w:widowControl w:val="0"/>
              <w:numPr>
                <w:ilvl w:val="0"/>
                <w:numId w:val="0"/>
              </w:numPr>
              <w:spacing w:line="360" w:lineRule="auto"/>
              <w:ind w:firstLine="480" w:firstLineChars="200"/>
              <w:jc w:val="both"/>
              <w:rPr>
                <w:rFonts w:hint="default" w:ascii="Times New Roman" w:hAnsi="Times New Roman" w:eastAsia="宋体" w:cs="Times New Roman"/>
                <w:b w:val="0"/>
                <w:bCs/>
                <w:color w:val="auto"/>
                <w:sz w:val="24"/>
                <w:szCs w:val="24"/>
                <w:highlight w:val="none"/>
                <w:lang w:val="en-US" w:eastAsia="zh-CN"/>
              </w:rPr>
            </w:pPr>
            <w:r>
              <w:rPr>
                <w:rFonts w:hint="eastAsia" w:ascii="宋体" w:hAnsi="宋体"/>
                <w:bCs/>
                <w:color w:val="auto"/>
                <w:kern w:val="44"/>
                <w:sz w:val="24"/>
                <w:lang w:eastAsia="zh-CN"/>
              </w:rPr>
              <w:t>本项目利用</w:t>
            </w:r>
            <w:r>
              <w:rPr>
                <w:rFonts w:hint="eastAsia" w:ascii="Times New Roman" w:hAnsi="Times New Roman" w:eastAsia="宋体" w:cs="Times New Roman"/>
                <w:color w:val="auto"/>
                <w:sz w:val="24"/>
                <w:szCs w:val="24"/>
                <w:highlight w:val="none"/>
                <w:vertAlign w:val="baseline"/>
                <w:lang w:val="en-US" w:eastAsia="zh-CN"/>
              </w:rPr>
              <w:t>木屑、刨花及破碎后的作物</w:t>
            </w:r>
            <w:r>
              <w:rPr>
                <w:rFonts w:hint="default" w:ascii="Times New Roman" w:hAnsi="Times New Roman" w:eastAsia="宋体" w:cs="Times New Roman"/>
                <w:color w:val="auto"/>
                <w:sz w:val="24"/>
                <w:szCs w:val="24"/>
                <w:highlight w:val="none"/>
                <w:vertAlign w:val="baseline"/>
                <w:lang w:val="en-US" w:eastAsia="zh-CN"/>
              </w:rPr>
              <w:t>废弃物</w:t>
            </w:r>
            <w:r>
              <w:rPr>
                <w:rFonts w:hint="eastAsia" w:cs="Times New Roman" w:eastAsiaTheme="minorEastAsia"/>
                <w:color w:val="auto"/>
                <w:kern w:val="0"/>
                <w:sz w:val="24"/>
                <w:szCs w:val="24"/>
                <w:lang w:val="en-US" w:eastAsia="zh-CN" w:bidi="ar-SA"/>
              </w:rPr>
              <w:t>为原料生产机制炭</w:t>
            </w:r>
            <w:r>
              <w:rPr>
                <w:rFonts w:hint="eastAsia" w:cs="Times New Roman" w:eastAsiaTheme="minorEastAsia"/>
                <w:color w:val="FF0000"/>
                <w:kern w:val="0"/>
                <w:sz w:val="24"/>
                <w:szCs w:val="24"/>
                <w:highlight w:val="none"/>
                <w:lang w:val="en-US" w:eastAsia="zh-CN" w:bidi="ar-SA"/>
              </w:rPr>
              <w:t>，</w:t>
            </w:r>
            <w:r>
              <w:rPr>
                <w:rFonts w:hint="eastAsia"/>
                <w:color w:val="FF0000"/>
                <w:sz w:val="24"/>
                <w:highlight w:val="none"/>
              </w:rPr>
              <w:t>根据《国民经济行业分类》（GB/T 4784-2017）本项目属于林产化学品制造工业2663，</w:t>
            </w:r>
            <w:r>
              <w:rPr>
                <w:rFonts w:ascii="宋体" w:hAnsi="宋体"/>
                <w:bCs/>
                <w:color w:val="FF0000"/>
                <w:kern w:val="44"/>
                <w:sz w:val="24"/>
                <w:highlight w:val="none"/>
              </w:rPr>
              <w:t>根据</w:t>
            </w:r>
            <w:r>
              <w:rPr>
                <w:rFonts w:hint="eastAsia" w:ascii="宋体" w:hAnsi="宋体"/>
                <w:bCs/>
                <w:color w:val="FF0000"/>
                <w:kern w:val="44"/>
                <w:sz w:val="24"/>
                <w:highlight w:val="none"/>
              </w:rPr>
              <w:t>中华人民共和国国家发展和改革委员会令第7号</w:t>
            </w:r>
            <w:r>
              <w:rPr>
                <w:color w:val="FF0000"/>
                <w:sz w:val="24"/>
                <w:szCs w:val="24"/>
                <w:highlight w:val="none"/>
              </w:rPr>
              <w:t>《产业结构调整指导目录（20</w:t>
            </w:r>
            <w:r>
              <w:rPr>
                <w:rFonts w:hint="eastAsia"/>
                <w:color w:val="FF0000"/>
                <w:sz w:val="24"/>
                <w:szCs w:val="24"/>
                <w:highlight w:val="none"/>
              </w:rPr>
              <w:t>24</w:t>
            </w:r>
            <w:r>
              <w:rPr>
                <w:color w:val="FF0000"/>
                <w:sz w:val="24"/>
                <w:szCs w:val="24"/>
                <w:highlight w:val="none"/>
              </w:rPr>
              <w:t>年本）》</w:t>
            </w:r>
            <w:r>
              <w:rPr>
                <w:rFonts w:hint="eastAsia" w:ascii="宋体" w:hAnsi="宋体"/>
                <w:bCs/>
                <w:color w:val="FF0000"/>
                <w:kern w:val="44"/>
                <w:sz w:val="24"/>
                <w:highlight w:val="none"/>
              </w:rPr>
              <w:t>，</w:t>
            </w:r>
            <w:r>
              <w:rPr>
                <w:rFonts w:hint="eastAsia" w:ascii="宋体" w:hAnsi="宋体"/>
                <w:bCs/>
                <w:color w:val="FF0000"/>
                <w:kern w:val="44"/>
                <w:sz w:val="24"/>
                <w:highlight w:val="none"/>
                <w:lang w:val="en-US" w:eastAsia="zh-CN"/>
              </w:rPr>
              <w:t>机制炭行业不在鼓励类、限制类、淘汰类行业，属于允许类项目，</w:t>
            </w:r>
            <w:r>
              <w:rPr>
                <w:rFonts w:hint="default" w:ascii="Times New Roman" w:hAnsi="Times New Roman" w:eastAsia="宋体" w:cs="Times New Roman"/>
                <w:b w:val="0"/>
                <w:bCs/>
                <w:color w:val="FF0000"/>
                <w:sz w:val="24"/>
                <w:szCs w:val="24"/>
                <w:highlight w:val="none"/>
                <w:lang w:val="en-US" w:eastAsia="zh-CN"/>
              </w:rPr>
              <w:t>项目于202</w:t>
            </w:r>
            <w:r>
              <w:rPr>
                <w:rFonts w:hint="default" w:ascii="Times New Roman" w:hAnsi="Times New Roman" w:cs="Times New Roman"/>
                <w:b w:val="0"/>
                <w:bCs/>
                <w:color w:val="FF0000"/>
                <w:sz w:val="24"/>
                <w:szCs w:val="24"/>
                <w:highlight w:val="none"/>
                <w:lang w:val="en-US" w:eastAsia="zh-CN"/>
              </w:rPr>
              <w:t>4</w:t>
            </w:r>
            <w:r>
              <w:rPr>
                <w:rFonts w:hint="default" w:ascii="Times New Roman" w:hAnsi="Times New Roman" w:eastAsia="宋体" w:cs="Times New Roman"/>
                <w:b w:val="0"/>
                <w:bCs/>
                <w:color w:val="FF0000"/>
                <w:sz w:val="24"/>
                <w:szCs w:val="24"/>
                <w:highlight w:val="none"/>
                <w:lang w:val="en-US" w:eastAsia="zh-CN"/>
              </w:rPr>
              <w:t>年</w:t>
            </w:r>
            <w:r>
              <w:rPr>
                <w:rFonts w:hint="default" w:ascii="Times New Roman" w:hAnsi="Times New Roman" w:cs="Times New Roman"/>
                <w:b w:val="0"/>
                <w:bCs/>
                <w:color w:val="FF0000"/>
                <w:sz w:val="24"/>
                <w:szCs w:val="24"/>
                <w:highlight w:val="none"/>
                <w:lang w:val="en-US" w:eastAsia="zh-CN"/>
              </w:rPr>
              <w:t>06</w:t>
            </w:r>
            <w:r>
              <w:rPr>
                <w:rFonts w:hint="default" w:ascii="Times New Roman" w:hAnsi="Times New Roman" w:eastAsia="宋体" w:cs="Times New Roman"/>
                <w:b w:val="0"/>
                <w:bCs/>
                <w:color w:val="FF0000"/>
                <w:sz w:val="24"/>
                <w:szCs w:val="24"/>
                <w:highlight w:val="none"/>
                <w:lang w:val="en-US" w:eastAsia="zh-CN"/>
              </w:rPr>
              <w:t>月</w:t>
            </w:r>
            <w:r>
              <w:rPr>
                <w:rFonts w:hint="default" w:ascii="Times New Roman" w:hAnsi="Times New Roman" w:cs="Times New Roman"/>
                <w:b w:val="0"/>
                <w:bCs/>
                <w:color w:val="FF0000"/>
                <w:sz w:val="24"/>
                <w:szCs w:val="24"/>
                <w:highlight w:val="none"/>
                <w:lang w:val="en-US" w:eastAsia="zh-CN"/>
              </w:rPr>
              <w:t>14</w:t>
            </w:r>
            <w:r>
              <w:rPr>
                <w:rFonts w:hint="default" w:ascii="Times New Roman" w:hAnsi="Times New Roman" w:eastAsia="宋体" w:cs="Times New Roman"/>
                <w:b w:val="0"/>
                <w:bCs/>
                <w:color w:val="FF0000"/>
                <w:sz w:val="24"/>
                <w:szCs w:val="24"/>
                <w:highlight w:val="none"/>
                <w:lang w:val="en-US" w:eastAsia="zh-CN"/>
              </w:rPr>
              <w:t>日取得</w:t>
            </w:r>
            <w:r>
              <w:rPr>
                <w:rFonts w:hint="default" w:ascii="Times New Roman" w:hAnsi="Times New Roman" w:eastAsia="宋体" w:cs="Times New Roman"/>
                <w:color w:val="FF0000"/>
                <w:sz w:val="24"/>
                <w:szCs w:val="24"/>
                <w:highlight w:val="none"/>
                <w:lang w:val="en-US" w:eastAsia="zh-CN"/>
              </w:rPr>
              <w:t>芒市发展和改革局</w:t>
            </w:r>
            <w:r>
              <w:rPr>
                <w:rFonts w:hint="default" w:ascii="Times New Roman" w:hAnsi="Times New Roman" w:eastAsia="宋体" w:cs="Times New Roman"/>
                <w:b w:val="0"/>
                <w:bCs/>
                <w:color w:val="FF0000"/>
                <w:sz w:val="24"/>
                <w:szCs w:val="24"/>
                <w:highlight w:val="none"/>
                <w:lang w:val="en-US" w:eastAsia="zh-CN"/>
              </w:rPr>
              <w:t>关于项目的投资备案证，</w:t>
            </w:r>
            <w:r>
              <w:rPr>
                <w:rFonts w:hint="default" w:ascii="Times New Roman" w:hAnsi="Times New Roman" w:eastAsia="宋体" w:cs="Times New Roman"/>
                <w:b w:val="0"/>
                <w:bCs/>
                <w:color w:val="auto"/>
                <w:sz w:val="24"/>
                <w:szCs w:val="24"/>
                <w:highlight w:val="none"/>
                <w:lang w:val="en-US" w:eastAsia="zh-CN"/>
              </w:rPr>
              <w:t>项目代码：</w:t>
            </w:r>
            <w:r>
              <w:rPr>
                <w:rFonts w:hint="default" w:ascii="Times New Roman" w:hAnsi="Times New Roman" w:cs="Times New Roman"/>
                <w:color w:val="auto"/>
                <w:sz w:val="24"/>
                <w:szCs w:val="24"/>
                <w:highlight w:val="none"/>
                <w:lang w:val="en-US" w:eastAsia="zh-CN"/>
              </w:rPr>
              <w:t>2406-533103-04-01-794079</w:t>
            </w:r>
            <w:r>
              <w:rPr>
                <w:rFonts w:hint="default" w:ascii="Times New Roman" w:hAnsi="Times New Roman" w:eastAsia="宋体" w:cs="Times New Roman"/>
                <w:b w:val="0"/>
                <w:bCs/>
                <w:color w:val="auto"/>
                <w:sz w:val="24"/>
                <w:szCs w:val="24"/>
                <w:highlight w:val="none"/>
                <w:lang w:val="en-US" w:eastAsia="zh-CN"/>
              </w:rPr>
              <w:t>，因此本项目建设符合当地现行的产业政策的要求。</w:t>
            </w:r>
          </w:p>
          <w:p w14:paraId="560AFD67">
            <w:pPr>
              <w:numPr>
                <w:ilvl w:val="0"/>
                <w:numId w:val="2"/>
              </w:numPr>
              <w:spacing w:line="360" w:lineRule="auto"/>
              <w:ind w:left="0" w:leftChars="0" w:firstLine="482" w:firstLineChars="0"/>
              <w:rPr>
                <w:rFonts w:hint="default" w:ascii="Times New Roman" w:hAnsi="Times New Roman" w:eastAsia="宋体" w:cs="Times New Roman"/>
                <w:b/>
                <w:color w:val="auto"/>
                <w:sz w:val="24"/>
                <w:szCs w:val="24"/>
                <w:highlight w:val="none"/>
              </w:rPr>
            </w:pPr>
            <w:r>
              <w:rPr>
                <w:rFonts w:hint="default"/>
                <w:b/>
                <w:bCs/>
                <w:sz w:val="24"/>
                <w:szCs w:val="24"/>
              </w:rPr>
              <w:t xml:space="preserve"> </w:t>
            </w:r>
            <w:r>
              <w:rPr>
                <w:rFonts w:hint="eastAsia"/>
                <w:b/>
                <w:bCs/>
                <w:sz w:val="24"/>
                <w:szCs w:val="24"/>
                <w:lang w:eastAsia="zh-CN"/>
              </w:rPr>
              <w:t>与“</w:t>
            </w:r>
            <w:r>
              <w:rPr>
                <w:rFonts w:hint="default"/>
                <w:b/>
                <w:bCs/>
                <w:sz w:val="24"/>
                <w:szCs w:val="24"/>
                <w:lang w:val="en-US" w:eastAsia="zh-CN"/>
              </w:rPr>
              <w:t>德宏州生态环境管控总体要求”的符合性分析</w:t>
            </w:r>
          </w:p>
          <w:p w14:paraId="462C4A22">
            <w:pPr>
              <w:bidi w:val="0"/>
              <w:spacing w:line="360" w:lineRule="auto"/>
              <w:ind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该项目位于</w:t>
            </w:r>
            <w:r>
              <w:rPr>
                <w:rFonts w:hint="default" w:ascii="Times New Roman" w:hAnsi="Times New Roman" w:eastAsia="宋体" w:cs="Times New Roman"/>
                <w:sz w:val="24"/>
                <w:szCs w:val="24"/>
                <w:lang w:val="en-US" w:eastAsia="zh-CN"/>
              </w:rPr>
              <w:t>云南省德宏州芒市遮放农场晓阳社区居民委员会第七居民小组</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根据查询，</w:t>
            </w:r>
            <w:r>
              <w:rPr>
                <w:rFonts w:hint="default" w:ascii="Times New Roman" w:hAnsi="Times New Roman" w:eastAsia="宋体" w:cs="Times New Roman"/>
                <w:sz w:val="24"/>
                <w:szCs w:val="24"/>
              </w:rPr>
              <w:t>该区域属于综合管控单元的芒市大气环境弱扩散重点管控单元 ，单元编码为：ZH53310320003，属于重点管控单元</w:t>
            </w:r>
            <w:r>
              <w:rPr>
                <w:rFonts w:hint="eastAsia" w:cs="Times New Roman"/>
                <w:sz w:val="24"/>
                <w:szCs w:val="24"/>
                <w:lang w:eastAsia="zh-CN"/>
              </w:rPr>
              <w:t>，详见附件</w:t>
            </w:r>
            <w:r>
              <w:rPr>
                <w:rFonts w:hint="eastAsia" w:cs="Times New Roman"/>
                <w:sz w:val="24"/>
                <w:szCs w:val="24"/>
                <w:lang w:val="en-US" w:eastAsia="zh-CN"/>
              </w:rPr>
              <w:t>1</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本项目与“德宏州生态环境管控总体要求”的符合性分析详见表1-</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w:t>
            </w:r>
          </w:p>
          <w:p w14:paraId="1DCC6767">
            <w:pPr>
              <w:bidi w:val="0"/>
              <w:spacing w:line="360" w:lineRule="auto"/>
              <w:ind w:firstLine="482" w:firstLineChars="200"/>
              <w:jc w:val="center"/>
              <w:rPr>
                <w:rFonts w:hint="default" w:ascii="Times New Roman" w:hAnsi="Times New Roman" w:eastAsia="宋体" w:cs="Times New Roman"/>
                <w:sz w:val="24"/>
                <w:szCs w:val="24"/>
                <w:lang w:val="en-US" w:eastAsia="zh-CN"/>
              </w:rPr>
            </w:pPr>
            <w:r>
              <w:rPr>
                <w:rFonts w:hint="default"/>
                <w:b/>
                <w:bCs/>
                <w:sz w:val="24"/>
                <w:szCs w:val="24"/>
              </w:rPr>
              <w:t>表1-</w:t>
            </w:r>
            <w:r>
              <w:rPr>
                <w:rFonts w:hint="default"/>
                <w:b/>
                <w:bCs/>
                <w:sz w:val="24"/>
                <w:szCs w:val="24"/>
                <w:lang w:val="en-US" w:eastAsia="zh-CN"/>
              </w:rPr>
              <w:t>2</w:t>
            </w:r>
            <w:r>
              <w:rPr>
                <w:rFonts w:hint="default"/>
                <w:b/>
                <w:bCs/>
                <w:sz w:val="24"/>
                <w:szCs w:val="24"/>
              </w:rPr>
              <w:t xml:space="preserve">  </w:t>
            </w:r>
            <w:r>
              <w:rPr>
                <w:rFonts w:hint="eastAsia"/>
                <w:b/>
                <w:bCs/>
                <w:sz w:val="24"/>
                <w:szCs w:val="24"/>
                <w:lang w:eastAsia="zh-CN"/>
              </w:rPr>
              <w:t>与</w:t>
            </w:r>
            <w:r>
              <w:rPr>
                <w:rFonts w:hint="default"/>
                <w:b/>
                <w:bCs/>
                <w:sz w:val="24"/>
                <w:szCs w:val="24"/>
                <w:lang w:val="en-US" w:eastAsia="zh-CN"/>
              </w:rPr>
              <w:t>德宏州生态环境管控总体要求”的符合性分析</w:t>
            </w:r>
          </w:p>
          <w:tbl>
            <w:tblPr>
              <w:tblStyle w:val="24"/>
              <w:tblpPr w:leftFromText="180" w:rightFromText="180" w:vertAnchor="text" w:horzAnchor="page" w:tblpX="151" w:tblpY="442"/>
              <w:tblOverlap w:val="never"/>
              <w:tblW w:w="130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804"/>
              <w:gridCol w:w="6043"/>
              <w:gridCol w:w="4714"/>
              <w:gridCol w:w="784"/>
            </w:tblGrid>
            <w:tr w14:paraId="2DD3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dxa"/>
                  <w:vAlign w:val="top"/>
                </w:tcPr>
                <w:p w14:paraId="2A9414F9">
                  <w:pPr>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eastAsiaTheme="minorEastAsia"/>
                      <w:b/>
                      <w:color w:val="auto"/>
                      <w:sz w:val="21"/>
                      <w:szCs w:val="21"/>
                      <w:lang w:val="en-US" w:eastAsia="zh-CN"/>
                    </w:rPr>
                    <w:t>类别</w:t>
                  </w:r>
                </w:p>
              </w:tc>
              <w:tc>
                <w:tcPr>
                  <w:tcW w:w="6847" w:type="dxa"/>
                  <w:gridSpan w:val="2"/>
                  <w:vAlign w:val="top"/>
                </w:tcPr>
                <w:p w14:paraId="2731395C">
                  <w:pPr>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eastAsiaTheme="minorEastAsia"/>
                      <w:b/>
                      <w:color w:val="auto"/>
                      <w:sz w:val="21"/>
                      <w:szCs w:val="21"/>
                      <w:lang w:val="en-US" w:eastAsia="zh-CN"/>
                    </w:rPr>
                    <w:t>内容要求</w:t>
                  </w:r>
                </w:p>
              </w:tc>
              <w:tc>
                <w:tcPr>
                  <w:tcW w:w="4714" w:type="dxa"/>
                  <w:vAlign w:val="top"/>
                </w:tcPr>
                <w:p w14:paraId="47EC66C7">
                  <w:pPr>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eastAsiaTheme="minorEastAsia"/>
                      <w:b/>
                      <w:color w:val="auto"/>
                      <w:sz w:val="21"/>
                      <w:szCs w:val="21"/>
                      <w:lang w:val="en-US" w:eastAsia="zh-CN"/>
                    </w:rPr>
                    <w:t>项目情况</w:t>
                  </w:r>
                </w:p>
              </w:tc>
              <w:tc>
                <w:tcPr>
                  <w:tcW w:w="784" w:type="dxa"/>
                  <w:vAlign w:val="top"/>
                </w:tcPr>
                <w:p w14:paraId="11E5F782">
                  <w:pPr>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b/>
                      <w:color w:val="auto"/>
                      <w:sz w:val="21"/>
                      <w:szCs w:val="21"/>
                    </w:rPr>
                    <w:t>符合</w:t>
                  </w:r>
                  <w:r>
                    <w:rPr>
                      <w:rFonts w:hint="default" w:ascii="Times New Roman" w:hAnsi="Times New Roman" w:eastAsia="宋体" w:cs="Times New Roman"/>
                      <w:b/>
                      <w:color w:val="auto"/>
                      <w:sz w:val="21"/>
                      <w:szCs w:val="21"/>
                      <w:lang w:val="en-US" w:eastAsia="zh-CN"/>
                    </w:rPr>
                    <w:t>情况</w:t>
                  </w:r>
                </w:p>
              </w:tc>
            </w:tr>
            <w:tr w14:paraId="3F2ED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9" w:hRule="atLeast"/>
              </w:trPr>
              <w:tc>
                <w:tcPr>
                  <w:tcW w:w="745" w:type="dxa"/>
                  <w:vAlign w:val="top"/>
                </w:tcPr>
                <w:p w14:paraId="2F503B22">
                  <w:pPr>
                    <w:spacing w:line="240"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eastAsiaTheme="minorEastAsia"/>
                      <w:color w:val="auto"/>
                      <w:sz w:val="21"/>
                      <w:szCs w:val="21"/>
                      <w:lang w:val="en-US" w:eastAsia="zh-CN"/>
                    </w:rPr>
                    <w:t>生态保护红线和一般生态空间</w:t>
                  </w:r>
                </w:p>
              </w:tc>
              <w:tc>
                <w:tcPr>
                  <w:tcW w:w="6847" w:type="dxa"/>
                  <w:gridSpan w:val="2"/>
                  <w:vAlign w:val="top"/>
                </w:tcPr>
                <w:p w14:paraId="7120BC7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eastAsiaTheme="minorEastAsia"/>
                      <w:color w:val="auto"/>
                      <w:sz w:val="21"/>
                      <w:szCs w:val="21"/>
                    </w:rPr>
                    <w:t>生态保护红线执行《云南省人民政府关于发布云南省生态保护红线的通知》</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云政发〔2018〕32号</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要求，生态保护红线评估调整成果获批后，按照批准成果执行。将未划入生态保护红线的自然保护区、国家公园、森林公园、风景名胜区、湿地公园、重要湿地、集中式饮用水水源地等生态功能重要区域、生态环境敏感区域划入一般生态空间。</w:t>
                  </w:r>
                </w:p>
              </w:tc>
              <w:tc>
                <w:tcPr>
                  <w:tcW w:w="4714" w:type="dxa"/>
                  <w:vAlign w:val="top"/>
                </w:tcPr>
                <w:p w14:paraId="58D6EC1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eastAsiaTheme="minorEastAsia"/>
                      <w:color w:val="auto"/>
                      <w:sz w:val="21"/>
                      <w:szCs w:val="21"/>
                      <w:lang w:eastAsia="zh-CN"/>
                    </w:rPr>
                    <w:t>本项目是机制炭生产，项目位于云南省德宏州</w:t>
                  </w:r>
                  <w:r>
                    <w:rPr>
                      <w:rFonts w:hint="default" w:ascii="Times New Roman" w:hAnsi="Times New Roman" w:cs="Times New Roman" w:eastAsiaTheme="minorEastAsia"/>
                      <w:color w:val="auto"/>
                      <w:sz w:val="21"/>
                      <w:szCs w:val="21"/>
                      <w:highlight w:val="none"/>
                      <w:lang w:val="en-US" w:eastAsia="zh-CN"/>
                    </w:rPr>
                    <w:t>芒市遮放农场晓阳社区居民委员会第七居民小组</w:t>
                  </w:r>
                  <w:r>
                    <w:rPr>
                      <w:rFonts w:hint="eastAsia" w:cs="Times New Roman" w:eastAsiaTheme="minorEastAsia"/>
                      <w:color w:val="auto"/>
                      <w:sz w:val="21"/>
                      <w:szCs w:val="21"/>
                      <w:highlight w:val="none"/>
                      <w:lang w:val="en-US" w:eastAsia="zh-CN"/>
                    </w:rPr>
                    <w:t>，项目于2021年12月14日已取得土地使用证，土地性质为工业用地</w:t>
                  </w:r>
                  <w:r>
                    <w:rPr>
                      <w:rFonts w:hint="default" w:ascii="Times New Roman" w:hAnsi="Times New Roman" w:cs="Times New Roman" w:eastAsiaTheme="minorEastAsia"/>
                      <w:b w:val="0"/>
                      <w:bCs w:val="0"/>
                      <w:color w:val="000000"/>
                      <w:kern w:val="0"/>
                      <w:sz w:val="21"/>
                      <w:szCs w:val="21"/>
                      <w:lang w:val="en-US" w:eastAsia="zh-CN" w:bidi="ar"/>
                    </w:rPr>
                    <w:t>。</w:t>
                  </w:r>
                  <w:r>
                    <w:rPr>
                      <w:rFonts w:hint="eastAsia" w:cs="Times New Roman" w:eastAsiaTheme="minorEastAsia"/>
                      <w:b w:val="0"/>
                      <w:bCs w:val="0"/>
                      <w:color w:val="000000"/>
                      <w:kern w:val="0"/>
                      <w:sz w:val="21"/>
                      <w:szCs w:val="21"/>
                      <w:lang w:val="en-US" w:eastAsia="zh-CN" w:bidi="ar"/>
                    </w:rPr>
                    <w:t>不涉及生态保护红线及一般生态空间。</w:t>
                  </w:r>
                </w:p>
              </w:tc>
              <w:tc>
                <w:tcPr>
                  <w:tcW w:w="784" w:type="dxa"/>
                  <w:vAlign w:val="top"/>
                </w:tcPr>
                <w:p w14:paraId="39D5B81F">
                  <w:pPr>
                    <w:spacing w:line="240"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color w:val="auto"/>
                      <w:sz w:val="21"/>
                      <w:szCs w:val="21"/>
                      <w:lang w:val="en-US" w:eastAsia="zh-CN"/>
                    </w:rPr>
                    <w:t>符合</w:t>
                  </w:r>
                </w:p>
              </w:tc>
            </w:tr>
            <w:tr w14:paraId="1D69F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dxa"/>
                  <w:vMerge w:val="restart"/>
                  <w:vAlign w:val="top"/>
                </w:tcPr>
                <w:p w14:paraId="2F488BEA">
                  <w:pPr>
                    <w:spacing w:line="240"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eastAsiaTheme="minorEastAsia"/>
                      <w:color w:val="auto"/>
                      <w:sz w:val="21"/>
                      <w:szCs w:val="21"/>
                    </w:rPr>
                    <w:t>环境质量底线</w:t>
                  </w:r>
                </w:p>
              </w:tc>
              <w:tc>
                <w:tcPr>
                  <w:tcW w:w="804" w:type="dxa"/>
                  <w:vAlign w:val="top"/>
                </w:tcPr>
                <w:p w14:paraId="5307188B">
                  <w:pPr>
                    <w:spacing w:line="240"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eastAsiaTheme="minorEastAsia"/>
                      <w:color w:val="auto"/>
                      <w:sz w:val="21"/>
                      <w:szCs w:val="21"/>
                    </w:rPr>
                    <w:t>水环境质量底</w:t>
                  </w:r>
                  <w:r>
                    <w:rPr>
                      <w:rFonts w:hint="default" w:ascii="Times New Roman" w:hAnsi="Times New Roman" w:cs="Times New Roman" w:eastAsiaTheme="minorEastAsia"/>
                      <w:color w:val="auto"/>
                      <w:sz w:val="21"/>
                      <w:szCs w:val="21"/>
                      <w:lang w:val="en-US" w:eastAsia="zh-CN"/>
                    </w:rPr>
                    <w:t>线</w:t>
                  </w:r>
                </w:p>
              </w:tc>
              <w:tc>
                <w:tcPr>
                  <w:tcW w:w="6043" w:type="dxa"/>
                  <w:vAlign w:val="top"/>
                </w:tcPr>
                <w:p w14:paraId="4CE795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eastAsiaTheme="minorEastAsia"/>
                      <w:color w:val="auto"/>
                      <w:sz w:val="21"/>
                      <w:szCs w:val="21"/>
                    </w:rPr>
                    <w:t>到2025年，全州水环境质量总体优良，9个河流地表水断面中优良水体断面（达到或优于Ⅲ类）比例稳定达到100%，“十四五”新增监测断面水质达标率100%，水生生态系统功能进一步提升，县市及以上集中式饮用水水源水质巩固改善。到2035年，全州水环境质量持续优良，水生生态系统全面提升，实现“人水和谐”。</w:t>
                  </w:r>
                </w:p>
              </w:tc>
              <w:tc>
                <w:tcPr>
                  <w:tcW w:w="4714" w:type="dxa"/>
                  <w:vAlign w:val="top"/>
                </w:tcPr>
                <w:p w14:paraId="707106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eastAsiaTheme="minorEastAsia"/>
                      <w:sz w:val="21"/>
                      <w:szCs w:val="21"/>
                    </w:rPr>
                    <w:t>根据《202</w:t>
                  </w:r>
                  <w:r>
                    <w:rPr>
                      <w:rFonts w:hint="default" w:ascii="Times New Roman" w:hAnsi="Times New Roman" w:cs="Times New Roman" w:eastAsiaTheme="minorEastAsia"/>
                      <w:sz w:val="21"/>
                      <w:szCs w:val="21"/>
                      <w:lang w:val="en-US" w:eastAsia="zh-CN"/>
                    </w:rPr>
                    <w:t>3</w:t>
                  </w:r>
                  <w:r>
                    <w:rPr>
                      <w:rFonts w:hint="default" w:ascii="Times New Roman" w:hAnsi="Times New Roman" w:cs="Times New Roman" w:eastAsiaTheme="minorEastAsia"/>
                      <w:sz w:val="21"/>
                      <w:szCs w:val="21"/>
                    </w:rPr>
                    <w:t>年德宏州生态环境状况公报》，项目所在区域地表水（</w:t>
                  </w:r>
                  <w:r>
                    <w:rPr>
                      <w:rFonts w:hint="default" w:ascii="Times New Roman" w:hAnsi="Times New Roman" w:cs="Times New Roman" w:eastAsiaTheme="minorEastAsia"/>
                      <w:sz w:val="21"/>
                      <w:szCs w:val="21"/>
                      <w:lang w:eastAsia="zh-CN"/>
                    </w:rPr>
                    <w:t>芒市大河</w:t>
                  </w:r>
                  <w:r>
                    <w:rPr>
                      <w:rFonts w:hint="default" w:ascii="Times New Roman" w:hAnsi="Times New Roman" w:cs="Times New Roman" w:eastAsiaTheme="minorEastAsia"/>
                      <w:sz w:val="21"/>
                      <w:szCs w:val="21"/>
                    </w:rPr>
                    <w:t>）现状可满足Ш类水质要求；生活污水经隔油池、三级化粪池处理后，用于周边果园、农田林地</w:t>
                  </w:r>
                  <w:r>
                    <w:rPr>
                      <w:rFonts w:hint="eastAsia" w:cs="Times New Roman" w:eastAsiaTheme="minorEastAsia"/>
                      <w:sz w:val="21"/>
                      <w:szCs w:val="21"/>
                      <w:lang w:val="en-US" w:eastAsia="zh-CN"/>
                    </w:rPr>
                    <w:t>做农肥，不外排；</w:t>
                  </w:r>
                  <w:r>
                    <w:rPr>
                      <w:rFonts w:hint="default" w:ascii="Times New Roman" w:hAnsi="Times New Roman" w:cs="Times New Roman" w:eastAsiaTheme="minorEastAsia"/>
                      <w:sz w:val="21"/>
                      <w:szCs w:val="21"/>
                    </w:rPr>
                    <w:t>不会对地表水环境质量造成影响。</w:t>
                  </w:r>
                </w:p>
              </w:tc>
              <w:tc>
                <w:tcPr>
                  <w:tcW w:w="784" w:type="dxa"/>
                  <w:vAlign w:val="top"/>
                </w:tcPr>
                <w:p w14:paraId="630D3B02">
                  <w:pPr>
                    <w:spacing w:line="240" w:lineRule="auto"/>
                    <w:ind w:right="105" w:rightChars="50"/>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color w:val="auto"/>
                      <w:sz w:val="21"/>
                      <w:szCs w:val="21"/>
                      <w:lang w:val="en-US" w:eastAsia="zh-CN"/>
                    </w:rPr>
                    <w:t>符合</w:t>
                  </w:r>
                </w:p>
              </w:tc>
            </w:tr>
            <w:tr w14:paraId="4683A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dxa"/>
                  <w:vMerge w:val="continue"/>
                  <w:vAlign w:val="top"/>
                </w:tcPr>
                <w:p w14:paraId="4C9B33F9">
                  <w:pPr>
                    <w:spacing w:line="240" w:lineRule="auto"/>
                    <w:ind w:right="105" w:rightChars="50"/>
                    <w:jc w:val="both"/>
                    <w:rPr>
                      <w:rFonts w:hint="default" w:ascii="Times New Roman" w:hAnsi="Times New Roman" w:eastAsia="宋体" w:cs="Times New Roman"/>
                      <w:sz w:val="24"/>
                      <w:szCs w:val="24"/>
                      <w:vertAlign w:val="baseline"/>
                      <w:lang w:val="en-US" w:eastAsia="zh-CN"/>
                    </w:rPr>
                  </w:pPr>
                </w:p>
              </w:tc>
              <w:tc>
                <w:tcPr>
                  <w:tcW w:w="804" w:type="dxa"/>
                  <w:vAlign w:val="top"/>
                </w:tcPr>
                <w:p w14:paraId="55639CB2">
                  <w:pPr>
                    <w:spacing w:line="240" w:lineRule="auto"/>
                    <w:ind w:right="105" w:rightChars="50"/>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eastAsiaTheme="minorEastAsia"/>
                      <w:color w:val="auto"/>
                      <w:sz w:val="21"/>
                      <w:szCs w:val="21"/>
                    </w:rPr>
                    <w:t>大气环境质量底线</w:t>
                  </w:r>
                </w:p>
              </w:tc>
              <w:tc>
                <w:tcPr>
                  <w:tcW w:w="6043" w:type="dxa"/>
                  <w:vAlign w:val="top"/>
                </w:tcPr>
                <w:p w14:paraId="393FFD6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eastAsiaTheme="minorEastAsia"/>
                      <w:color w:val="auto"/>
                      <w:sz w:val="21"/>
                      <w:szCs w:val="21"/>
                      <w:lang w:val="en-US" w:eastAsia="zh-CN"/>
                    </w:rPr>
                    <w:t>到2025年，全州空气质量优良率达到省级要求，中心城市环境空气质量稳定达到国家二级标准。2035年，全州空气质量优良率保持稳定，中心城市、各县市城市环境空气质量稳定达到国家二级标准。</w:t>
                  </w:r>
                </w:p>
              </w:tc>
              <w:tc>
                <w:tcPr>
                  <w:tcW w:w="4714" w:type="dxa"/>
                  <w:vAlign w:val="top"/>
                </w:tcPr>
                <w:p w14:paraId="3667DA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eastAsiaTheme="minorEastAsia"/>
                      <w:sz w:val="21"/>
                      <w:szCs w:val="21"/>
                    </w:rPr>
                    <w:t>根据《202</w:t>
                  </w:r>
                  <w:r>
                    <w:rPr>
                      <w:rFonts w:hint="default" w:ascii="Times New Roman" w:hAnsi="Times New Roman" w:cs="Times New Roman" w:eastAsiaTheme="minorEastAsia"/>
                      <w:sz w:val="21"/>
                      <w:szCs w:val="21"/>
                      <w:lang w:val="en-US" w:eastAsia="zh-CN"/>
                    </w:rPr>
                    <w:t>3</w:t>
                  </w:r>
                  <w:r>
                    <w:rPr>
                      <w:rFonts w:hint="default" w:ascii="Times New Roman" w:hAnsi="Times New Roman" w:cs="Times New Roman" w:eastAsiaTheme="minorEastAsia"/>
                      <w:sz w:val="21"/>
                      <w:szCs w:val="21"/>
                    </w:rPr>
                    <w:t>年德宏州生态环境状况公报》</w:t>
                  </w:r>
                  <w:r>
                    <w:rPr>
                      <w:rFonts w:hint="default" w:ascii="Times New Roman" w:hAnsi="Times New Roman" w:cs="Times New Roman" w:eastAsiaTheme="minorEastAsia"/>
                      <w:sz w:val="21"/>
                      <w:szCs w:val="21"/>
                      <w:highlight w:val="none"/>
                      <w:lang w:eastAsia="zh-CN"/>
                    </w:rPr>
                    <w:t>，</w:t>
                  </w:r>
                  <w:r>
                    <w:rPr>
                      <w:rFonts w:hint="eastAsia" w:cs="Times New Roman" w:eastAsiaTheme="minorEastAsia"/>
                      <w:sz w:val="21"/>
                      <w:szCs w:val="21"/>
                      <w:highlight w:val="none"/>
                      <w:lang w:eastAsia="zh-CN"/>
                    </w:rPr>
                    <w:t>芒</w:t>
                  </w:r>
                  <w:r>
                    <w:rPr>
                      <w:rFonts w:hint="default" w:ascii="Times New Roman" w:hAnsi="Times New Roman" w:cs="Times New Roman" w:eastAsiaTheme="minorEastAsia"/>
                      <w:sz w:val="21"/>
                      <w:szCs w:val="21"/>
                      <w:highlight w:val="none"/>
                    </w:rPr>
                    <w:t>市6项污染物年均值及相应</w:t>
                  </w:r>
                  <w:r>
                    <w:rPr>
                      <w:rFonts w:hint="default" w:ascii="Times New Roman" w:hAnsi="Times New Roman" w:cs="Times New Roman" w:eastAsiaTheme="minorEastAsia"/>
                      <w:sz w:val="21"/>
                      <w:szCs w:val="21"/>
                    </w:rPr>
                    <w:t>百分位数平均值均达到或优于《环境空气质量标准》（GB3095-2012）二级标准要求。项目所在地环境空气质量能达到国家二级标准。项目建成后，废气污染物主要为烟尘、二氧化硫、氮氧化物，采取相应的废气治理措施，可做到达标排放，不会影响所在区域的大气环境质量。</w:t>
                  </w:r>
                </w:p>
              </w:tc>
              <w:tc>
                <w:tcPr>
                  <w:tcW w:w="784" w:type="dxa"/>
                  <w:vAlign w:val="top"/>
                </w:tcPr>
                <w:p w14:paraId="622EA98C">
                  <w:pPr>
                    <w:spacing w:line="240" w:lineRule="auto"/>
                    <w:ind w:right="105" w:rightChars="50"/>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color w:val="auto"/>
                      <w:sz w:val="21"/>
                      <w:szCs w:val="21"/>
                      <w:lang w:val="en-US" w:eastAsia="zh-CN"/>
                    </w:rPr>
                    <w:t>符合</w:t>
                  </w:r>
                </w:p>
              </w:tc>
            </w:tr>
            <w:tr w14:paraId="564B7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dxa"/>
                  <w:vMerge w:val="continue"/>
                  <w:vAlign w:val="top"/>
                </w:tcPr>
                <w:p w14:paraId="58D1BFFF">
                  <w:pPr>
                    <w:spacing w:line="240" w:lineRule="auto"/>
                    <w:ind w:right="105" w:rightChars="50"/>
                    <w:jc w:val="both"/>
                    <w:rPr>
                      <w:rFonts w:hint="default" w:ascii="Times New Roman" w:hAnsi="Times New Roman" w:eastAsia="宋体" w:cs="Times New Roman"/>
                      <w:sz w:val="24"/>
                      <w:szCs w:val="24"/>
                      <w:vertAlign w:val="baseline"/>
                      <w:lang w:val="en-US" w:eastAsia="zh-CN"/>
                    </w:rPr>
                  </w:pPr>
                </w:p>
              </w:tc>
              <w:tc>
                <w:tcPr>
                  <w:tcW w:w="804" w:type="dxa"/>
                  <w:vAlign w:val="top"/>
                </w:tcPr>
                <w:p w14:paraId="28E8B7D3">
                  <w:pPr>
                    <w:spacing w:line="240" w:lineRule="auto"/>
                    <w:ind w:right="105" w:rightChars="50"/>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eastAsiaTheme="minorEastAsia"/>
                      <w:color w:val="auto"/>
                      <w:sz w:val="21"/>
                      <w:szCs w:val="21"/>
                    </w:rPr>
                    <w:t>土壤环境风险防控底线</w:t>
                  </w:r>
                </w:p>
              </w:tc>
              <w:tc>
                <w:tcPr>
                  <w:tcW w:w="6043" w:type="dxa"/>
                  <w:vAlign w:val="top"/>
                </w:tcPr>
                <w:p w14:paraId="7928F32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eastAsiaTheme="minorEastAsia"/>
                      <w:color w:val="auto"/>
                      <w:sz w:val="21"/>
                      <w:szCs w:val="21"/>
                      <w:lang w:val="en-US" w:eastAsia="zh-CN"/>
                    </w:rPr>
                    <w:t>到2025年，全州土壤环境质量保持优异，土壤环境风险管控水平不断提升，受污染耕地安全利用率达到85%以上，受污染建设用地地块安全利用率达到95%以上。2035年，全州土壤环境风险防范体系全面建立，农用地和建设用地土壤环境安全得到有效保障，土壤环境风险得到全面管控。</w:t>
                  </w:r>
                </w:p>
              </w:tc>
              <w:tc>
                <w:tcPr>
                  <w:tcW w:w="4714" w:type="dxa"/>
                  <w:vAlign w:val="top"/>
                </w:tcPr>
                <w:p w14:paraId="6D894E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eastAsiaTheme="minorEastAsia"/>
                      <w:sz w:val="21"/>
                      <w:szCs w:val="21"/>
                    </w:rPr>
                    <w:t>本项目隔油池、三级化粪池等按照相关规范要求做好池体的防漏、防渗措施；定期检查消除污染隐患，发现有污染物泄漏或渗漏，及时修补，可避免对土壤环境造成影响。</w:t>
                  </w:r>
                </w:p>
              </w:tc>
              <w:tc>
                <w:tcPr>
                  <w:tcW w:w="784" w:type="dxa"/>
                  <w:vAlign w:val="top"/>
                </w:tcPr>
                <w:p w14:paraId="4330162C">
                  <w:pPr>
                    <w:spacing w:line="240" w:lineRule="auto"/>
                    <w:ind w:right="105" w:rightChars="50"/>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color w:val="auto"/>
                      <w:sz w:val="21"/>
                      <w:szCs w:val="21"/>
                      <w:lang w:val="en-US" w:eastAsia="zh-CN"/>
                    </w:rPr>
                    <w:t>符合</w:t>
                  </w:r>
                </w:p>
              </w:tc>
            </w:tr>
            <w:tr w14:paraId="59B2B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dxa"/>
                  <w:vAlign w:val="top"/>
                </w:tcPr>
                <w:p w14:paraId="76917516">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both"/>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eastAsiaTheme="minorEastAsia"/>
                      <w:color w:val="auto"/>
                      <w:sz w:val="21"/>
                      <w:szCs w:val="21"/>
                      <w:highlight w:val="none"/>
                    </w:rPr>
                    <w:t>资源利用上线</w:t>
                  </w:r>
                </w:p>
              </w:tc>
              <w:tc>
                <w:tcPr>
                  <w:tcW w:w="6847" w:type="dxa"/>
                  <w:gridSpan w:val="2"/>
                  <w:vAlign w:val="top"/>
                </w:tcPr>
                <w:p w14:paraId="19AB41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eastAsiaTheme="minorEastAsia"/>
                      <w:color w:val="auto"/>
                      <w:sz w:val="21"/>
                      <w:szCs w:val="21"/>
                      <w:highlight w:val="none"/>
                    </w:rPr>
                    <w:t>强化节约集约利用，持续提升资源能源利用效率，水资源、土地资源、能源消耗等达到云南省下达的总量和强度控制目标。</w:t>
                  </w:r>
                </w:p>
              </w:tc>
              <w:tc>
                <w:tcPr>
                  <w:tcW w:w="4714" w:type="dxa"/>
                  <w:vAlign w:val="top"/>
                </w:tcPr>
                <w:p w14:paraId="5358740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eastAsiaTheme="minorEastAsia"/>
                      <w:b w:val="0"/>
                      <w:sz w:val="21"/>
                      <w:szCs w:val="21"/>
                    </w:rPr>
                    <w:t>本项目不属于高耗水企业，用水量不触及资源利用上线，符合资源利用上线要求。项目占地面积</w:t>
                  </w:r>
                  <w:r>
                    <w:rPr>
                      <w:rFonts w:hint="default" w:ascii="Times New Roman" w:hAnsi="Times New Roman" w:cs="Times New Roman" w:eastAsiaTheme="minorEastAsia"/>
                      <w:b w:val="0"/>
                      <w:sz w:val="21"/>
                      <w:szCs w:val="21"/>
                      <w:lang w:val="en-US" w:eastAsia="zh-CN"/>
                    </w:rPr>
                    <w:t>3893</w:t>
                  </w:r>
                  <w:r>
                    <w:rPr>
                      <w:rFonts w:hint="default" w:ascii="Times New Roman" w:hAnsi="Times New Roman" w:cs="Times New Roman" w:eastAsiaTheme="minorEastAsia"/>
                      <w:b w:val="0"/>
                      <w:sz w:val="21"/>
                      <w:szCs w:val="21"/>
                    </w:rPr>
                    <w:t>m</w:t>
                  </w:r>
                  <w:r>
                    <w:rPr>
                      <w:rFonts w:hint="default" w:ascii="Times New Roman" w:hAnsi="Times New Roman" w:cs="Times New Roman" w:eastAsiaTheme="minorEastAsia"/>
                      <w:b w:val="0"/>
                      <w:sz w:val="21"/>
                      <w:szCs w:val="21"/>
                      <w:vertAlign w:val="superscript"/>
                    </w:rPr>
                    <w:t>2</w:t>
                  </w:r>
                  <w:r>
                    <w:rPr>
                      <w:rFonts w:hint="default" w:ascii="Times New Roman" w:hAnsi="Times New Roman" w:cs="Times New Roman" w:eastAsiaTheme="minorEastAsia"/>
                      <w:b w:val="0"/>
                      <w:sz w:val="21"/>
                      <w:szCs w:val="21"/>
                    </w:rPr>
                    <w:t>，用地性质为工业用地，不使用燃煤等高能耗资源；符合总量控制等相关要求。</w:t>
                  </w:r>
                </w:p>
              </w:tc>
              <w:tc>
                <w:tcPr>
                  <w:tcW w:w="784" w:type="dxa"/>
                  <w:vAlign w:val="top"/>
                </w:tcPr>
                <w:p w14:paraId="73505E74">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both"/>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62A6E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dxa"/>
                  <w:vMerge w:val="restart"/>
                  <w:vAlign w:val="top"/>
                </w:tcPr>
                <w:p w14:paraId="2EFFD5DA">
                  <w:pPr>
                    <w:spacing w:line="240" w:lineRule="auto"/>
                    <w:jc w:val="both"/>
                    <w:rPr>
                      <w:rFonts w:hint="default" w:ascii="Times New Roman" w:hAnsi="Times New Roman" w:eastAsia="宋体" w:cs="Times New Roman"/>
                      <w:sz w:val="24"/>
                      <w:szCs w:val="24"/>
                      <w:vertAlign w:val="baseline"/>
                      <w:lang w:val="en-US" w:eastAsia="zh-CN"/>
                    </w:rPr>
                  </w:pPr>
                  <w:r>
                    <w:rPr>
                      <w:rFonts w:hint="eastAsia" w:ascii="宋体" w:hAnsi="宋体" w:cs="宋体"/>
                      <w:sz w:val="21"/>
                      <w:szCs w:val="21"/>
                    </w:rPr>
                    <w:t>德宏州生态环境管控总体要求</w:t>
                  </w:r>
                </w:p>
              </w:tc>
              <w:tc>
                <w:tcPr>
                  <w:tcW w:w="804" w:type="dxa"/>
                  <w:vAlign w:val="top"/>
                </w:tcPr>
                <w:p w14:paraId="6BCB28AF">
                  <w:pPr>
                    <w:spacing w:line="240"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eastAsiaTheme="minorEastAsia"/>
                      <w:color w:val="auto"/>
                      <w:sz w:val="21"/>
                      <w:szCs w:val="21"/>
                    </w:rPr>
                    <w:t>空间布局约束</w:t>
                  </w:r>
                </w:p>
              </w:tc>
              <w:tc>
                <w:tcPr>
                  <w:tcW w:w="6043" w:type="dxa"/>
                  <w:vAlign w:val="top"/>
                </w:tcPr>
                <w:p w14:paraId="6C5A7F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1.新建、扩建产业项目符合《产业结构调整指导目录（2024 年版）》、《市场准入负面清单（2022 年版）》、《产业发展与转移指导目录》、《禁止用地项目目录》、《限制用地项目目录》等准入文件要求。</w:t>
                  </w:r>
                </w:p>
                <w:p w14:paraId="5C06D21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2.严格控制在生态脆弱或环境敏感地区中建设《环境保护综合名录》 “高污染、高环境风险”行业项目。</w:t>
                  </w:r>
                </w:p>
                <w:p w14:paraId="5CDA065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坚决遏制高耗能、高排放、低水平项目盲目发展，高耗能、高排放项目审批要严格落实国家产业规划、产业政策、环评审批、取水许可审批、节能审查等要求，采取先进适用的工艺技术和装备，提升高耗能项目能耗准入标准，能耗、物耗、水耗要达到清洁生产先进水平。</w:t>
                  </w:r>
                </w:p>
                <w:p w14:paraId="214F871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4.严管严控新增工业硅产能，2017 年 12 月 1 日后立项备案的新（改、扩）建工业硅项目，一律实施产能减量置换。出让产能指标和建设项目产能均按照实际装置折算产能确定，装置产能折算标准为：装置产能（吨）=装置功率（千伏安）×0.9×6480（小时）×12000（千瓦时/吨）。</w:t>
                  </w:r>
                </w:p>
                <w:p w14:paraId="401196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对工业硅行业，全面淘汰工艺技术装备落后产能，依法依规关停布局不合理、资源能源消耗高、环保措施不到位、污染物排放连续不达标、安全质量不达标的企业，由各县市人民政府依据相关的法规、政策依法实施关停淘汰。</w:t>
                  </w:r>
                </w:p>
                <w:p w14:paraId="6C9973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color w:val="auto"/>
                      <w:sz w:val="21"/>
                      <w:szCs w:val="21"/>
                    </w:rPr>
                    <w:t>6.严格控制大盈江、瑞丽江等重点流域沿岸的石油加工、化学原料和化学制品制造、医药制造、化学纤维制造、有色金属冶炼、纺织印染等项目。</w:t>
                  </w:r>
                </w:p>
              </w:tc>
              <w:tc>
                <w:tcPr>
                  <w:tcW w:w="4714" w:type="dxa"/>
                  <w:vAlign w:val="top"/>
                </w:tcPr>
                <w:p w14:paraId="54B73C9A">
                  <w:pPr>
                    <w:spacing w:before="31" w:line="215" w:lineRule="auto"/>
                    <w:ind w:left="0" w:leftChars="0" w:firstLine="0" w:firstLineChars="0"/>
                    <w:jc w:val="both"/>
                    <w:rPr>
                      <w:rFonts w:hint="eastAsia" w:ascii="Times New Roman" w:hAnsi="Times New Roman" w:eastAsia="宋体" w:cs="Times New Roman"/>
                      <w:bCs w:val="0"/>
                      <w:color w:val="000000"/>
                      <w:spacing w:val="-6"/>
                      <w:kern w:val="2"/>
                      <w:sz w:val="21"/>
                      <w:szCs w:val="21"/>
                      <w:lang w:val="en-US" w:eastAsia="zh-CN" w:bidi="ar-SA"/>
                    </w:rPr>
                  </w:pPr>
                  <w:r>
                    <w:rPr>
                      <w:rFonts w:hint="eastAsia" w:ascii="Times New Roman" w:hAnsi="Times New Roman" w:eastAsia="宋体" w:cs="Times New Roman"/>
                      <w:bCs w:val="0"/>
                      <w:color w:val="FF0000"/>
                      <w:spacing w:val="-6"/>
                      <w:kern w:val="2"/>
                      <w:sz w:val="21"/>
                      <w:szCs w:val="21"/>
                      <w:lang w:val="en-US" w:eastAsia="zh-CN" w:bidi="ar-SA"/>
                    </w:rPr>
                    <w:t>1.本项目利用木屑、刨花及破碎后的作物废弃物为原料生产机制炭，不在鼓励类、 限制类、淘汰类行业属于允许类项目，</w:t>
                  </w:r>
                  <w:r>
                    <w:rPr>
                      <w:rFonts w:hint="eastAsia" w:ascii="Times New Roman" w:hAnsi="Times New Roman" w:eastAsia="宋体" w:cs="Times New Roman"/>
                      <w:bCs w:val="0"/>
                      <w:color w:val="000000"/>
                      <w:spacing w:val="-6"/>
                      <w:kern w:val="2"/>
                      <w:sz w:val="21"/>
                      <w:szCs w:val="21"/>
                      <w:lang w:val="en-US" w:eastAsia="zh-CN" w:bidi="ar-SA"/>
                    </w:rPr>
                    <w:t>不属于产能严重过剩行业的增加产能项目，项目</w:t>
                  </w:r>
                  <w:r>
                    <w:rPr>
                      <w:rFonts w:hint="eastAsia" w:cs="Times New Roman"/>
                      <w:bCs w:val="0"/>
                      <w:color w:val="000000"/>
                      <w:spacing w:val="-6"/>
                      <w:kern w:val="2"/>
                      <w:sz w:val="21"/>
                      <w:szCs w:val="21"/>
                      <w:lang w:val="en-US" w:eastAsia="zh-CN" w:bidi="ar-SA"/>
                    </w:rPr>
                    <w:t>不涉及</w:t>
                  </w:r>
                  <w:r>
                    <w:rPr>
                      <w:rFonts w:hint="eastAsia" w:ascii="Times New Roman" w:hAnsi="Times New Roman" w:eastAsia="宋体" w:cs="Times New Roman"/>
                      <w:bCs w:val="0"/>
                      <w:color w:val="000000"/>
                      <w:spacing w:val="-6"/>
                      <w:kern w:val="2"/>
                      <w:sz w:val="21"/>
                      <w:szCs w:val="21"/>
                      <w:lang w:val="en-US" w:eastAsia="zh-CN" w:bidi="ar-SA"/>
                    </w:rPr>
                    <w:t>环境污染大、资源消耗高、技术落后的生产工艺及设备。</w:t>
                  </w:r>
                </w:p>
                <w:p w14:paraId="2A186FAB">
                  <w:pPr>
                    <w:spacing w:before="31" w:line="215" w:lineRule="auto"/>
                    <w:ind w:left="0" w:leftChars="0" w:firstLine="0" w:firstLineChars="0"/>
                    <w:jc w:val="both"/>
                    <w:rPr>
                      <w:rFonts w:hint="eastAsia" w:ascii="Times New Roman" w:hAnsi="Times New Roman" w:eastAsia="宋体" w:cs="Times New Roman"/>
                      <w:bCs w:val="0"/>
                      <w:color w:val="000000"/>
                      <w:spacing w:val="-6"/>
                      <w:kern w:val="2"/>
                      <w:sz w:val="21"/>
                      <w:szCs w:val="21"/>
                      <w:lang w:val="en-US" w:eastAsia="zh-CN" w:bidi="ar-SA"/>
                    </w:rPr>
                  </w:pPr>
                  <w:r>
                    <w:rPr>
                      <w:rFonts w:hint="eastAsia" w:ascii="Times New Roman" w:hAnsi="Times New Roman" w:eastAsia="宋体" w:cs="Times New Roman"/>
                      <w:bCs w:val="0"/>
                      <w:color w:val="000000"/>
                      <w:spacing w:val="-6"/>
                      <w:kern w:val="2"/>
                      <w:sz w:val="21"/>
                      <w:szCs w:val="21"/>
                      <w:lang w:val="en-US" w:eastAsia="zh-CN" w:bidi="ar-SA"/>
                    </w:rPr>
                    <w:t>2.本项目不属于新增工业硅产能项目。</w:t>
                  </w:r>
                </w:p>
                <w:p w14:paraId="75F05D64">
                  <w:pPr>
                    <w:spacing w:before="31" w:line="215" w:lineRule="auto"/>
                    <w:ind w:left="0" w:leftChars="0" w:firstLine="0" w:firstLineChars="0"/>
                    <w:jc w:val="both"/>
                    <w:rPr>
                      <w:rFonts w:hint="eastAsia" w:ascii="Times New Roman" w:hAnsi="Times New Roman" w:eastAsia="宋体" w:cs="Times New Roman"/>
                      <w:bCs w:val="0"/>
                      <w:color w:val="000000"/>
                      <w:spacing w:val="-6"/>
                      <w:kern w:val="2"/>
                      <w:sz w:val="21"/>
                      <w:szCs w:val="21"/>
                      <w:lang w:val="en-US" w:eastAsia="zh-CN" w:bidi="ar-SA"/>
                    </w:rPr>
                  </w:pPr>
                  <w:r>
                    <w:rPr>
                      <w:rFonts w:hint="eastAsia" w:ascii="Times New Roman" w:hAnsi="Times New Roman" w:eastAsia="宋体" w:cs="Times New Roman"/>
                      <w:bCs w:val="0"/>
                      <w:color w:val="000000"/>
                      <w:spacing w:val="-6"/>
                      <w:kern w:val="2"/>
                      <w:sz w:val="21"/>
                      <w:szCs w:val="21"/>
                      <w:lang w:val="en-US" w:eastAsia="zh-CN" w:bidi="ar-SA"/>
                    </w:rPr>
                    <w:t>3.本项目不涉及工业硅行业。</w:t>
                  </w:r>
                </w:p>
                <w:p w14:paraId="7EF2E6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bCs w:val="0"/>
                      <w:color w:val="000000"/>
                      <w:spacing w:val="-6"/>
                      <w:kern w:val="2"/>
                      <w:sz w:val="21"/>
                      <w:szCs w:val="21"/>
                      <w:lang w:val="en-US" w:eastAsia="zh-CN" w:bidi="ar-SA"/>
                    </w:rPr>
                    <w:t>4.本项目不属于石油加工、化学原料和化学制品制造、医药制造、化学纤维制造、有色金属冶炼、纺织印染等项目。</w:t>
                  </w:r>
                </w:p>
              </w:tc>
              <w:tc>
                <w:tcPr>
                  <w:tcW w:w="784" w:type="dxa"/>
                  <w:vAlign w:val="top"/>
                </w:tcPr>
                <w:p w14:paraId="4359D238">
                  <w:pPr>
                    <w:spacing w:line="240"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1F32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dxa"/>
                  <w:vMerge w:val="continue"/>
                  <w:vAlign w:val="top"/>
                </w:tcPr>
                <w:p w14:paraId="56D85DAC">
                  <w:pPr>
                    <w:spacing w:line="240" w:lineRule="auto"/>
                    <w:jc w:val="both"/>
                    <w:rPr>
                      <w:rFonts w:hint="default" w:ascii="Times New Roman" w:hAnsi="Times New Roman" w:eastAsia="宋体" w:cs="Times New Roman"/>
                      <w:sz w:val="24"/>
                      <w:szCs w:val="24"/>
                      <w:vertAlign w:val="baseline"/>
                      <w:lang w:val="en-US" w:eastAsia="zh-CN"/>
                    </w:rPr>
                  </w:pPr>
                </w:p>
              </w:tc>
              <w:tc>
                <w:tcPr>
                  <w:tcW w:w="804" w:type="dxa"/>
                  <w:vAlign w:val="top"/>
                </w:tcPr>
                <w:p w14:paraId="6581CB83">
                  <w:pPr>
                    <w:spacing w:line="240"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eastAsiaTheme="minorEastAsia"/>
                      <w:color w:val="auto"/>
                      <w:sz w:val="21"/>
                      <w:szCs w:val="21"/>
                    </w:rPr>
                    <w:t>污染物排放管控</w:t>
                  </w:r>
                </w:p>
              </w:tc>
              <w:tc>
                <w:tcPr>
                  <w:tcW w:w="6043" w:type="dxa"/>
                  <w:vAlign w:val="top"/>
                </w:tcPr>
                <w:p w14:paraId="47FD43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1.到 2025 年，国家、省控断面地表水达到或好于Ⅲ类水体比例达 100%，地表水劣Ⅴ类水体比例为零。</w:t>
                  </w:r>
                </w:p>
                <w:p w14:paraId="55A2A4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2.到 2025 年，全州化学需氧量、氨氮、氮氧化物、挥发性有机物等主要污染物重点工程减排量分别为 1866 吨、102吨、390 吨、280 吨。</w:t>
                  </w:r>
                </w:p>
                <w:p w14:paraId="4326A0D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3.深入推进芒市大河、陇川南宛河断面综合治理，开展城镇截污治污、农业面源污染治理、入河排污口整治、工业园区污水整治等专项行动。</w:t>
                  </w:r>
                </w:p>
                <w:p w14:paraId="57A781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4.严格保护城乡饮用水水源地，整治饮用水水源保护区内的污染源，确保饮水安全。</w:t>
                  </w:r>
                </w:p>
                <w:p w14:paraId="1EF3F6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5.持续开展入河排污口“查、测、溯、治”，摸清重点流域排污口现状，对各县市建成区排污口进行清理整治。</w:t>
                  </w:r>
                </w:p>
                <w:p w14:paraId="223494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6.加大现有开发区整治力度，对超标排放污染物和超过单位产品能源消耗限额标准构成高耗能的企业开展强制性清洁生产审核。</w:t>
                  </w:r>
                </w:p>
                <w:p w14:paraId="5019FA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7.加快污水处理厂提升改造及建设，推进城镇污水管网全覆盖，合理布设污水管网，促进城区污水全收集、全处理，推动生活污水收集处理设施“厂网一体化”。到 2025 年，县城污水处理率达到 95％以上，城市生活污水集中收集</w:t>
                  </w:r>
                </w:p>
                <w:p w14:paraId="7F5C6AD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率力争达到 70%以上。</w:t>
                  </w:r>
                </w:p>
                <w:p w14:paraId="3B8D38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8.实施生活垃圾全面治理，强化生活垃圾收集处理，到2025 年，城市生活垃圾资源化利用率达到 60％以上、焚烧处理能力占无害化处理能力比重达到 65％以上。</w:t>
                  </w:r>
                </w:p>
                <w:p w14:paraId="0E7F13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9.强化农业面源污染治理，实施化肥农药减量增效行动和农膜回收行动，到 2025年底，全州化肥、农药使用量较2020年分别减少5%、5%。</w:t>
                  </w:r>
                </w:p>
                <w:p w14:paraId="6ECC42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10.加快乡镇生活垃圾污水收集处理设施建设，实施农村人居环境整治提升五年行动，到</w:t>
                  </w:r>
                  <w:r>
                    <w:rPr>
                      <w:rFonts w:hint="eastAsia" w:cs="Times New Roman"/>
                      <w:sz w:val="21"/>
                      <w:szCs w:val="21"/>
                      <w:lang w:val="en-US" w:eastAsia="zh-CN"/>
                    </w:rPr>
                    <w:t>2</w:t>
                  </w:r>
                  <w:r>
                    <w:rPr>
                      <w:rFonts w:hint="default" w:ascii="Times New Roman" w:hAnsi="Times New Roman" w:eastAsia="宋体" w:cs="Times New Roman"/>
                      <w:sz w:val="21"/>
                      <w:szCs w:val="21"/>
                    </w:rPr>
                    <w:t>025 年，二类县乡镇镇区生活污水处理设施覆盖率达 80%以上，行政村生活污水治理率、收集处理率分别达60%</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30%；乡（镇）镇区、村</w:t>
                  </w:r>
                </w:p>
                <w:p w14:paraId="6132761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庄生活垃圾收运处置体系基本实现全覆盖，处理设施覆盖率达90%以上；三类县乡镇镇区生活污水处理设施覆盖率达70%以上，行政村生活污水治理率、收集处理率分别达30%、8%；乡镇镇区、村庄生活垃圾治理水平有新提升，</w:t>
                  </w:r>
                </w:p>
                <w:p w14:paraId="536CCE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处理设施覆盖率达 80%以上。</w:t>
                  </w:r>
                </w:p>
                <w:p w14:paraId="4B191B1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11.州府所在地芒市空气质量优良天数比率保持在 98.9%以上，城市细颗粒物（PM</w:t>
                  </w:r>
                  <w:r>
                    <w:rPr>
                      <w:rFonts w:hint="default" w:ascii="Times New Roman" w:hAnsi="Times New Roman" w:eastAsia="宋体" w:cs="Times New Roman"/>
                      <w:sz w:val="21"/>
                      <w:szCs w:val="21"/>
                      <w:vertAlign w:val="subscript"/>
                    </w:rPr>
                    <w:t xml:space="preserve"> 2.5</w:t>
                  </w:r>
                  <w:r>
                    <w:rPr>
                      <w:rFonts w:hint="default" w:ascii="Times New Roman" w:hAnsi="Times New Roman" w:eastAsia="宋体" w:cs="Times New Roman"/>
                      <w:sz w:val="21"/>
                      <w:szCs w:val="21"/>
                    </w:rPr>
                    <w:t xml:space="preserve"> ）平均浓度控制在 24 微克／立方米以内，不出现重度及以上污染天气，其余县市细颗粒物和空气质量优良天数比率完成省级下达目标要求。</w:t>
                  </w:r>
                </w:p>
                <w:p w14:paraId="73F9851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12.持续开展秸秆禁烧、挥发性有机物和工业企业烟尘、高污染燃料禁燃、烟花爆竹禁（限）放、建筑工地扬尘、道路保洁、餐饮油烟、公路铁路扬尘、机动车污染等 16 个大气污染综合治理专项行动。</w:t>
                  </w:r>
                </w:p>
                <w:p w14:paraId="1F6BF2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13.加快工业硅等大气污染重点行业的脱硫技术改造，新（改、扩）建工业硅电炉必须为矮烟罩半封闭型或全密闭型，变压器容量达到 2×25000 千伏安及以上，并同步配套建设烟气净化及余热综合利用工程。</w:t>
                  </w:r>
                </w:p>
                <w:p w14:paraId="5CE3A2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14.实施工业污染源全面达标排放计划，加快工业硅等大气污染重点行业的脱硫技术改造。</w:t>
                  </w:r>
                </w:p>
                <w:p w14:paraId="534D64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加强土壤污染防治，落实推进污染地块和国土空间规划“一张图”管理。落实农用地分类管理制度，强化受污染耕地风险管控和安全利用。动态调整耕地土壤环境质量类别。开展超筛选值区域土壤污染成因溯源，制定安全利用方案。</w:t>
                  </w:r>
                </w:p>
                <w:p w14:paraId="228DF3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1"/>
                      <w:szCs w:val="21"/>
                    </w:rPr>
                    <w:t>16.深入开展重点行业重金属污染综合治理和重金属污染排放调查、防治；开展涉重金属行业企业及重点区域环境风险评估研究，实施分级分类管控。开展重点区域流域重金属尾矿防治，加强尾矿库环境风险隐患排查整治。</w:t>
                  </w:r>
                </w:p>
              </w:tc>
              <w:tc>
                <w:tcPr>
                  <w:tcW w:w="4714" w:type="dxa"/>
                  <w:vAlign w:val="top"/>
                </w:tcPr>
                <w:p w14:paraId="369FDFCE">
                  <w:pPr>
                    <w:spacing w:before="31" w:line="215" w:lineRule="auto"/>
                    <w:ind w:left="0" w:leftChars="0" w:firstLine="0" w:firstLineChars="0"/>
                    <w:jc w:val="both"/>
                    <w:rPr>
                      <w:rFonts w:hint="eastAsia" w:ascii="Times New Roman" w:hAnsi="Times New Roman" w:eastAsia="宋体" w:cs="Times New Roman"/>
                      <w:bCs w:val="0"/>
                      <w:color w:val="000000"/>
                      <w:spacing w:val="-6"/>
                      <w:kern w:val="2"/>
                      <w:sz w:val="21"/>
                      <w:szCs w:val="21"/>
                      <w:lang w:val="en-US" w:eastAsia="zh-CN" w:bidi="ar-SA"/>
                    </w:rPr>
                  </w:pPr>
                  <w:r>
                    <w:rPr>
                      <w:rFonts w:hint="eastAsia" w:ascii="Times New Roman" w:hAnsi="Times New Roman" w:eastAsia="宋体" w:cs="Times New Roman"/>
                      <w:bCs w:val="0"/>
                      <w:color w:val="000000"/>
                      <w:spacing w:val="-6"/>
                      <w:kern w:val="2"/>
                      <w:sz w:val="21"/>
                      <w:szCs w:val="21"/>
                      <w:lang w:val="en-US" w:eastAsia="zh-CN" w:bidi="ar-SA"/>
                    </w:rPr>
                    <w:t>1.本项目为机制炭生产项目，采取雨污分流制；运营期无生产废水外排，厂内卫生间废水经过化粪池预处理后用于周边果园、农田林地</w:t>
                  </w:r>
                  <w:r>
                    <w:rPr>
                      <w:rFonts w:hint="eastAsia" w:cs="Times New Roman"/>
                      <w:bCs w:val="0"/>
                      <w:color w:val="000000"/>
                      <w:spacing w:val="-6"/>
                      <w:kern w:val="2"/>
                      <w:sz w:val="21"/>
                      <w:szCs w:val="21"/>
                      <w:lang w:val="en-US" w:eastAsia="zh-CN" w:bidi="ar-SA"/>
                    </w:rPr>
                    <w:t>做农肥，不外排</w:t>
                  </w:r>
                  <w:r>
                    <w:rPr>
                      <w:rFonts w:hint="eastAsia" w:ascii="Times New Roman" w:hAnsi="Times New Roman" w:eastAsia="宋体" w:cs="Times New Roman"/>
                      <w:bCs w:val="0"/>
                      <w:color w:val="000000"/>
                      <w:spacing w:val="-6"/>
                      <w:kern w:val="2"/>
                      <w:sz w:val="21"/>
                      <w:szCs w:val="21"/>
                      <w:lang w:val="en-US" w:eastAsia="zh-CN" w:bidi="ar-SA"/>
                    </w:rPr>
                    <w:t>，不会对地表水造成影响；</w:t>
                  </w:r>
                </w:p>
                <w:p w14:paraId="2BB41D4C">
                  <w:pPr>
                    <w:spacing w:before="31" w:line="215" w:lineRule="auto"/>
                    <w:ind w:left="0" w:leftChars="0" w:firstLine="0" w:firstLineChars="0"/>
                    <w:jc w:val="both"/>
                    <w:rPr>
                      <w:rFonts w:hint="eastAsia" w:ascii="Times New Roman" w:hAnsi="Times New Roman" w:eastAsia="宋体" w:cs="Times New Roman"/>
                      <w:bCs w:val="0"/>
                      <w:color w:val="000000"/>
                      <w:spacing w:val="-6"/>
                      <w:kern w:val="2"/>
                      <w:sz w:val="21"/>
                      <w:szCs w:val="21"/>
                      <w:lang w:val="en-US" w:eastAsia="zh-CN" w:bidi="ar-SA"/>
                    </w:rPr>
                  </w:pPr>
                  <w:r>
                    <w:rPr>
                      <w:rFonts w:hint="eastAsia" w:ascii="Times New Roman" w:hAnsi="Times New Roman" w:eastAsia="宋体" w:cs="Times New Roman"/>
                      <w:bCs w:val="0"/>
                      <w:color w:val="000000"/>
                      <w:spacing w:val="-6"/>
                      <w:kern w:val="2"/>
                      <w:sz w:val="21"/>
                      <w:szCs w:val="21"/>
                      <w:lang w:val="en-US" w:eastAsia="zh-CN" w:bidi="ar-SA"/>
                    </w:rPr>
                    <w:t>2.本项目</w:t>
                  </w:r>
                  <w:r>
                    <w:rPr>
                      <w:rFonts w:hint="default" w:ascii="Times New Roman" w:hAnsi="Times New Roman" w:cs="Times New Roman" w:eastAsiaTheme="minorEastAsia"/>
                      <w:color w:val="auto"/>
                      <w:sz w:val="21"/>
                      <w:szCs w:val="21"/>
                      <w:lang w:eastAsia="zh-CN"/>
                    </w:rPr>
                    <w:t>位于云南省德宏州</w:t>
                  </w:r>
                  <w:r>
                    <w:rPr>
                      <w:rFonts w:hint="default" w:ascii="Times New Roman" w:hAnsi="Times New Roman" w:cs="Times New Roman" w:eastAsiaTheme="minorEastAsia"/>
                      <w:color w:val="auto"/>
                      <w:sz w:val="21"/>
                      <w:szCs w:val="21"/>
                      <w:highlight w:val="none"/>
                      <w:lang w:val="en-US" w:eastAsia="zh-CN"/>
                    </w:rPr>
                    <w:t>芒市遮放农场晓阳社区居民委员会第七居民小组</w:t>
                  </w:r>
                  <w:r>
                    <w:rPr>
                      <w:rFonts w:hint="eastAsia" w:ascii="Times New Roman" w:hAnsi="Times New Roman" w:eastAsia="宋体" w:cs="Times New Roman"/>
                      <w:bCs w:val="0"/>
                      <w:color w:val="000000"/>
                      <w:spacing w:val="-6"/>
                      <w:kern w:val="2"/>
                      <w:sz w:val="21"/>
                      <w:szCs w:val="21"/>
                      <w:lang w:val="en-US" w:eastAsia="zh-CN" w:bidi="ar-SA"/>
                    </w:rPr>
                    <w:t>，不涉及饮用水水源地。</w:t>
                  </w:r>
                </w:p>
                <w:p w14:paraId="0A8E7B90">
                  <w:pPr>
                    <w:spacing w:before="31" w:line="215" w:lineRule="auto"/>
                    <w:ind w:left="0" w:leftChars="0" w:firstLine="0" w:firstLineChars="0"/>
                    <w:jc w:val="both"/>
                    <w:rPr>
                      <w:rFonts w:hint="eastAsia" w:ascii="Times New Roman" w:hAnsi="Times New Roman" w:eastAsia="宋体" w:cs="Times New Roman"/>
                      <w:bCs w:val="0"/>
                      <w:color w:val="000000"/>
                      <w:spacing w:val="-6"/>
                      <w:kern w:val="2"/>
                      <w:sz w:val="21"/>
                      <w:szCs w:val="21"/>
                      <w:lang w:val="en-US" w:eastAsia="zh-CN" w:bidi="ar-SA"/>
                    </w:rPr>
                  </w:pPr>
                  <w:r>
                    <w:rPr>
                      <w:rFonts w:hint="eastAsia" w:ascii="Times New Roman" w:hAnsi="Times New Roman" w:eastAsia="宋体" w:cs="Times New Roman"/>
                      <w:bCs w:val="0"/>
                      <w:color w:val="000000"/>
                      <w:spacing w:val="-6"/>
                      <w:kern w:val="2"/>
                      <w:sz w:val="21"/>
                      <w:szCs w:val="21"/>
                      <w:lang w:val="en-US" w:eastAsia="zh-CN" w:bidi="ar-SA"/>
                    </w:rPr>
                    <w:t>3.本项目产生的挥发性有机物采用“燃烧法处理”，去除率为70%，非甲烷总烃排放能够满足GB16297-1996《大气污染物综合排放标准》表2二级标准限值。</w:t>
                  </w:r>
                </w:p>
                <w:p w14:paraId="239316D1">
                  <w:pPr>
                    <w:spacing w:before="31" w:line="215" w:lineRule="auto"/>
                    <w:ind w:left="0" w:leftChars="0" w:firstLine="0" w:firstLineChars="0"/>
                    <w:jc w:val="both"/>
                    <w:rPr>
                      <w:rFonts w:hint="eastAsia" w:ascii="Times New Roman" w:hAnsi="Times New Roman" w:eastAsia="宋体" w:cs="Times New Roman"/>
                      <w:bCs w:val="0"/>
                      <w:color w:val="000000"/>
                      <w:spacing w:val="-6"/>
                      <w:kern w:val="2"/>
                      <w:sz w:val="21"/>
                      <w:szCs w:val="21"/>
                      <w:lang w:val="en-US" w:eastAsia="zh-CN" w:bidi="ar-SA"/>
                    </w:rPr>
                  </w:pPr>
                  <w:r>
                    <w:rPr>
                      <w:rFonts w:hint="eastAsia" w:ascii="Times New Roman" w:hAnsi="Times New Roman" w:eastAsia="宋体" w:cs="Times New Roman"/>
                      <w:bCs w:val="0"/>
                      <w:color w:val="000000"/>
                      <w:spacing w:val="-6"/>
                      <w:kern w:val="2"/>
                      <w:sz w:val="21"/>
                      <w:szCs w:val="21"/>
                      <w:lang w:val="en-US" w:eastAsia="zh-CN" w:bidi="ar-SA"/>
                    </w:rPr>
                    <w:t>4.本项目使原料边角料为燃料，不使用煤等高污染燃料。本项目可实现达标排放，满足总量控制要求。</w:t>
                  </w:r>
                </w:p>
                <w:p w14:paraId="1E709150">
                  <w:pPr>
                    <w:spacing w:before="31" w:line="215" w:lineRule="auto"/>
                    <w:ind w:left="0" w:leftChars="0" w:firstLine="0" w:firstLineChars="0"/>
                    <w:jc w:val="both"/>
                    <w:rPr>
                      <w:rFonts w:hint="eastAsia" w:ascii="Times New Roman" w:hAnsi="Times New Roman" w:eastAsia="宋体" w:cs="Times New Roman"/>
                      <w:bCs w:val="0"/>
                      <w:color w:val="000000"/>
                      <w:spacing w:val="-6"/>
                      <w:kern w:val="2"/>
                      <w:sz w:val="21"/>
                      <w:szCs w:val="21"/>
                      <w:lang w:val="en-US" w:eastAsia="zh-CN" w:bidi="ar-SA"/>
                    </w:rPr>
                  </w:pPr>
                  <w:r>
                    <w:rPr>
                      <w:rFonts w:hint="eastAsia" w:cs="Times New Roman"/>
                      <w:bCs w:val="0"/>
                      <w:color w:val="000000"/>
                      <w:spacing w:val="-6"/>
                      <w:kern w:val="2"/>
                      <w:sz w:val="21"/>
                      <w:szCs w:val="21"/>
                      <w:lang w:val="en-US" w:eastAsia="zh-CN" w:bidi="ar-SA"/>
                    </w:rPr>
                    <w:t>5</w:t>
                  </w:r>
                  <w:r>
                    <w:rPr>
                      <w:rFonts w:hint="eastAsia" w:ascii="Times New Roman" w:hAnsi="Times New Roman" w:eastAsia="宋体" w:cs="Times New Roman"/>
                      <w:bCs w:val="0"/>
                      <w:color w:val="000000"/>
                      <w:spacing w:val="-6"/>
                      <w:kern w:val="2"/>
                      <w:sz w:val="21"/>
                      <w:szCs w:val="21"/>
                      <w:lang w:val="en-US" w:eastAsia="zh-CN" w:bidi="ar-SA"/>
                    </w:rPr>
                    <w:t>.本项目不属于工业硅、水泥等高耗能行业，不属于二氧化碳排重点行业。</w:t>
                  </w:r>
                </w:p>
                <w:p w14:paraId="7EC528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4"/>
                      <w:szCs w:val="24"/>
                      <w:vertAlign w:val="baseline"/>
                      <w:lang w:val="en-US" w:eastAsia="zh-CN"/>
                    </w:rPr>
                  </w:pPr>
                  <w:r>
                    <w:rPr>
                      <w:rFonts w:hint="eastAsia" w:cs="Times New Roman"/>
                      <w:bCs w:val="0"/>
                      <w:color w:val="000000"/>
                      <w:spacing w:val="-6"/>
                      <w:kern w:val="2"/>
                      <w:sz w:val="21"/>
                      <w:szCs w:val="21"/>
                      <w:lang w:val="en-US" w:eastAsia="zh-CN" w:bidi="ar-SA"/>
                    </w:rPr>
                    <w:t>6</w:t>
                  </w:r>
                  <w:r>
                    <w:rPr>
                      <w:rFonts w:hint="eastAsia" w:ascii="Times New Roman" w:hAnsi="Times New Roman" w:eastAsia="宋体" w:cs="Times New Roman"/>
                      <w:bCs w:val="0"/>
                      <w:color w:val="000000"/>
                      <w:spacing w:val="-6"/>
                      <w:kern w:val="2"/>
                      <w:sz w:val="21"/>
                      <w:szCs w:val="21"/>
                      <w:lang w:val="en-US" w:eastAsia="zh-CN" w:bidi="ar-SA"/>
                    </w:rPr>
                    <w:t>.本项目对土壤的环境质量影响较小，只要严格落实本环评提出的各项污染物处理措施和防渗措施，对土壤环境质量影响较小。</w:t>
                  </w:r>
                </w:p>
              </w:tc>
              <w:tc>
                <w:tcPr>
                  <w:tcW w:w="784" w:type="dxa"/>
                  <w:vAlign w:val="top"/>
                </w:tcPr>
                <w:p w14:paraId="056101F0">
                  <w:pPr>
                    <w:spacing w:line="240"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5A3AF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dxa"/>
                  <w:vMerge w:val="continue"/>
                  <w:vAlign w:val="top"/>
                </w:tcPr>
                <w:p w14:paraId="0560F4E4">
                  <w:pPr>
                    <w:spacing w:line="240" w:lineRule="auto"/>
                    <w:jc w:val="both"/>
                    <w:rPr>
                      <w:rFonts w:hint="default" w:ascii="Times New Roman" w:hAnsi="Times New Roman" w:eastAsia="宋体" w:cs="Times New Roman"/>
                      <w:sz w:val="24"/>
                      <w:szCs w:val="24"/>
                      <w:vertAlign w:val="baseline"/>
                      <w:lang w:val="en-US" w:eastAsia="zh-CN"/>
                    </w:rPr>
                  </w:pPr>
                </w:p>
              </w:tc>
              <w:tc>
                <w:tcPr>
                  <w:tcW w:w="804" w:type="dxa"/>
                  <w:vAlign w:val="top"/>
                </w:tcPr>
                <w:p w14:paraId="08DACFD9">
                  <w:pPr>
                    <w:spacing w:line="240"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eastAsiaTheme="minorEastAsia"/>
                      <w:color w:val="auto"/>
                      <w:sz w:val="21"/>
                      <w:szCs w:val="21"/>
                    </w:rPr>
                    <w:t>环境风险防控</w:t>
                  </w:r>
                </w:p>
              </w:tc>
              <w:tc>
                <w:tcPr>
                  <w:tcW w:w="6043" w:type="dxa"/>
                  <w:vAlign w:val="top"/>
                </w:tcPr>
                <w:p w14:paraId="33A043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1.开展重点领域重点行业环境风险调查评估。加强危险化学品全链条安全监管。建设重点领域环境风险监测、排查治理、预警、联防联控和应急处置的信息化技术体系和物资储备体系。</w:t>
                  </w:r>
                </w:p>
                <w:p w14:paraId="3E4F0E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2.持续开展地下水污染状况调查和环境调查评估，推进地下水污染防治重点区划定，强化地下水重点污染源风险管控。</w:t>
                  </w:r>
                </w:p>
                <w:p w14:paraId="7B0038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3.开展大盈江、瑞丽江流域生态隐患和环境风险调查评估，划定高风险区域，严格两江流域布局环境风险行业企业。</w:t>
                  </w:r>
                </w:p>
                <w:p w14:paraId="3DC946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4.建立德宏州中心城市核心区（芒市、瑞丽市、陇川县）大气污染联防联控联席会议机制，协调大气污染治理工作，打好中心城市大气污染联防联治攻坚战。</w:t>
                  </w:r>
                </w:p>
                <w:p w14:paraId="56A3C7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5.有效应对突发环境事件，强化“一废一品一库”管理，完善突发环境事件应急预案体系以及环境风险三级防控体系。</w:t>
                  </w:r>
                </w:p>
                <w:p w14:paraId="00E867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6.强化重点领域风险预警示范，建立集中式地表水饮用水水源地或跨国界、跨省界以及其他重要环境敏感目标的基本信息数据库，编制“一河一策一图”环境应急响应方案。</w:t>
                  </w:r>
                </w:p>
                <w:p w14:paraId="2ACE34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1"/>
                      <w:szCs w:val="21"/>
                    </w:rPr>
                    <w:t>7.建立健全尾矿库污染防治的长效机制，开展重点区域流域重金属尾矿防治，加强尾矿库环境风险隐患排查整治。</w:t>
                  </w:r>
                </w:p>
              </w:tc>
              <w:tc>
                <w:tcPr>
                  <w:tcW w:w="4714" w:type="dxa"/>
                  <w:vAlign w:val="top"/>
                </w:tcPr>
                <w:p w14:paraId="078549C9">
                  <w:pPr>
                    <w:spacing w:before="31" w:line="215" w:lineRule="auto"/>
                    <w:ind w:left="0" w:leftChars="0" w:firstLine="0" w:firstLineChars="0"/>
                    <w:jc w:val="both"/>
                    <w:rPr>
                      <w:rFonts w:hint="eastAsia" w:ascii="Times New Roman" w:hAnsi="Times New Roman" w:eastAsia="宋体" w:cs="Times New Roman"/>
                      <w:bCs w:val="0"/>
                      <w:color w:val="000000"/>
                      <w:spacing w:val="-6"/>
                      <w:kern w:val="2"/>
                      <w:sz w:val="21"/>
                      <w:szCs w:val="21"/>
                      <w:lang w:val="en-US" w:eastAsia="zh-CN" w:bidi="ar-SA"/>
                    </w:rPr>
                  </w:pPr>
                  <w:r>
                    <w:rPr>
                      <w:rFonts w:hint="eastAsia" w:ascii="Times New Roman" w:hAnsi="Times New Roman" w:eastAsia="宋体" w:cs="Times New Roman"/>
                      <w:bCs w:val="0"/>
                      <w:color w:val="000000"/>
                      <w:spacing w:val="-6"/>
                      <w:kern w:val="2"/>
                      <w:sz w:val="21"/>
                      <w:szCs w:val="21"/>
                      <w:lang w:val="en-US" w:eastAsia="zh-CN" w:bidi="ar-SA"/>
                    </w:rPr>
                    <w:t>1.本项目环境风险较低，只要严格落实本环评提出的各项风险防范措施，发生大气污染事故的可能性较小。</w:t>
                  </w:r>
                </w:p>
                <w:p w14:paraId="1AC86E6E">
                  <w:pPr>
                    <w:spacing w:before="31" w:line="215" w:lineRule="auto"/>
                    <w:ind w:left="0" w:leftChars="0" w:firstLine="0" w:firstLineChars="0"/>
                    <w:jc w:val="both"/>
                    <w:rPr>
                      <w:rFonts w:hint="eastAsia" w:ascii="Times New Roman" w:hAnsi="Times New Roman" w:eastAsia="宋体" w:cs="Times New Roman"/>
                      <w:bCs w:val="0"/>
                      <w:color w:val="auto"/>
                      <w:spacing w:val="-6"/>
                      <w:kern w:val="2"/>
                      <w:sz w:val="21"/>
                      <w:szCs w:val="21"/>
                      <w:lang w:val="en-US" w:eastAsia="zh-CN" w:bidi="ar-SA"/>
                    </w:rPr>
                  </w:pPr>
                  <w:r>
                    <w:rPr>
                      <w:rFonts w:hint="eastAsia" w:ascii="Times New Roman" w:hAnsi="Times New Roman" w:eastAsia="宋体" w:cs="Times New Roman"/>
                      <w:bCs w:val="0"/>
                      <w:color w:val="auto"/>
                      <w:spacing w:val="-6"/>
                      <w:kern w:val="2"/>
                      <w:sz w:val="21"/>
                      <w:szCs w:val="21"/>
                      <w:lang w:val="en-US" w:eastAsia="zh-CN" w:bidi="ar-SA"/>
                    </w:rPr>
                    <w:t>2.及时编制突发环境事件应急预案</w:t>
                  </w:r>
                  <w:r>
                    <w:rPr>
                      <w:rFonts w:hint="eastAsia" w:eastAsia="宋体" w:cs="Times New Roman"/>
                      <w:bCs w:val="0"/>
                      <w:color w:val="auto"/>
                      <w:spacing w:val="-6"/>
                      <w:kern w:val="2"/>
                      <w:sz w:val="21"/>
                      <w:szCs w:val="21"/>
                      <w:lang w:val="en-US" w:eastAsia="zh-CN" w:bidi="ar-SA"/>
                    </w:rPr>
                    <w:t>，</w:t>
                  </w:r>
                  <w:r>
                    <w:rPr>
                      <w:rFonts w:hint="eastAsia" w:ascii="Times New Roman" w:hAnsi="Times New Roman" w:eastAsia="宋体" w:cs="Times New Roman"/>
                      <w:bCs w:val="0"/>
                      <w:color w:val="auto"/>
                      <w:spacing w:val="-6"/>
                      <w:kern w:val="2"/>
                      <w:sz w:val="21"/>
                      <w:szCs w:val="21"/>
                      <w:lang w:val="en-US" w:eastAsia="zh-CN" w:bidi="ar-SA"/>
                    </w:rPr>
                    <w:t>将严格落实本环评提出的各项风险防范措施</w:t>
                  </w:r>
                  <w:r>
                    <w:rPr>
                      <w:rFonts w:hint="eastAsia" w:eastAsia="宋体" w:cs="Times New Roman"/>
                      <w:bCs w:val="0"/>
                      <w:color w:val="auto"/>
                      <w:spacing w:val="-6"/>
                      <w:kern w:val="2"/>
                      <w:sz w:val="21"/>
                      <w:szCs w:val="21"/>
                      <w:lang w:val="en-US" w:eastAsia="zh-CN" w:bidi="ar-SA"/>
                    </w:rPr>
                    <w:t>。</w:t>
                  </w:r>
                </w:p>
                <w:p w14:paraId="1DFD3E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4"/>
                      <w:szCs w:val="24"/>
                      <w:vertAlign w:val="baseline"/>
                      <w:lang w:val="en-US" w:eastAsia="zh-CN"/>
                    </w:rPr>
                  </w:pPr>
                </w:p>
              </w:tc>
              <w:tc>
                <w:tcPr>
                  <w:tcW w:w="784" w:type="dxa"/>
                  <w:vAlign w:val="top"/>
                </w:tcPr>
                <w:p w14:paraId="398C2C26">
                  <w:pPr>
                    <w:spacing w:line="240"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79DB3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dxa"/>
                  <w:vMerge w:val="continue"/>
                  <w:vAlign w:val="top"/>
                </w:tcPr>
                <w:p w14:paraId="2785883A">
                  <w:pPr>
                    <w:spacing w:line="240" w:lineRule="auto"/>
                    <w:jc w:val="both"/>
                    <w:rPr>
                      <w:rFonts w:hint="default" w:ascii="Times New Roman" w:hAnsi="Times New Roman" w:eastAsia="宋体" w:cs="Times New Roman"/>
                      <w:sz w:val="24"/>
                      <w:szCs w:val="24"/>
                      <w:vertAlign w:val="baseline"/>
                      <w:lang w:val="en-US" w:eastAsia="zh-CN"/>
                    </w:rPr>
                  </w:pPr>
                </w:p>
              </w:tc>
              <w:tc>
                <w:tcPr>
                  <w:tcW w:w="804" w:type="dxa"/>
                  <w:vAlign w:val="top"/>
                </w:tcPr>
                <w:p w14:paraId="04B97281">
                  <w:pPr>
                    <w:spacing w:line="240"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eastAsiaTheme="minorEastAsia"/>
                      <w:color w:val="auto"/>
                      <w:sz w:val="21"/>
                      <w:szCs w:val="21"/>
                    </w:rPr>
                    <w:t>资源开发利用</w:t>
                  </w:r>
                </w:p>
              </w:tc>
              <w:tc>
                <w:tcPr>
                  <w:tcW w:w="6043" w:type="dxa"/>
                  <w:vAlign w:val="top"/>
                </w:tcPr>
                <w:p w14:paraId="7F9775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1.逐步降低水资源、土地资源、能源消耗强度，强化约束性指标管理。</w:t>
                  </w:r>
                </w:p>
                <w:p w14:paraId="24177A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2.到 2025 年全州用水总量不得超过 7.76 亿立方米。全面实施建设项目和规划水资源论证，以水定城，以水定产，实现经济社会与水协调发展，控制用水总量增长。</w:t>
                  </w:r>
                </w:p>
                <w:p w14:paraId="058A2CA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3.全面实施节约用水集中行动，推进县域节水型社会达标建设。大力推广节水新技术、新工艺、新设备，鼓励节约用水、循环用水，提高水资源重复利用率，2025 年单位 GDP 用水量较 2020 年下降 18%，万元工业增加值用水量比 2020 年下降 16%，农田灌溉水利用系数 0.483。</w:t>
                  </w:r>
                </w:p>
                <w:p w14:paraId="002877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4.强化重点河流生态流量保障，建立完善全州水电站、闸坝生态流量下泄监管制度，突出重点区域监管，巩固小水电站生态流量问题整改成效，提高流域生态用水保障水平。</w:t>
                  </w:r>
                </w:p>
                <w:p w14:paraId="7DC38D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5.2025 年，全州单位地区生产总值能源消耗比 2020年下降 12.5%以上，能源消费总量得到合理控制，规模以上工业单位增加值能耗下降 8%。</w:t>
                  </w:r>
                </w:p>
                <w:p w14:paraId="6F1994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1"/>
                      <w:szCs w:val="21"/>
                    </w:rPr>
                    <w:t>6.严格控制非农建设占用耕地，加大补充耕地力度；加强基本农田保护和建设，稳定数量，提高质量。</w:t>
                  </w:r>
                </w:p>
              </w:tc>
              <w:tc>
                <w:tcPr>
                  <w:tcW w:w="4714" w:type="dxa"/>
                  <w:vAlign w:val="top"/>
                </w:tcPr>
                <w:p w14:paraId="2CEE5947">
                  <w:pPr>
                    <w:spacing w:before="31" w:line="215" w:lineRule="auto"/>
                    <w:ind w:left="0" w:leftChars="0" w:firstLine="0" w:firstLineChars="0"/>
                    <w:jc w:val="both"/>
                    <w:rPr>
                      <w:rFonts w:hint="eastAsia" w:ascii="Times New Roman" w:hAnsi="Times New Roman" w:eastAsia="宋体" w:cs="Times New Roman"/>
                      <w:bCs w:val="0"/>
                      <w:color w:val="000000"/>
                      <w:spacing w:val="-6"/>
                      <w:kern w:val="2"/>
                      <w:sz w:val="21"/>
                      <w:szCs w:val="21"/>
                      <w:lang w:val="en-US" w:eastAsia="zh-CN" w:bidi="ar-SA"/>
                    </w:rPr>
                  </w:pPr>
                  <w:r>
                    <w:rPr>
                      <w:rFonts w:hint="eastAsia" w:ascii="Times New Roman" w:hAnsi="Times New Roman" w:eastAsia="宋体" w:cs="Times New Roman"/>
                      <w:bCs w:val="0"/>
                      <w:color w:val="000000"/>
                      <w:spacing w:val="-6"/>
                      <w:kern w:val="2"/>
                      <w:sz w:val="21"/>
                      <w:szCs w:val="21"/>
                      <w:lang w:val="en-US" w:eastAsia="zh-CN" w:bidi="ar-SA"/>
                    </w:rPr>
                    <w:t>1.本项目位于云南省德宏州芒市遮放农场晓阳社区居民委员会第七居民小组，土地性质属于工业用地。不属于高耗能产业。</w:t>
                  </w:r>
                </w:p>
                <w:p w14:paraId="0E48A1B2">
                  <w:pPr>
                    <w:spacing w:before="31" w:line="215" w:lineRule="auto"/>
                    <w:ind w:left="0" w:leftChars="0" w:firstLine="0" w:firstLineChars="0"/>
                    <w:jc w:val="both"/>
                    <w:rPr>
                      <w:rFonts w:hint="eastAsia" w:ascii="Times New Roman" w:hAnsi="Times New Roman" w:eastAsia="宋体" w:cs="Times New Roman"/>
                      <w:bCs w:val="0"/>
                      <w:color w:val="000000"/>
                      <w:spacing w:val="-6"/>
                      <w:kern w:val="2"/>
                      <w:sz w:val="21"/>
                      <w:szCs w:val="21"/>
                      <w:lang w:val="en-US" w:eastAsia="zh-CN" w:bidi="ar-SA"/>
                    </w:rPr>
                  </w:pPr>
                  <w:r>
                    <w:rPr>
                      <w:rFonts w:hint="eastAsia" w:ascii="Times New Roman" w:hAnsi="Times New Roman" w:eastAsia="宋体" w:cs="Times New Roman"/>
                      <w:bCs w:val="0"/>
                      <w:color w:val="000000"/>
                      <w:spacing w:val="-6"/>
                      <w:kern w:val="2"/>
                      <w:sz w:val="21"/>
                      <w:szCs w:val="21"/>
                      <w:lang w:val="en-US" w:eastAsia="zh-CN" w:bidi="ar-SA"/>
                    </w:rPr>
                    <w:t>2.本项目为机制炭生产项目，由乡村水管网供水，用水量较少，不涉及取水。</w:t>
                  </w:r>
                </w:p>
                <w:p w14:paraId="68A12C5B">
                  <w:pPr>
                    <w:spacing w:before="31" w:line="215" w:lineRule="auto"/>
                    <w:ind w:left="0" w:leftChars="0" w:firstLine="0" w:firstLineChars="0"/>
                    <w:jc w:val="both"/>
                    <w:rPr>
                      <w:rFonts w:hint="eastAsia" w:ascii="Times New Roman" w:hAnsi="Times New Roman" w:eastAsia="宋体" w:cs="Times New Roman"/>
                      <w:bCs w:val="0"/>
                      <w:color w:val="000000"/>
                      <w:spacing w:val="-6"/>
                      <w:kern w:val="2"/>
                      <w:sz w:val="21"/>
                      <w:szCs w:val="21"/>
                      <w:lang w:val="en-US" w:eastAsia="zh-CN" w:bidi="ar-SA"/>
                    </w:rPr>
                  </w:pPr>
                  <w:r>
                    <w:rPr>
                      <w:rFonts w:hint="eastAsia" w:ascii="Times New Roman" w:hAnsi="Times New Roman" w:eastAsia="宋体" w:cs="Times New Roman"/>
                      <w:bCs w:val="0"/>
                      <w:color w:val="000000"/>
                      <w:spacing w:val="-6"/>
                      <w:kern w:val="2"/>
                      <w:sz w:val="21"/>
                      <w:szCs w:val="21"/>
                      <w:lang w:val="en-US" w:eastAsia="zh-CN" w:bidi="ar-SA"/>
                    </w:rPr>
                    <w:t>3.本项目用地为工业用地，已取得土地不动产权证；</w:t>
                  </w:r>
                </w:p>
                <w:p w14:paraId="4BA7C9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bCs w:val="0"/>
                      <w:color w:val="000000"/>
                      <w:spacing w:val="-6"/>
                      <w:kern w:val="2"/>
                      <w:sz w:val="21"/>
                      <w:szCs w:val="21"/>
                      <w:lang w:val="en-US" w:eastAsia="zh-CN" w:bidi="ar-SA"/>
                    </w:rPr>
                    <w:t>4.本项目不属于高耗能产业，项目运营不会导致全州单位GDP能耗上升。</w:t>
                  </w:r>
                </w:p>
              </w:tc>
              <w:tc>
                <w:tcPr>
                  <w:tcW w:w="784" w:type="dxa"/>
                  <w:vAlign w:val="top"/>
                </w:tcPr>
                <w:p w14:paraId="1A2B7243">
                  <w:pPr>
                    <w:spacing w:line="240"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58D42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dxa"/>
                  <w:vMerge w:val="restart"/>
                  <w:vAlign w:val="center"/>
                </w:tcPr>
                <w:p w14:paraId="3388B1CD">
                  <w:pPr>
                    <w:adjustRightInd w:val="0"/>
                    <w:snapToGrid w:val="0"/>
                    <w:spacing w:line="240" w:lineRule="auto"/>
                    <w:rPr>
                      <w:rFonts w:hint="default" w:ascii="Times New Roman" w:hAnsi="Times New Roman" w:eastAsia="宋体" w:cs="Times New Roman"/>
                      <w:color w:val="FF0000"/>
                      <w:sz w:val="21"/>
                      <w:szCs w:val="21"/>
                      <w:highlight w:val="red"/>
                      <w:vertAlign w:val="baseline"/>
                      <w:lang w:val="en-US" w:eastAsia="zh-CN"/>
                    </w:rPr>
                  </w:pPr>
                  <w:r>
                    <w:rPr>
                      <w:rFonts w:hint="default" w:ascii="Times New Roman" w:hAnsi="Times New Roman" w:eastAsia="宋体" w:cs="Times New Roman"/>
                      <w:color w:val="FF0000"/>
                      <w:sz w:val="21"/>
                      <w:szCs w:val="21"/>
                    </w:rPr>
                    <w:t>芒市市区重点管控单元</w:t>
                  </w:r>
                </w:p>
              </w:tc>
              <w:tc>
                <w:tcPr>
                  <w:tcW w:w="804" w:type="dxa"/>
                  <w:vAlign w:val="center"/>
                </w:tcPr>
                <w:p w14:paraId="2D30EBA1">
                  <w:pPr>
                    <w:adjustRightInd w:val="0"/>
                    <w:snapToGrid w:val="0"/>
                    <w:spacing w:line="240" w:lineRule="auto"/>
                    <w:rPr>
                      <w:rFonts w:hint="default" w:ascii="Times New Roman" w:hAnsi="Times New Roman" w:eastAsia="宋体" w:cs="Times New Roman"/>
                      <w:color w:val="FF0000"/>
                      <w:sz w:val="21"/>
                      <w:szCs w:val="21"/>
                      <w:highlight w:val="red"/>
                      <w:vertAlign w:val="baseline"/>
                      <w:lang w:val="en-US" w:eastAsia="zh-CN"/>
                    </w:rPr>
                  </w:pPr>
                  <w:r>
                    <w:rPr>
                      <w:rFonts w:hint="default" w:ascii="Times New Roman" w:hAnsi="Times New Roman" w:eastAsia="宋体" w:cs="Times New Roman"/>
                      <w:color w:val="FF0000"/>
                      <w:sz w:val="21"/>
                      <w:szCs w:val="21"/>
                    </w:rPr>
                    <w:t>空间布局约束</w:t>
                  </w:r>
                </w:p>
              </w:tc>
              <w:tc>
                <w:tcPr>
                  <w:tcW w:w="6043" w:type="dxa"/>
                  <w:vAlign w:val="center"/>
                </w:tcPr>
                <w:p w14:paraId="376E053E">
                  <w:pPr>
                    <w:adjustRightInd w:val="0"/>
                    <w:snapToGrid w:val="0"/>
                    <w:spacing w:line="240" w:lineRule="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1.严格按照城镇规划进行人口聚集区建设，控制城镇开发强度。</w:t>
                  </w:r>
                </w:p>
                <w:p w14:paraId="1A60BABA">
                  <w:pPr>
                    <w:adjustRightInd w:val="0"/>
                    <w:snapToGrid w:val="0"/>
                    <w:spacing w:line="240" w:lineRule="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2.合理布局生产与生活空间，优化产业空间布局，对不符合准入要求的既有项目，依法依规实施整改、退出等分类治理方案，促进企业向园区集中，产业向园区集聚。</w:t>
                  </w:r>
                </w:p>
                <w:p w14:paraId="0248EF43">
                  <w:pPr>
                    <w:adjustRightInd w:val="0"/>
                    <w:snapToGrid w:val="0"/>
                    <w:spacing w:line="240" w:lineRule="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合理规划和布局畜禽养殖业，科学划定禁养区、限养区范围。对芒市大河两侧各100米范围内的大牲畜和畜禽养殖开展摸底调查，对清查出的畜禽养殖进行清理整顿。分期取缔芒市大河木康断面至风平断面之间河道流域内零散的鱼塘（含洗马塘）。</w:t>
                  </w:r>
                </w:p>
                <w:p w14:paraId="4508EDB8">
                  <w:pPr>
                    <w:adjustRightInd w:val="0"/>
                    <w:snapToGrid w:val="0"/>
                    <w:spacing w:line="240" w:lineRule="auto"/>
                    <w:rPr>
                      <w:rFonts w:hint="default" w:ascii="Times New Roman" w:hAnsi="Times New Roman" w:eastAsia="宋体" w:cs="Times New Roman"/>
                      <w:color w:val="FF0000"/>
                      <w:sz w:val="21"/>
                      <w:szCs w:val="21"/>
                      <w:highlight w:val="red"/>
                      <w:vertAlign w:val="baseline"/>
                      <w:lang w:val="en-US" w:eastAsia="zh-CN"/>
                    </w:rPr>
                  </w:pPr>
                  <w:r>
                    <w:rPr>
                      <w:rFonts w:hint="default" w:ascii="Times New Roman" w:hAnsi="Times New Roman" w:eastAsia="宋体" w:cs="Times New Roman"/>
                      <w:color w:val="FF0000"/>
                      <w:sz w:val="21"/>
                      <w:szCs w:val="21"/>
                    </w:rPr>
                    <w:t>4.加强芒市大河源头区域执法力度，严厉打击非法采砂行为；对围垦芒市大河河道管理范围内的土地进行恢复，并进行生态化改造。</w:t>
                  </w:r>
                </w:p>
              </w:tc>
              <w:tc>
                <w:tcPr>
                  <w:tcW w:w="4714" w:type="dxa"/>
                  <w:vAlign w:val="top"/>
                </w:tcPr>
                <w:p w14:paraId="54BDC83F">
                  <w:pPr>
                    <w:spacing w:before="31" w:line="215" w:lineRule="auto"/>
                    <w:ind w:left="0" w:leftChars="0" w:firstLine="0" w:firstLineChars="0"/>
                    <w:jc w:val="both"/>
                    <w:rPr>
                      <w:rFonts w:hint="default" w:ascii="Times New Roman" w:hAnsi="Times New Roman" w:eastAsia="宋体" w:cs="Times New Roman"/>
                      <w:bCs w:val="0"/>
                      <w:color w:val="FF0000"/>
                      <w:spacing w:val="-6"/>
                      <w:kern w:val="2"/>
                      <w:sz w:val="21"/>
                      <w:szCs w:val="21"/>
                      <w:highlight w:val="none"/>
                      <w:lang w:val="en-US" w:eastAsia="zh-CN" w:bidi="ar-SA"/>
                    </w:rPr>
                  </w:pPr>
                  <w:r>
                    <w:rPr>
                      <w:rFonts w:hint="eastAsia" w:ascii="Times New Roman" w:hAnsi="Times New Roman" w:eastAsia="宋体" w:cs="Times New Roman"/>
                      <w:bCs w:val="0"/>
                      <w:color w:val="FF0000"/>
                      <w:spacing w:val="-6"/>
                      <w:kern w:val="2"/>
                      <w:sz w:val="21"/>
                      <w:szCs w:val="21"/>
                      <w:highlight w:val="none"/>
                      <w:lang w:val="en-US" w:eastAsia="zh-CN" w:bidi="ar-SA"/>
                    </w:rPr>
                    <w:t>项目位于云南省德宏州芒市遮放农场晓阳社区居民委员会第七居民小组，土地性质属于工业用地</w:t>
                  </w:r>
                  <w:r>
                    <w:rPr>
                      <w:rFonts w:hint="eastAsia" w:cs="Times New Roman"/>
                      <w:bCs w:val="0"/>
                      <w:color w:val="FF0000"/>
                      <w:spacing w:val="-6"/>
                      <w:kern w:val="2"/>
                      <w:sz w:val="21"/>
                      <w:szCs w:val="21"/>
                      <w:highlight w:val="none"/>
                      <w:lang w:val="en-US" w:eastAsia="zh-CN" w:bidi="ar-SA"/>
                    </w:rPr>
                    <w:t>，项目为机制炭加工行业，距离芒市大河较远，不属于畜禽养殖业。</w:t>
                  </w:r>
                </w:p>
                <w:p w14:paraId="473BA9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FF0000"/>
                      <w:sz w:val="24"/>
                      <w:szCs w:val="24"/>
                      <w:highlight w:val="none"/>
                      <w:vertAlign w:val="baseline"/>
                      <w:lang w:val="en-US" w:eastAsia="zh-CN"/>
                    </w:rPr>
                  </w:pPr>
                </w:p>
              </w:tc>
              <w:tc>
                <w:tcPr>
                  <w:tcW w:w="784" w:type="dxa"/>
                  <w:vAlign w:val="top"/>
                </w:tcPr>
                <w:p w14:paraId="51596FE9">
                  <w:pPr>
                    <w:spacing w:line="240" w:lineRule="auto"/>
                    <w:jc w:val="both"/>
                    <w:rPr>
                      <w:rFonts w:hint="default" w:ascii="Times New Roman" w:hAnsi="Times New Roman" w:eastAsia="宋体" w:cs="Times New Roman"/>
                      <w:color w:val="FF0000"/>
                      <w:sz w:val="24"/>
                      <w:szCs w:val="24"/>
                      <w:highlight w:val="none"/>
                      <w:vertAlign w:val="baseline"/>
                      <w:lang w:val="en-US" w:eastAsia="zh-CN"/>
                    </w:rPr>
                  </w:pPr>
                  <w:r>
                    <w:rPr>
                      <w:rFonts w:hint="eastAsia" w:ascii="Times New Roman" w:hAnsi="Times New Roman" w:eastAsia="宋体" w:cs="Times New Roman"/>
                      <w:color w:val="FF0000"/>
                      <w:sz w:val="21"/>
                      <w:szCs w:val="21"/>
                      <w:highlight w:val="none"/>
                      <w:lang w:val="en-US" w:eastAsia="zh-CN"/>
                    </w:rPr>
                    <w:t>符合</w:t>
                  </w:r>
                </w:p>
              </w:tc>
            </w:tr>
            <w:tr w14:paraId="72243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dxa"/>
                  <w:vMerge w:val="continue"/>
                  <w:vAlign w:val="center"/>
                </w:tcPr>
                <w:p w14:paraId="3CD40728">
                  <w:pPr>
                    <w:adjustRightInd w:val="0"/>
                    <w:snapToGrid w:val="0"/>
                    <w:spacing w:line="240" w:lineRule="auto"/>
                    <w:rPr>
                      <w:rFonts w:hint="default" w:ascii="Times New Roman" w:hAnsi="Times New Roman" w:eastAsia="宋体" w:cs="Times New Roman"/>
                      <w:color w:val="FF0000"/>
                      <w:sz w:val="21"/>
                      <w:szCs w:val="21"/>
                      <w:highlight w:val="red"/>
                      <w:lang w:eastAsia="zh-CN"/>
                    </w:rPr>
                  </w:pPr>
                </w:p>
              </w:tc>
              <w:tc>
                <w:tcPr>
                  <w:tcW w:w="804" w:type="dxa"/>
                  <w:vAlign w:val="center"/>
                </w:tcPr>
                <w:p w14:paraId="0432852C">
                  <w:pPr>
                    <w:adjustRightInd w:val="0"/>
                    <w:snapToGrid w:val="0"/>
                    <w:spacing w:line="240" w:lineRule="auto"/>
                    <w:rPr>
                      <w:rFonts w:hint="default" w:ascii="Times New Roman" w:hAnsi="Times New Roman" w:eastAsia="宋体" w:cs="Times New Roman"/>
                      <w:color w:val="FF0000"/>
                      <w:sz w:val="21"/>
                      <w:szCs w:val="21"/>
                      <w:highlight w:val="red"/>
                    </w:rPr>
                  </w:pPr>
                  <w:r>
                    <w:rPr>
                      <w:rFonts w:hint="default" w:ascii="Times New Roman" w:hAnsi="Times New Roman" w:eastAsia="宋体" w:cs="Times New Roman"/>
                      <w:color w:val="FF0000"/>
                      <w:sz w:val="21"/>
                      <w:szCs w:val="21"/>
                    </w:rPr>
                    <w:t>污染物排放管控</w:t>
                  </w:r>
                </w:p>
              </w:tc>
              <w:tc>
                <w:tcPr>
                  <w:tcW w:w="6043" w:type="dxa"/>
                  <w:vAlign w:val="center"/>
                </w:tcPr>
                <w:p w14:paraId="61067334">
                  <w:pPr>
                    <w:adjustRightInd w:val="0"/>
                    <w:snapToGrid w:val="0"/>
                    <w:spacing w:line="240" w:lineRule="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1.对澡地河、南麻河、南喊河、板过河、南秀河、南木黑河6条主要穿城河流进行生态综合治理。</w:t>
                  </w:r>
                </w:p>
                <w:p w14:paraId="3A6BAD1E">
                  <w:pPr>
                    <w:adjustRightInd w:val="0"/>
                    <w:snapToGrid w:val="0"/>
                    <w:spacing w:line="240" w:lineRule="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2.实施污水处理设施提标改造，按期确保芒市污水处理厂出水达到一级A排放标准，建成区实现污水管网全覆盖、全收集、全处理。</w:t>
                  </w:r>
                </w:p>
                <w:p w14:paraId="715B624A">
                  <w:pPr>
                    <w:adjustRightInd w:val="0"/>
                    <w:snapToGrid w:val="0"/>
                    <w:spacing w:line="240" w:lineRule="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3.实施入河排污口综合整治，取缔芒市大河及其支流的各类非法入河排污口。</w:t>
                  </w:r>
                </w:p>
                <w:p w14:paraId="5AFDF136">
                  <w:pPr>
                    <w:adjustRightInd w:val="0"/>
                    <w:snapToGrid w:val="0"/>
                    <w:spacing w:line="240" w:lineRule="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 xml:space="preserve">4.全面推行建筑工地六个百分百，严格渣土运输车辆规范化管理，严格执行餐饮业油烟排放标准，开展重点时段秸秆禁烧专项巡查，建设芒市秸秆禁烧视频监控信息系统。 </w:t>
                  </w:r>
                </w:p>
                <w:p w14:paraId="5EAA6F33">
                  <w:pPr>
                    <w:adjustRightInd w:val="0"/>
                    <w:snapToGrid w:val="0"/>
                    <w:spacing w:line="240" w:lineRule="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5.开展PM</w:t>
                  </w:r>
                  <w:r>
                    <w:rPr>
                      <w:rFonts w:hint="default" w:ascii="Times New Roman" w:hAnsi="Times New Roman" w:eastAsia="宋体" w:cs="Times New Roman"/>
                      <w:color w:val="FF0000"/>
                      <w:sz w:val="21"/>
                      <w:szCs w:val="21"/>
                      <w:vertAlign w:val="subscript"/>
                    </w:rPr>
                    <w:t>2.5</w:t>
                  </w:r>
                  <w:r>
                    <w:rPr>
                      <w:rFonts w:hint="default" w:ascii="Times New Roman" w:hAnsi="Times New Roman" w:eastAsia="宋体" w:cs="Times New Roman"/>
                      <w:color w:val="FF0000"/>
                      <w:sz w:val="21"/>
                      <w:szCs w:val="21"/>
                    </w:rPr>
                    <w:t>和O</w:t>
                  </w:r>
                  <w:r>
                    <w:rPr>
                      <w:rFonts w:hint="default" w:ascii="Times New Roman" w:hAnsi="Times New Roman" w:eastAsia="宋体" w:cs="Times New Roman"/>
                      <w:color w:val="FF0000"/>
                      <w:sz w:val="21"/>
                      <w:szCs w:val="21"/>
                      <w:vertAlign w:val="subscript"/>
                    </w:rPr>
                    <w:t>3</w:t>
                  </w:r>
                  <w:r>
                    <w:rPr>
                      <w:rFonts w:hint="default" w:ascii="Times New Roman" w:hAnsi="Times New Roman" w:eastAsia="宋体" w:cs="Times New Roman"/>
                      <w:color w:val="FF0000"/>
                      <w:sz w:val="21"/>
                      <w:szCs w:val="21"/>
                    </w:rPr>
                    <w:t>协同控制，开展芒市大气污染成因及来源解析，实施大气污染防治精细化管控和季节性大气环境承载力核算项目。</w:t>
                  </w:r>
                </w:p>
                <w:p w14:paraId="5593FD7C">
                  <w:pPr>
                    <w:adjustRightInd w:val="0"/>
                    <w:snapToGrid w:val="0"/>
                    <w:spacing w:line="240" w:lineRule="auto"/>
                    <w:rPr>
                      <w:rFonts w:hint="default" w:ascii="Times New Roman" w:hAnsi="Times New Roman" w:eastAsia="宋体" w:cs="Times New Roman"/>
                      <w:color w:val="FF0000"/>
                      <w:sz w:val="21"/>
                      <w:szCs w:val="21"/>
                      <w:highlight w:val="red"/>
                    </w:rPr>
                  </w:pPr>
                  <w:r>
                    <w:rPr>
                      <w:rFonts w:hint="default" w:ascii="Times New Roman" w:hAnsi="Times New Roman" w:eastAsia="宋体" w:cs="Times New Roman"/>
                      <w:color w:val="FF0000"/>
                      <w:sz w:val="21"/>
                      <w:szCs w:val="21"/>
                    </w:rPr>
                    <w:t>6.与东南亚国家开展针对生物质燃烧对环境空气质量影响研究的交流合作。</w:t>
                  </w:r>
                </w:p>
              </w:tc>
              <w:tc>
                <w:tcPr>
                  <w:tcW w:w="4714" w:type="dxa"/>
                  <w:vAlign w:val="top"/>
                </w:tcPr>
                <w:p w14:paraId="718A0C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cs="Times New Roman" w:eastAsiaTheme="minorEastAsia"/>
                      <w:color w:val="FF0000"/>
                      <w:sz w:val="21"/>
                      <w:szCs w:val="21"/>
                      <w:highlight w:val="none"/>
                      <w:lang w:val="en-US" w:eastAsia="zh-CN"/>
                    </w:rPr>
                  </w:pPr>
                  <w:r>
                    <w:rPr>
                      <w:rFonts w:hint="eastAsia" w:cs="Times New Roman"/>
                      <w:bCs w:val="0"/>
                      <w:color w:val="FF0000"/>
                      <w:spacing w:val="-6"/>
                      <w:kern w:val="2"/>
                      <w:sz w:val="21"/>
                      <w:szCs w:val="21"/>
                      <w:highlight w:val="none"/>
                      <w:lang w:val="en-US" w:eastAsia="zh-CN" w:bidi="ar-SA"/>
                    </w:rPr>
                    <w:t>项目</w:t>
                  </w:r>
                  <w:r>
                    <w:rPr>
                      <w:rFonts w:hint="eastAsia" w:ascii="Times New Roman" w:hAnsi="Times New Roman" w:eastAsia="宋体" w:cs="Times New Roman"/>
                      <w:bCs w:val="0"/>
                      <w:color w:val="FF0000"/>
                      <w:spacing w:val="-6"/>
                      <w:kern w:val="2"/>
                      <w:sz w:val="21"/>
                      <w:szCs w:val="21"/>
                      <w:highlight w:val="none"/>
                      <w:lang w:val="en-US" w:eastAsia="zh-CN" w:bidi="ar-SA"/>
                    </w:rPr>
                    <w:t>采取雨污分流制；运营期无生产废水外排，厂内卫生间废水经过化粪池预处理后用于周边果园、农田林地</w:t>
                  </w:r>
                  <w:r>
                    <w:rPr>
                      <w:rFonts w:hint="eastAsia" w:cs="Times New Roman"/>
                      <w:bCs w:val="0"/>
                      <w:color w:val="FF0000"/>
                      <w:spacing w:val="-6"/>
                      <w:kern w:val="2"/>
                      <w:sz w:val="21"/>
                      <w:szCs w:val="21"/>
                      <w:highlight w:val="none"/>
                      <w:lang w:val="en-US" w:eastAsia="zh-CN" w:bidi="ar-SA"/>
                    </w:rPr>
                    <w:t>做农肥，不外排</w:t>
                  </w:r>
                  <w:r>
                    <w:rPr>
                      <w:rFonts w:hint="eastAsia" w:ascii="Times New Roman" w:hAnsi="Times New Roman" w:eastAsia="宋体" w:cs="Times New Roman"/>
                      <w:bCs w:val="0"/>
                      <w:color w:val="FF0000"/>
                      <w:spacing w:val="-6"/>
                      <w:kern w:val="2"/>
                      <w:sz w:val="21"/>
                      <w:szCs w:val="21"/>
                      <w:highlight w:val="none"/>
                      <w:lang w:val="en-US" w:eastAsia="zh-CN" w:bidi="ar-SA"/>
                    </w:rPr>
                    <w:t>，</w:t>
                  </w:r>
                  <w:r>
                    <w:rPr>
                      <w:rFonts w:hint="eastAsia" w:cs="Times New Roman"/>
                      <w:bCs w:val="0"/>
                      <w:color w:val="FF0000"/>
                      <w:spacing w:val="-6"/>
                      <w:kern w:val="2"/>
                      <w:sz w:val="21"/>
                      <w:szCs w:val="21"/>
                      <w:highlight w:val="none"/>
                      <w:lang w:val="en-US" w:eastAsia="zh-CN" w:bidi="ar-SA"/>
                    </w:rPr>
                    <w:t>不设置废水排放口；施工期严格落实</w:t>
                  </w:r>
                  <w:r>
                    <w:rPr>
                      <w:rFonts w:hint="default" w:ascii="Times New Roman" w:hAnsi="Times New Roman" w:eastAsia="宋体" w:cs="Times New Roman"/>
                      <w:color w:val="FF0000"/>
                      <w:sz w:val="21"/>
                      <w:szCs w:val="21"/>
                      <w:highlight w:val="none"/>
                    </w:rPr>
                    <w:t>建筑工地六个百分百</w:t>
                  </w:r>
                  <w:r>
                    <w:rPr>
                      <w:rFonts w:hint="eastAsia" w:cs="Times New Roman"/>
                      <w:color w:val="FF0000"/>
                      <w:sz w:val="21"/>
                      <w:szCs w:val="21"/>
                      <w:highlight w:val="none"/>
                      <w:lang w:val="en-US" w:eastAsia="zh-CN"/>
                    </w:rPr>
                    <w:t>要求</w:t>
                  </w:r>
                  <w:r>
                    <w:rPr>
                      <w:rFonts w:hint="default" w:ascii="Times New Roman" w:hAnsi="Times New Roman" w:eastAsia="宋体" w:cs="Times New Roman"/>
                      <w:color w:val="FF0000"/>
                      <w:sz w:val="21"/>
                      <w:szCs w:val="21"/>
                      <w:highlight w:val="none"/>
                    </w:rPr>
                    <w:t>，</w:t>
                  </w:r>
                  <w:r>
                    <w:rPr>
                      <w:rFonts w:hint="eastAsia" w:cs="Times New Roman"/>
                      <w:color w:val="FF0000"/>
                      <w:sz w:val="21"/>
                      <w:szCs w:val="21"/>
                      <w:highlight w:val="none"/>
                      <w:lang w:val="en-US" w:eastAsia="zh-CN"/>
                    </w:rPr>
                    <w:t>餐饮油烟经油烟净化器处理后外排；制棒、炭化废气燃烧后同烘干废气经布袋除尘器处理后达标排放，严禁焚烧建筑垃圾。</w:t>
                  </w:r>
                </w:p>
              </w:tc>
              <w:tc>
                <w:tcPr>
                  <w:tcW w:w="784" w:type="dxa"/>
                  <w:vAlign w:val="top"/>
                </w:tcPr>
                <w:p w14:paraId="18B96B11">
                  <w:pPr>
                    <w:spacing w:line="240" w:lineRule="auto"/>
                    <w:jc w:val="both"/>
                    <w:rPr>
                      <w:rFonts w:hint="default" w:ascii="Times New Roman" w:hAnsi="Times New Roman" w:eastAsia="宋体" w:cs="Times New Roman"/>
                      <w:color w:val="FF0000"/>
                      <w:sz w:val="21"/>
                      <w:szCs w:val="21"/>
                      <w:highlight w:val="none"/>
                      <w:lang w:val="en-US" w:eastAsia="zh-CN"/>
                    </w:rPr>
                  </w:pPr>
                  <w:r>
                    <w:rPr>
                      <w:rFonts w:hint="eastAsia" w:cs="Times New Roman"/>
                      <w:color w:val="FF0000"/>
                      <w:sz w:val="21"/>
                      <w:szCs w:val="21"/>
                      <w:highlight w:val="none"/>
                      <w:lang w:val="en-US" w:eastAsia="zh-CN"/>
                    </w:rPr>
                    <w:t>符合</w:t>
                  </w:r>
                </w:p>
              </w:tc>
            </w:tr>
            <w:tr w14:paraId="2A9E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dxa"/>
                  <w:vMerge w:val="continue"/>
                  <w:vAlign w:val="center"/>
                </w:tcPr>
                <w:p w14:paraId="4E3A1788">
                  <w:pPr>
                    <w:adjustRightInd w:val="0"/>
                    <w:snapToGrid w:val="0"/>
                    <w:spacing w:line="240" w:lineRule="auto"/>
                    <w:rPr>
                      <w:rFonts w:hint="default" w:ascii="Times New Roman" w:hAnsi="Times New Roman" w:eastAsia="宋体" w:cs="Times New Roman"/>
                      <w:color w:val="FF0000"/>
                      <w:sz w:val="21"/>
                      <w:szCs w:val="21"/>
                      <w:highlight w:val="red"/>
                      <w:lang w:eastAsia="zh-CN"/>
                    </w:rPr>
                  </w:pPr>
                </w:p>
              </w:tc>
              <w:tc>
                <w:tcPr>
                  <w:tcW w:w="804" w:type="dxa"/>
                  <w:vAlign w:val="center"/>
                </w:tcPr>
                <w:p w14:paraId="67D9CB1B">
                  <w:pPr>
                    <w:adjustRightInd w:val="0"/>
                    <w:snapToGrid w:val="0"/>
                    <w:spacing w:line="240" w:lineRule="auto"/>
                    <w:rPr>
                      <w:rFonts w:hint="default" w:ascii="Times New Roman" w:hAnsi="Times New Roman" w:eastAsia="宋体" w:cs="Times New Roman"/>
                      <w:color w:val="FF0000"/>
                      <w:sz w:val="21"/>
                      <w:szCs w:val="21"/>
                      <w:highlight w:val="red"/>
                    </w:rPr>
                  </w:pPr>
                  <w:r>
                    <w:rPr>
                      <w:rFonts w:hint="default" w:ascii="Times New Roman" w:hAnsi="Times New Roman" w:eastAsia="宋体" w:cs="Times New Roman"/>
                      <w:color w:val="FF0000"/>
                      <w:sz w:val="21"/>
                      <w:szCs w:val="21"/>
                    </w:rPr>
                    <w:t>环境风险防控</w:t>
                  </w:r>
                </w:p>
              </w:tc>
              <w:tc>
                <w:tcPr>
                  <w:tcW w:w="6043" w:type="dxa"/>
                  <w:vAlign w:val="center"/>
                </w:tcPr>
                <w:p w14:paraId="5368529E">
                  <w:pPr>
                    <w:adjustRightInd w:val="0"/>
                    <w:snapToGrid w:val="0"/>
                    <w:spacing w:line="240" w:lineRule="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1.切实推动勐板河饮用水源地环境隐患问题整改工作，强化集中式水源地规范化建设，完善防护隔离。</w:t>
                  </w:r>
                </w:p>
                <w:p w14:paraId="795DF484">
                  <w:pPr>
                    <w:adjustRightInd w:val="0"/>
                    <w:snapToGrid w:val="0"/>
                    <w:spacing w:line="240" w:lineRule="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加强备用水源地环境保护，彻底整改省委省政府生态环境保护督察“回头看”中对芒究水库的反馈问题，在备用水源地完成调换前，实施定期监测、检测和评估饮用水水源、供水厂出水和用户水头水质等工作，确保饮用水安全。</w:t>
                  </w:r>
                </w:p>
                <w:p w14:paraId="4C952F34">
                  <w:pPr>
                    <w:adjustRightInd w:val="0"/>
                    <w:snapToGrid w:val="0"/>
                    <w:spacing w:line="240" w:lineRule="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3.建立芒市城市环境空气质量预报预警平台，提升预报预警准确率，建立健全污染应急响应机制。</w:t>
                  </w:r>
                </w:p>
                <w:p w14:paraId="23F7CDBE">
                  <w:pPr>
                    <w:adjustRightInd w:val="0"/>
                    <w:snapToGrid w:val="0"/>
                    <w:spacing w:line="240" w:lineRule="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4.与瑞丽市探索建立大气污染防治联防联控机制，通过“统一研究、统一部署、统一施策、统一标准”和应急同步响应、信息及时互通、工作协同推进等联防联控措施，确保大气环境质量持续优良。</w:t>
                  </w:r>
                </w:p>
                <w:p w14:paraId="4B2B36A7">
                  <w:pPr>
                    <w:adjustRightInd w:val="0"/>
                    <w:snapToGrid w:val="0"/>
                    <w:spacing w:line="240" w:lineRule="auto"/>
                    <w:rPr>
                      <w:rFonts w:hint="default" w:ascii="Times New Roman" w:hAnsi="Times New Roman" w:eastAsia="宋体" w:cs="Times New Roman"/>
                      <w:color w:val="FF0000"/>
                      <w:sz w:val="21"/>
                      <w:szCs w:val="21"/>
                      <w:highlight w:val="red"/>
                    </w:rPr>
                  </w:pPr>
                  <w:r>
                    <w:rPr>
                      <w:rFonts w:hint="default" w:ascii="Times New Roman" w:hAnsi="Times New Roman" w:eastAsia="宋体" w:cs="Times New Roman"/>
                      <w:color w:val="FF0000"/>
                      <w:sz w:val="21"/>
                      <w:szCs w:val="21"/>
                    </w:rPr>
                    <w:t>5.禁止建设排放重金属、“三致物”、剧毒物质污染物的项目，严格控制持久性有机污染物的项目。</w:t>
                  </w:r>
                </w:p>
              </w:tc>
              <w:tc>
                <w:tcPr>
                  <w:tcW w:w="4714" w:type="dxa"/>
                  <w:vAlign w:val="top"/>
                </w:tcPr>
                <w:p w14:paraId="4404C4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Cs w:val="0"/>
                      <w:color w:val="FF0000"/>
                      <w:spacing w:val="-6"/>
                      <w:kern w:val="2"/>
                      <w:sz w:val="21"/>
                      <w:szCs w:val="21"/>
                      <w:highlight w:val="none"/>
                      <w:lang w:val="en-US" w:eastAsia="zh-CN" w:bidi="ar-SA"/>
                    </w:rPr>
                    <w:t>项目位于云南省德宏州芒市遮放农场晓阳社区居民委员会第七居民小组，土地性质属于工业用地</w:t>
                  </w:r>
                  <w:r>
                    <w:rPr>
                      <w:rFonts w:hint="eastAsia" w:cs="Times New Roman"/>
                      <w:bCs w:val="0"/>
                      <w:color w:val="FF0000"/>
                      <w:spacing w:val="-6"/>
                      <w:kern w:val="2"/>
                      <w:sz w:val="21"/>
                      <w:szCs w:val="21"/>
                      <w:highlight w:val="none"/>
                      <w:lang w:val="en-US" w:eastAsia="zh-CN" w:bidi="ar-SA"/>
                    </w:rPr>
                    <w:t>，不涉及饮用水源地，不属于</w:t>
                  </w:r>
                  <w:r>
                    <w:rPr>
                      <w:rFonts w:hint="default" w:ascii="Times New Roman" w:hAnsi="Times New Roman" w:eastAsia="宋体" w:cs="Times New Roman"/>
                      <w:color w:val="FF0000"/>
                      <w:sz w:val="21"/>
                      <w:szCs w:val="21"/>
                      <w:highlight w:val="none"/>
                    </w:rPr>
                    <w:t>排放重金属、“三致物”、剧毒物质污染物的项目，</w:t>
                  </w:r>
                  <w:r>
                    <w:rPr>
                      <w:rFonts w:hint="eastAsia" w:cs="Times New Roman"/>
                      <w:color w:val="FF0000"/>
                      <w:sz w:val="21"/>
                      <w:szCs w:val="21"/>
                      <w:highlight w:val="none"/>
                      <w:lang w:val="en-US" w:eastAsia="zh-CN"/>
                    </w:rPr>
                    <w:t>炭化废气（挥发性有机物）经燃烧后外排。</w:t>
                  </w:r>
                </w:p>
              </w:tc>
              <w:tc>
                <w:tcPr>
                  <w:tcW w:w="784" w:type="dxa"/>
                  <w:vAlign w:val="top"/>
                </w:tcPr>
                <w:p w14:paraId="1B2C0F3E">
                  <w:pPr>
                    <w:spacing w:line="240" w:lineRule="auto"/>
                    <w:jc w:val="both"/>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14:paraId="327DF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dxa"/>
                  <w:vMerge w:val="continue"/>
                  <w:vAlign w:val="center"/>
                </w:tcPr>
                <w:p w14:paraId="42A5979A">
                  <w:pPr>
                    <w:adjustRightInd w:val="0"/>
                    <w:snapToGrid w:val="0"/>
                    <w:spacing w:line="240" w:lineRule="auto"/>
                    <w:rPr>
                      <w:rFonts w:hint="default" w:ascii="Times New Roman" w:hAnsi="Times New Roman" w:eastAsia="宋体" w:cs="Times New Roman"/>
                      <w:color w:val="FF0000"/>
                      <w:sz w:val="21"/>
                      <w:szCs w:val="21"/>
                      <w:highlight w:val="red"/>
                      <w:lang w:eastAsia="zh-CN"/>
                    </w:rPr>
                  </w:pPr>
                </w:p>
              </w:tc>
              <w:tc>
                <w:tcPr>
                  <w:tcW w:w="804" w:type="dxa"/>
                  <w:vAlign w:val="center"/>
                </w:tcPr>
                <w:p w14:paraId="17DD9B30">
                  <w:pPr>
                    <w:adjustRightInd w:val="0"/>
                    <w:snapToGrid w:val="0"/>
                    <w:spacing w:line="240" w:lineRule="auto"/>
                    <w:rPr>
                      <w:rFonts w:hint="default" w:ascii="Times New Roman" w:hAnsi="Times New Roman" w:eastAsia="宋体" w:cs="Times New Roman"/>
                      <w:color w:val="FF0000"/>
                      <w:sz w:val="21"/>
                      <w:szCs w:val="21"/>
                      <w:highlight w:val="red"/>
                    </w:rPr>
                  </w:pPr>
                  <w:r>
                    <w:rPr>
                      <w:rFonts w:hint="default" w:ascii="Times New Roman" w:hAnsi="Times New Roman" w:eastAsia="宋体" w:cs="Times New Roman"/>
                      <w:color w:val="FF0000"/>
                      <w:sz w:val="21"/>
                      <w:szCs w:val="21"/>
                    </w:rPr>
                    <w:t>资源开发效率要求</w:t>
                  </w:r>
                </w:p>
              </w:tc>
              <w:tc>
                <w:tcPr>
                  <w:tcW w:w="6043" w:type="dxa"/>
                  <w:vAlign w:val="center"/>
                </w:tcPr>
                <w:p w14:paraId="1EFF6C33">
                  <w:pPr>
                    <w:adjustRightInd w:val="0"/>
                    <w:snapToGrid w:val="0"/>
                    <w:spacing w:line="240" w:lineRule="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1.鼓励将城市污水处理厂再生水、分散污水处理设施尾水以及经收集和处理后的雨水用于河道生态补水。</w:t>
                  </w:r>
                </w:p>
                <w:p w14:paraId="053CC194">
                  <w:pPr>
                    <w:adjustRightInd w:val="0"/>
                    <w:snapToGrid w:val="0"/>
                    <w:spacing w:line="240" w:lineRule="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禁燃区内全面禁止使用原（散）煤、洗选煤、蜂窝煤、焦炭、木炭、煤矸石、煤泥、煤焦油、重油、渣油等高污染燃料，全面禁止将废弃沥青、油毡、橡胶、塑料、皮革及其他焚烧产生有毒有害烟尘和恶臭的物质作为燃料使用。</w:t>
                  </w:r>
                </w:p>
                <w:p w14:paraId="52EE8282">
                  <w:pPr>
                    <w:adjustRightInd w:val="0"/>
                    <w:snapToGrid w:val="0"/>
                    <w:spacing w:line="240" w:lineRule="auto"/>
                    <w:rPr>
                      <w:rFonts w:hint="default" w:ascii="Times New Roman" w:hAnsi="Times New Roman" w:eastAsia="宋体" w:cs="Times New Roman"/>
                      <w:color w:val="FF0000"/>
                      <w:sz w:val="21"/>
                      <w:szCs w:val="21"/>
                      <w:highlight w:val="red"/>
                    </w:rPr>
                  </w:pPr>
                  <w:r>
                    <w:rPr>
                      <w:rFonts w:hint="default" w:ascii="Times New Roman" w:hAnsi="Times New Roman" w:eastAsia="宋体" w:cs="Times New Roman"/>
                      <w:color w:val="FF0000"/>
                      <w:sz w:val="21"/>
                      <w:szCs w:val="21"/>
                    </w:rPr>
                    <w:t>3.推进“煤改气”“煤改电”，加快天然气建设和推广，加大燃气汽车、混合动力汽车和电动汽车等清洁能源汽车的使用力度，进一步提高清洁能源使用率。</w:t>
                  </w:r>
                </w:p>
              </w:tc>
              <w:tc>
                <w:tcPr>
                  <w:tcW w:w="4714" w:type="dxa"/>
                  <w:vAlign w:val="top"/>
                </w:tcPr>
                <w:p w14:paraId="6BAE086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Cs w:val="0"/>
                      <w:color w:val="FF0000"/>
                      <w:spacing w:val="-6"/>
                      <w:kern w:val="2"/>
                      <w:sz w:val="21"/>
                      <w:szCs w:val="21"/>
                      <w:highlight w:val="none"/>
                      <w:lang w:val="en-US" w:eastAsia="zh-CN" w:bidi="ar-SA"/>
                    </w:rPr>
                    <w:t>项目</w:t>
                  </w:r>
                  <w:r>
                    <w:rPr>
                      <w:rFonts w:hint="eastAsia" w:ascii="Times New Roman" w:hAnsi="Times New Roman" w:eastAsia="宋体" w:cs="Times New Roman"/>
                      <w:bCs w:val="0"/>
                      <w:color w:val="FF0000"/>
                      <w:spacing w:val="-6"/>
                      <w:kern w:val="2"/>
                      <w:sz w:val="21"/>
                      <w:szCs w:val="21"/>
                      <w:highlight w:val="none"/>
                      <w:lang w:val="en-US" w:eastAsia="zh-CN" w:bidi="ar-SA"/>
                    </w:rPr>
                    <w:t>采取雨污分流制；运营期无生产废水外排，厂内卫生间废水经过化粪池预处理后用于周边果园、农田林地</w:t>
                  </w:r>
                  <w:r>
                    <w:rPr>
                      <w:rFonts w:hint="eastAsia" w:cs="Times New Roman"/>
                      <w:bCs w:val="0"/>
                      <w:color w:val="FF0000"/>
                      <w:spacing w:val="-6"/>
                      <w:kern w:val="2"/>
                      <w:sz w:val="21"/>
                      <w:szCs w:val="21"/>
                      <w:highlight w:val="none"/>
                      <w:lang w:val="en-US" w:eastAsia="zh-CN" w:bidi="ar-SA"/>
                    </w:rPr>
                    <w:t>做农肥，不外排</w:t>
                  </w:r>
                  <w:r>
                    <w:rPr>
                      <w:rFonts w:hint="eastAsia" w:ascii="Times New Roman" w:hAnsi="Times New Roman" w:eastAsia="宋体" w:cs="Times New Roman"/>
                      <w:bCs w:val="0"/>
                      <w:color w:val="FF0000"/>
                      <w:spacing w:val="-6"/>
                      <w:kern w:val="2"/>
                      <w:sz w:val="21"/>
                      <w:szCs w:val="21"/>
                      <w:highlight w:val="none"/>
                      <w:lang w:val="en-US" w:eastAsia="zh-CN" w:bidi="ar-SA"/>
                    </w:rPr>
                    <w:t>，</w:t>
                  </w:r>
                  <w:r>
                    <w:rPr>
                      <w:rFonts w:hint="eastAsia" w:cs="Times New Roman"/>
                      <w:bCs w:val="0"/>
                      <w:color w:val="FF0000"/>
                      <w:spacing w:val="-6"/>
                      <w:kern w:val="2"/>
                      <w:sz w:val="21"/>
                      <w:szCs w:val="21"/>
                      <w:highlight w:val="none"/>
                      <w:lang w:val="en-US" w:eastAsia="zh-CN" w:bidi="ar-SA"/>
                    </w:rPr>
                    <w:t>不设置废水排放口；</w:t>
                  </w:r>
                  <w:r>
                    <w:rPr>
                      <w:rFonts w:hint="default" w:ascii="Times New Roman" w:hAnsi="Times New Roman" w:eastAsia="宋体" w:cs="Times New Roman"/>
                      <w:b w:val="0"/>
                      <w:bCs w:val="0"/>
                      <w:color w:val="FF0000"/>
                      <w:sz w:val="21"/>
                      <w:szCs w:val="21"/>
                      <w:lang w:eastAsia="zh-CN"/>
                    </w:rPr>
                    <w:t>炭化</w:t>
                  </w:r>
                  <w:r>
                    <w:rPr>
                      <w:rFonts w:hint="eastAsia" w:cs="Times New Roman"/>
                      <w:b w:val="0"/>
                      <w:bCs w:val="0"/>
                      <w:color w:val="FF0000"/>
                      <w:sz w:val="21"/>
                      <w:szCs w:val="21"/>
                      <w:lang w:eastAsia="zh-CN"/>
                    </w:rPr>
                    <w:t>、</w:t>
                  </w:r>
                  <w:r>
                    <w:rPr>
                      <w:rFonts w:hint="eastAsia" w:cs="Times New Roman"/>
                      <w:b w:val="0"/>
                      <w:bCs w:val="0"/>
                      <w:color w:val="FF0000"/>
                      <w:sz w:val="21"/>
                      <w:szCs w:val="21"/>
                      <w:lang w:val="en-US" w:eastAsia="zh-CN"/>
                    </w:rPr>
                    <w:t>制棒</w:t>
                  </w:r>
                  <w:r>
                    <w:rPr>
                      <w:rFonts w:hint="default" w:ascii="Times New Roman" w:hAnsi="Times New Roman" w:eastAsia="宋体" w:cs="Times New Roman"/>
                      <w:b w:val="0"/>
                      <w:bCs w:val="0"/>
                      <w:color w:val="FF0000"/>
                      <w:sz w:val="21"/>
                      <w:szCs w:val="21"/>
                      <w:lang w:eastAsia="zh-CN"/>
                    </w:rPr>
                    <w:t>废气</w:t>
                  </w:r>
                  <w:r>
                    <w:rPr>
                      <w:rFonts w:hint="eastAsia" w:ascii="Times New Roman" w:hAnsi="Times New Roman" w:eastAsia="宋体" w:cs="Times New Roman"/>
                      <w:b w:val="0"/>
                      <w:bCs w:val="0"/>
                      <w:color w:val="FF0000"/>
                      <w:sz w:val="21"/>
                      <w:szCs w:val="21"/>
                      <w:lang w:val="en-US" w:eastAsia="zh-CN"/>
                    </w:rPr>
                    <w:t>直接</w:t>
                  </w:r>
                  <w:r>
                    <w:rPr>
                      <w:rFonts w:hint="default" w:ascii="Times New Roman" w:hAnsi="Times New Roman" w:eastAsia="宋体" w:cs="Times New Roman"/>
                      <w:b w:val="0"/>
                      <w:bCs w:val="0"/>
                      <w:color w:val="FF0000"/>
                      <w:sz w:val="21"/>
                      <w:szCs w:val="21"/>
                      <w:lang w:eastAsia="zh-CN"/>
                    </w:rPr>
                    <w:t>引入热风炉</w:t>
                  </w:r>
                  <w:r>
                    <w:rPr>
                      <w:rFonts w:hint="eastAsia" w:cs="Times New Roman"/>
                      <w:b w:val="0"/>
                      <w:bCs w:val="0"/>
                      <w:color w:val="FF0000"/>
                      <w:sz w:val="21"/>
                      <w:szCs w:val="21"/>
                      <w:lang w:val="en-US" w:eastAsia="zh-CN"/>
                    </w:rPr>
                    <w:t>做燃料，添加少量生物质燃料</w:t>
                  </w:r>
                  <w:r>
                    <w:rPr>
                      <w:rFonts w:hint="eastAsia" w:ascii="Times New Roman" w:hAnsi="Times New Roman" w:eastAsia="宋体" w:cs="Times New Roman"/>
                      <w:b w:val="0"/>
                      <w:bCs w:val="0"/>
                      <w:color w:val="FF0000"/>
                      <w:sz w:val="21"/>
                      <w:szCs w:val="21"/>
                      <w:lang w:eastAsia="zh-CN"/>
                    </w:rPr>
                    <w:t>，</w:t>
                  </w:r>
                  <w:r>
                    <w:rPr>
                      <w:rFonts w:hint="eastAsia" w:cs="Times New Roman"/>
                      <w:b w:val="0"/>
                      <w:bCs w:val="0"/>
                      <w:color w:val="FF0000"/>
                      <w:sz w:val="21"/>
                      <w:szCs w:val="21"/>
                      <w:highlight w:val="none"/>
                      <w:lang w:val="en-US" w:eastAsia="zh-CN"/>
                    </w:rPr>
                    <w:t>炭</w:t>
                  </w:r>
                  <w:r>
                    <w:rPr>
                      <w:rFonts w:hint="eastAsia" w:ascii="Times New Roman" w:hAnsi="Times New Roman" w:eastAsia="宋体" w:cs="Times New Roman"/>
                      <w:b w:val="0"/>
                      <w:bCs w:val="0"/>
                      <w:color w:val="FF0000"/>
                      <w:sz w:val="21"/>
                      <w:szCs w:val="21"/>
                      <w:highlight w:val="none"/>
                      <w:lang w:val="en-US" w:eastAsia="zh-CN"/>
                    </w:rPr>
                    <w:t>化</w:t>
                  </w:r>
                  <w:r>
                    <w:rPr>
                      <w:rFonts w:hint="eastAsia" w:cs="Times New Roman"/>
                      <w:b w:val="0"/>
                      <w:bCs w:val="0"/>
                      <w:color w:val="FF0000"/>
                      <w:sz w:val="21"/>
                      <w:szCs w:val="21"/>
                      <w:highlight w:val="none"/>
                      <w:lang w:val="en-US" w:eastAsia="zh-CN"/>
                    </w:rPr>
                    <w:t>、制棒</w:t>
                  </w:r>
                  <w:r>
                    <w:rPr>
                      <w:rFonts w:hint="eastAsia" w:ascii="Times New Roman" w:hAnsi="Times New Roman" w:eastAsia="宋体" w:cs="Times New Roman"/>
                      <w:b w:val="0"/>
                      <w:bCs w:val="0"/>
                      <w:color w:val="FF0000"/>
                      <w:sz w:val="21"/>
                      <w:szCs w:val="21"/>
                      <w:highlight w:val="none"/>
                      <w:lang w:val="en-US" w:eastAsia="zh-CN"/>
                    </w:rPr>
                    <w:t>废气同烘干废气一并经</w:t>
                  </w:r>
                  <w:r>
                    <w:rPr>
                      <w:rFonts w:hint="eastAsia" w:cs="Times New Roman"/>
                      <w:b w:val="0"/>
                      <w:bCs w:val="0"/>
                      <w:color w:val="FF0000"/>
                      <w:sz w:val="21"/>
                      <w:szCs w:val="21"/>
                      <w:highlight w:val="none"/>
                      <w:lang w:val="en-US" w:eastAsia="zh-CN"/>
                    </w:rPr>
                    <w:t>旋风分离后经</w:t>
                  </w:r>
                  <w:r>
                    <w:rPr>
                      <w:rFonts w:hint="default" w:ascii="Times New Roman" w:hAnsi="Times New Roman" w:eastAsia="宋体" w:cs="Times New Roman"/>
                      <w:b w:val="0"/>
                      <w:bCs w:val="0"/>
                      <w:color w:val="FF0000"/>
                      <w:sz w:val="21"/>
                      <w:szCs w:val="21"/>
                      <w:highlight w:val="none"/>
                      <w:lang w:eastAsia="zh-CN"/>
                    </w:rPr>
                    <w:t>袋式除尘器</w:t>
                  </w:r>
                  <w:r>
                    <w:rPr>
                      <w:rFonts w:hint="eastAsia" w:cs="Times New Roman"/>
                      <w:b w:val="0"/>
                      <w:bCs w:val="0"/>
                      <w:color w:val="FF0000"/>
                      <w:sz w:val="21"/>
                      <w:szCs w:val="21"/>
                      <w:highlight w:val="none"/>
                      <w:lang w:val="en-US" w:eastAsia="zh-CN"/>
                    </w:rPr>
                    <w:t>外排。</w:t>
                  </w:r>
                </w:p>
              </w:tc>
              <w:tc>
                <w:tcPr>
                  <w:tcW w:w="784" w:type="dxa"/>
                  <w:vAlign w:val="top"/>
                </w:tcPr>
                <w:p w14:paraId="5FDA0E0B">
                  <w:pPr>
                    <w:spacing w:line="240" w:lineRule="auto"/>
                    <w:jc w:val="both"/>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14:paraId="5EB0E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dxa"/>
                  <w:vAlign w:val="top"/>
                </w:tcPr>
                <w:p w14:paraId="6E60F17D">
                  <w:pPr>
                    <w:spacing w:line="240" w:lineRule="auto"/>
                    <w:jc w:val="both"/>
                    <w:rPr>
                      <w:rFonts w:hint="default" w:ascii="Times New Roman" w:hAnsi="Times New Roman" w:eastAsia="宋体" w:cs="Times New Roman"/>
                      <w:color w:val="FF0000"/>
                      <w:sz w:val="21"/>
                      <w:szCs w:val="21"/>
                      <w:highlight w:val="none"/>
                      <w:lang w:eastAsia="zh-CN"/>
                    </w:rPr>
                  </w:pPr>
                  <w:r>
                    <w:rPr>
                      <w:rFonts w:hint="default" w:ascii="Times New Roman" w:hAnsi="Times New Roman" w:eastAsia="宋体" w:cs="Times New Roman"/>
                      <w:color w:val="FF0000"/>
                      <w:sz w:val="21"/>
                      <w:szCs w:val="21"/>
                      <w:highlight w:val="none"/>
                      <w:lang w:eastAsia="zh-CN"/>
                    </w:rPr>
                    <w:t>芒市大气环境弱扩散重点管控单元</w:t>
                  </w:r>
                </w:p>
              </w:tc>
              <w:tc>
                <w:tcPr>
                  <w:tcW w:w="804" w:type="dxa"/>
                  <w:vAlign w:val="top"/>
                </w:tcPr>
                <w:p w14:paraId="2D4581EB">
                  <w:pPr>
                    <w:spacing w:line="240" w:lineRule="auto"/>
                    <w:jc w:val="both"/>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空间布局约束</w:t>
                  </w:r>
                </w:p>
              </w:tc>
              <w:tc>
                <w:tcPr>
                  <w:tcW w:w="6043" w:type="dxa"/>
                  <w:vAlign w:val="top"/>
                </w:tcPr>
                <w:p w14:paraId="14966F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优化产业布局，加强大气污染排放管控，严格论证新建、扩建钢铁、石化、化工、焦化、建材、有色冶炼等高污染项目，确保大气环境质量达标。</w:t>
                  </w:r>
                </w:p>
              </w:tc>
              <w:tc>
                <w:tcPr>
                  <w:tcW w:w="4714" w:type="dxa"/>
                  <w:vAlign w:val="top"/>
                </w:tcPr>
                <w:p w14:paraId="301337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本项目不属于</w:t>
                  </w:r>
                  <w:r>
                    <w:rPr>
                      <w:rFonts w:hint="default" w:ascii="Times New Roman" w:hAnsi="Times New Roman" w:eastAsia="宋体" w:cs="Times New Roman"/>
                      <w:color w:val="FF0000"/>
                      <w:sz w:val="21"/>
                      <w:szCs w:val="21"/>
                      <w:highlight w:val="none"/>
                    </w:rPr>
                    <w:t>新建、扩建钢铁、石化、化工、焦化、建材、有色冶炼等高污染项目</w:t>
                  </w:r>
                  <w:r>
                    <w:rPr>
                      <w:rFonts w:hint="default" w:ascii="Times New Roman" w:hAnsi="Times New Roman" w:eastAsia="宋体" w:cs="Times New Roman"/>
                      <w:color w:val="FF0000"/>
                      <w:sz w:val="21"/>
                      <w:szCs w:val="21"/>
                      <w:highlight w:val="none"/>
                      <w:lang w:eastAsia="zh-CN"/>
                    </w:rPr>
                    <w:t>，且制定</w:t>
                  </w:r>
                  <w:r>
                    <w:rPr>
                      <w:rFonts w:hint="default" w:ascii="Times New Roman" w:hAnsi="Times New Roman" w:eastAsia="宋体" w:cs="Times New Roman"/>
                      <w:color w:val="FF0000"/>
                      <w:sz w:val="21"/>
                      <w:szCs w:val="21"/>
                      <w:highlight w:val="none"/>
                      <w:lang w:val="en-US" w:eastAsia="zh-CN"/>
                    </w:rPr>
                    <w:t>科学合理的产业规划，生产线进一步优化。</w:t>
                  </w:r>
                </w:p>
              </w:tc>
              <w:tc>
                <w:tcPr>
                  <w:tcW w:w="784" w:type="dxa"/>
                  <w:vAlign w:val="top"/>
                </w:tcPr>
                <w:p w14:paraId="4542F188">
                  <w:pPr>
                    <w:spacing w:line="240" w:lineRule="auto"/>
                    <w:jc w:val="both"/>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符合</w:t>
                  </w:r>
                </w:p>
              </w:tc>
            </w:tr>
          </w:tbl>
          <w:p w14:paraId="2B259EAE">
            <w:pPr>
              <w:spacing w:line="360" w:lineRule="auto"/>
              <w:ind w:firstLine="420" w:firstLineChars="200"/>
              <w:rPr>
                <w:rFonts w:hint="default"/>
                <w:sz w:val="24"/>
                <w:szCs w:val="24"/>
              </w:rPr>
            </w:pPr>
            <w:r>
              <w:rPr>
                <w:rFonts w:hint="default" w:ascii="Times New Roman" w:hAnsi="Times New Roman" w:eastAsia="宋体" w:cs="Times New Roman"/>
                <w:sz w:val="21"/>
                <w:szCs w:val="21"/>
              </w:rPr>
              <w:t>综上，项目符合《德宏州</w:t>
            </w:r>
            <w:r>
              <w:rPr>
                <w:rFonts w:hint="default"/>
                <w:sz w:val="24"/>
                <w:szCs w:val="24"/>
              </w:rPr>
              <w:t>生态环境分区管控动态更新方案》</w:t>
            </w:r>
            <w:r>
              <w:rPr>
                <w:rFonts w:hint="default"/>
                <w:sz w:val="24"/>
                <w:szCs w:val="24"/>
                <w:lang w:eastAsia="zh-CN"/>
              </w:rPr>
              <w:t>（</w:t>
            </w:r>
            <w:r>
              <w:rPr>
                <w:rFonts w:hint="default"/>
                <w:sz w:val="24"/>
                <w:szCs w:val="24"/>
                <w:lang w:val="en-US" w:eastAsia="zh-CN"/>
              </w:rPr>
              <w:t>德政发[202</w:t>
            </w:r>
            <w:r>
              <w:rPr>
                <w:rFonts w:hint="eastAsia"/>
                <w:sz w:val="24"/>
                <w:szCs w:val="24"/>
                <w:lang w:val="en-US" w:eastAsia="zh-CN"/>
              </w:rPr>
              <w:t>4</w:t>
            </w:r>
            <w:r>
              <w:rPr>
                <w:rFonts w:hint="default"/>
                <w:sz w:val="24"/>
                <w:szCs w:val="24"/>
                <w:lang w:val="en-US" w:eastAsia="zh-CN"/>
              </w:rPr>
              <w:t>]</w:t>
            </w:r>
            <w:r>
              <w:rPr>
                <w:rFonts w:hint="eastAsia"/>
                <w:sz w:val="24"/>
                <w:szCs w:val="24"/>
                <w:lang w:val="en-US" w:eastAsia="zh-CN"/>
              </w:rPr>
              <w:t>39</w:t>
            </w:r>
            <w:r>
              <w:rPr>
                <w:rFonts w:hint="default"/>
                <w:sz w:val="24"/>
                <w:szCs w:val="24"/>
                <w:lang w:val="en-US" w:eastAsia="zh-CN"/>
              </w:rPr>
              <w:t>号</w:t>
            </w:r>
            <w:r>
              <w:rPr>
                <w:rFonts w:hint="default"/>
                <w:sz w:val="24"/>
                <w:szCs w:val="24"/>
                <w:lang w:eastAsia="zh-CN"/>
              </w:rPr>
              <w:t>）</w:t>
            </w:r>
            <w:r>
              <w:rPr>
                <w:rFonts w:hint="default"/>
                <w:sz w:val="24"/>
                <w:szCs w:val="24"/>
              </w:rPr>
              <w:t>三线一单的管理要求。</w:t>
            </w:r>
          </w:p>
          <w:p w14:paraId="08A8821A">
            <w:pPr>
              <w:pStyle w:val="20"/>
              <w:numPr>
                <w:ilvl w:val="0"/>
                <w:numId w:val="2"/>
              </w:numPr>
              <w:spacing w:before="0" w:beforeAutospacing="0" w:after="0" w:afterAutospacing="0" w:line="360" w:lineRule="auto"/>
              <w:ind w:left="0" w:leftChars="0" w:firstLine="482" w:firstLineChars="0"/>
              <w:rPr>
                <w:rFonts w:hint="default" w:ascii="Times New Roman" w:hAnsi="Times New Roman" w:cs="Times New Roman"/>
                <w:b/>
                <w:bCs/>
                <w:szCs w:val="24"/>
              </w:rPr>
            </w:pPr>
            <w:r>
              <w:rPr>
                <w:rFonts w:hint="default" w:ascii="Times New Roman" w:hAnsi="Times New Roman" w:cs="Times New Roman"/>
                <w:b/>
                <w:bCs/>
                <w:sz w:val="24"/>
                <w:szCs w:val="24"/>
              </w:rPr>
              <w:t>项目</w:t>
            </w:r>
            <w:r>
              <w:rPr>
                <w:rFonts w:hint="default" w:ascii="Times New Roman" w:hAnsi="Times New Roman" w:cs="Times New Roman"/>
                <w:b/>
                <w:bCs/>
                <w:szCs w:val="24"/>
              </w:rPr>
              <w:t>与《工业炉窑大气污染综合治理方案》（环大气[2019]56号 ）中的相关要求的符合性分析</w:t>
            </w:r>
          </w:p>
          <w:p w14:paraId="7919E4C6">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b/>
                <w:bCs/>
                <w:sz w:val="24"/>
              </w:rPr>
            </w:pPr>
            <w:r>
              <w:rPr>
                <w:b/>
                <w:bCs/>
                <w:sz w:val="24"/>
              </w:rPr>
              <w:t>表1-</w:t>
            </w:r>
            <w:r>
              <w:rPr>
                <w:rFonts w:hint="eastAsia"/>
                <w:b/>
                <w:bCs/>
                <w:sz w:val="24"/>
                <w:lang w:val="en-US" w:eastAsia="zh-CN"/>
              </w:rPr>
              <w:t>3</w:t>
            </w:r>
            <w:r>
              <w:rPr>
                <w:b/>
                <w:bCs/>
                <w:sz w:val="24"/>
              </w:rPr>
              <w:t xml:space="preserve">项目与环大气[2019]56号 </w:t>
            </w:r>
            <w:r>
              <w:rPr>
                <w:rFonts w:hint="eastAsia"/>
                <w:b/>
                <w:bCs/>
                <w:sz w:val="24"/>
              </w:rPr>
              <w:t>文件</w:t>
            </w:r>
            <w:r>
              <w:rPr>
                <w:b/>
                <w:bCs/>
                <w:sz w:val="24"/>
              </w:rPr>
              <w:t>相关要求相符合性分析</w:t>
            </w:r>
          </w:p>
          <w:tbl>
            <w:tblPr>
              <w:tblStyle w:val="24"/>
              <w:tblW w:w="13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8"/>
              <w:gridCol w:w="4503"/>
              <w:gridCol w:w="817"/>
            </w:tblGrid>
            <w:tr w14:paraId="35D9D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7758" w:type="dxa"/>
                  <w:vAlign w:val="top"/>
                </w:tcPr>
                <w:p w14:paraId="3F1DA5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sz w:val="24"/>
                      <w:vertAlign w:val="baseline"/>
                      <w:lang w:val="en-US" w:eastAsia="zh-CN"/>
                    </w:rPr>
                  </w:pPr>
                  <w:r>
                    <w:rPr>
                      <w:rFonts w:hint="default" w:ascii="Times New Roman" w:hAnsi="Times New Roman" w:eastAsia="宋体" w:cs="Times New Roman"/>
                      <w:b/>
                      <w:bCs/>
                      <w:i w:val="0"/>
                      <w:iCs w:val="0"/>
                      <w:sz w:val="21"/>
                      <w:szCs w:val="21"/>
                    </w:rPr>
                    <w:t>《工业炉窑大气污染综合治理方案》（环大气[2019]56号 ）中相关要求</w:t>
                  </w:r>
                </w:p>
              </w:tc>
              <w:tc>
                <w:tcPr>
                  <w:tcW w:w="4503" w:type="dxa"/>
                  <w:vAlign w:val="top"/>
                </w:tcPr>
                <w:p w14:paraId="23C629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sz w:val="24"/>
                      <w:vertAlign w:val="baseline"/>
                      <w:lang w:val="en-US" w:eastAsia="zh-CN"/>
                    </w:rPr>
                  </w:pPr>
                  <w:r>
                    <w:rPr>
                      <w:rFonts w:hint="default" w:ascii="Times New Roman" w:hAnsi="Times New Roman" w:eastAsia="宋体" w:cs="Times New Roman"/>
                      <w:b/>
                      <w:bCs/>
                      <w:i w:val="0"/>
                      <w:iCs w:val="0"/>
                      <w:sz w:val="21"/>
                      <w:szCs w:val="21"/>
                    </w:rPr>
                    <w:t>本项目情况</w:t>
                  </w:r>
                </w:p>
              </w:tc>
              <w:tc>
                <w:tcPr>
                  <w:tcW w:w="817" w:type="dxa"/>
                  <w:vAlign w:val="top"/>
                </w:tcPr>
                <w:p w14:paraId="210AE7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sz w:val="24"/>
                      <w:vertAlign w:val="baseline"/>
                      <w:lang w:val="en-US" w:eastAsia="zh-CN"/>
                    </w:rPr>
                  </w:pPr>
                  <w:r>
                    <w:rPr>
                      <w:rFonts w:hint="default" w:ascii="Times New Roman" w:hAnsi="Times New Roman" w:cs="Times New Roman"/>
                      <w:b/>
                      <w:bCs/>
                      <w:i w:val="0"/>
                      <w:iCs w:val="0"/>
                      <w:sz w:val="21"/>
                      <w:szCs w:val="21"/>
                    </w:rPr>
                    <w:t>是否符合</w:t>
                  </w:r>
                </w:p>
              </w:tc>
            </w:tr>
            <w:tr w14:paraId="43D13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758" w:type="dxa"/>
                  <w:vAlign w:val="top"/>
                </w:tcPr>
                <w:p w14:paraId="12232AB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b/>
                      <w:bCs/>
                      <w:sz w:val="24"/>
                      <w:vertAlign w:val="baseline"/>
                      <w:lang w:val="en-US" w:eastAsia="zh-CN"/>
                    </w:rPr>
                  </w:pPr>
                  <w:r>
                    <w:rPr>
                      <w:rFonts w:hint="default" w:ascii="Times New Roman" w:hAnsi="Times New Roman" w:eastAsia="宋体" w:cs="Times New Roman"/>
                      <w:color w:val="auto"/>
                      <w:sz w:val="21"/>
                      <w:szCs w:val="21"/>
                    </w:rPr>
                    <w:t xml:space="preserve">（一）加大产业结构调整力度。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 加大落后产能和不达标工业炉窑淘汰力度。分行业清理《产业结构调整指导目录》淘汰类工业炉窑。天津、河北、山西、江苏、山东等地要按时完成各地已出台的钢铁、焦化、化工等行业产业结构调整任务。鼓励各地制定更加严格的环保标准，进一步促进产业结构调整。对热效率低下、敞开未封闭，装备简易落后、自动化程度低，无组织排放突出，以及无治理设施或治理设施工艺落后等严重污染环境的工业炉窑，依法责令停业关闭。 </w:t>
                  </w:r>
                </w:p>
              </w:tc>
              <w:tc>
                <w:tcPr>
                  <w:tcW w:w="4503" w:type="dxa"/>
                  <w:vAlign w:val="top"/>
                </w:tcPr>
                <w:p w14:paraId="395D4D7E">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b/>
                      <w:bCs/>
                      <w:sz w:val="24"/>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本项目用地性质为工业用地，以</w:t>
                  </w:r>
                  <w:r>
                    <w:rPr>
                      <w:rFonts w:hint="eastAsia" w:ascii="Times New Roman" w:hAnsi="Times New Roman" w:eastAsia="宋体" w:cs="Times New Roman"/>
                      <w:color w:val="auto"/>
                      <w:sz w:val="21"/>
                      <w:szCs w:val="21"/>
                      <w:highlight w:val="none"/>
                      <w:vertAlign w:val="baseline"/>
                      <w:lang w:val="en-US" w:eastAsia="zh-CN"/>
                    </w:rPr>
                    <w:t>木屑、刨花及破碎后的</w:t>
                  </w:r>
                  <w:r>
                    <w:rPr>
                      <w:rFonts w:hint="default" w:ascii="Times New Roman" w:hAnsi="Times New Roman" w:eastAsia="宋体" w:cs="Times New Roman"/>
                      <w:color w:val="auto"/>
                      <w:sz w:val="21"/>
                      <w:szCs w:val="21"/>
                      <w:highlight w:val="none"/>
                      <w:vertAlign w:val="baseline"/>
                      <w:lang w:val="en-US" w:eastAsia="zh-CN"/>
                    </w:rPr>
                    <w:t>废弃</w:t>
                  </w:r>
                  <w:r>
                    <w:rPr>
                      <w:rFonts w:hint="eastAsia" w:cs="Times New Roman"/>
                      <w:color w:val="auto"/>
                      <w:sz w:val="21"/>
                      <w:szCs w:val="21"/>
                      <w:highlight w:val="none"/>
                      <w:vertAlign w:val="baseline"/>
                      <w:lang w:val="en-US" w:eastAsia="zh-CN"/>
                    </w:rPr>
                    <w:t>物为</w:t>
                  </w:r>
                  <w:r>
                    <w:rPr>
                      <w:rFonts w:hint="default" w:ascii="Times New Roman" w:hAnsi="Times New Roman" w:eastAsia="宋体" w:cs="Times New Roman"/>
                      <w:color w:val="auto"/>
                      <w:sz w:val="21"/>
                      <w:szCs w:val="21"/>
                      <w:highlight w:val="none"/>
                      <w:vertAlign w:val="baseline"/>
                      <w:lang w:val="en-US" w:eastAsia="zh-CN"/>
                    </w:rPr>
                    <w:t>原料，</w:t>
                  </w:r>
                  <w:r>
                    <w:rPr>
                      <w:rFonts w:hint="eastAsia" w:cs="Times New Roman"/>
                      <w:color w:val="auto"/>
                      <w:sz w:val="21"/>
                      <w:szCs w:val="21"/>
                      <w:highlight w:val="none"/>
                      <w:vertAlign w:val="baseline"/>
                      <w:lang w:val="en-US" w:eastAsia="zh-CN"/>
                    </w:rPr>
                    <w:t>周边原材料充足</w:t>
                  </w:r>
                  <w:r>
                    <w:rPr>
                      <w:rFonts w:hint="default" w:ascii="Times New Roman" w:hAnsi="Times New Roman" w:eastAsia="宋体" w:cs="Times New Roman"/>
                      <w:color w:val="auto"/>
                      <w:sz w:val="21"/>
                      <w:szCs w:val="21"/>
                      <w:highlight w:val="none"/>
                      <w:vertAlign w:val="baseline"/>
                      <w:lang w:val="en-US" w:eastAsia="zh-CN"/>
                    </w:rPr>
                    <w:t>可以为项目提供充足的原料；</w:t>
                  </w:r>
                  <w:r>
                    <w:rPr>
                      <w:rFonts w:hint="default" w:ascii="Times New Roman" w:hAnsi="Times New Roman" w:eastAsia="宋体" w:cs="Times New Roman"/>
                      <w:color w:val="auto"/>
                      <w:sz w:val="21"/>
                      <w:szCs w:val="21"/>
                    </w:rPr>
                    <w:t>项目不属于新增钢铁、焦化、电解铝、铸造、水泥和平板玻璃等产能的项目；项目热风炉所用燃料为制棒、炭化废气、生物质燃料，不燃烧煤；项目烘干工段使用的热风炉、滚筒烘干机，不属于《产业结构调整指导目录》淘汰类工业炉窑。项目使用的热风炉自动化程度较高，</w:t>
                  </w:r>
                  <w:r>
                    <w:rPr>
                      <w:rFonts w:hint="eastAsia" w:ascii="Times New Roman" w:hAnsi="Times New Roman" w:eastAsia="宋体" w:cs="Times New Roman"/>
                      <w:color w:val="auto"/>
                      <w:sz w:val="21"/>
                      <w:szCs w:val="21"/>
                      <w:lang w:eastAsia="zh-CN"/>
                    </w:rPr>
                    <w:t>外排有组织废气</w:t>
                  </w:r>
                  <w:r>
                    <w:rPr>
                      <w:rFonts w:hint="default" w:ascii="Times New Roman" w:hAnsi="Times New Roman" w:eastAsia="宋体" w:cs="Times New Roman"/>
                      <w:color w:val="auto"/>
                      <w:sz w:val="21"/>
                      <w:szCs w:val="21"/>
                    </w:rPr>
                    <w:t>配套治理设施为</w:t>
                  </w:r>
                  <w:r>
                    <w:rPr>
                      <w:rFonts w:hint="eastAsia" w:ascii="Times New Roman" w:hAnsi="Times New Roman" w:eastAsia="宋体" w:cs="Times New Roman"/>
                      <w:color w:val="auto"/>
                      <w:sz w:val="21"/>
                      <w:szCs w:val="21"/>
                      <w:lang w:eastAsia="zh-CN"/>
                    </w:rPr>
                    <w:t>“袋式除尘器”</w:t>
                  </w:r>
                  <w:r>
                    <w:rPr>
                      <w:rFonts w:hint="default" w:ascii="Times New Roman" w:hAnsi="Times New Roman" w:eastAsia="宋体" w:cs="Times New Roman"/>
                      <w:sz w:val="21"/>
                      <w:szCs w:val="21"/>
                    </w:rPr>
                    <w:t>对废气的治理效率</w:t>
                  </w:r>
                  <w:r>
                    <w:rPr>
                      <w:rFonts w:hint="eastAsia" w:ascii="Times New Roman" w:hAnsi="Times New Roman" w:eastAsia="宋体" w:cs="Times New Roman"/>
                      <w:sz w:val="21"/>
                      <w:szCs w:val="21"/>
                      <w:lang w:eastAsia="zh-CN"/>
                    </w:rPr>
                    <w:t>为</w:t>
                  </w:r>
                  <w:r>
                    <w:rPr>
                      <w:rFonts w:hint="eastAsia" w:ascii="Times New Roman" w:hAnsi="Times New Roman" w:eastAsia="宋体" w:cs="Times New Roman"/>
                      <w:sz w:val="21"/>
                      <w:szCs w:val="21"/>
                      <w:lang w:val="en-US" w:eastAsia="zh-CN"/>
                    </w:rPr>
                    <w:t>9</w:t>
                  </w:r>
                  <w:r>
                    <w:rPr>
                      <w:rFonts w:hint="eastAsia" w:cs="Times New Roman"/>
                      <w:sz w:val="21"/>
                      <w:szCs w:val="21"/>
                      <w:lang w:val="en-US" w:eastAsia="zh-CN"/>
                    </w:rPr>
                    <w:t>5</w:t>
                  </w:r>
                  <w:r>
                    <w:rPr>
                      <w:rFonts w:hint="eastAsia" w:ascii="Times New Roman" w:hAnsi="Times New Roman" w:eastAsia="宋体" w:cs="Times New Roman"/>
                      <w:sz w:val="21"/>
                      <w:szCs w:val="21"/>
                      <w:lang w:val="en-US" w:eastAsia="zh-CN"/>
                    </w:rPr>
                    <w:t>%，</w:t>
                  </w:r>
                  <w:r>
                    <w:rPr>
                      <w:rFonts w:hint="eastAsia" w:ascii="Times New Roman" w:hAnsi="Times New Roman" w:eastAsia="宋体" w:cs="Times New Roman"/>
                      <w:color w:val="auto"/>
                      <w:sz w:val="21"/>
                      <w:szCs w:val="21"/>
                      <w:lang w:eastAsia="zh-CN"/>
                    </w:rPr>
                    <w:t>为可行除尘技术</w:t>
                  </w:r>
                  <w:r>
                    <w:rPr>
                      <w:rFonts w:hint="default" w:ascii="Times New Roman" w:hAnsi="Times New Roman" w:eastAsia="宋体" w:cs="Times New Roman"/>
                      <w:color w:val="auto"/>
                      <w:sz w:val="21"/>
                      <w:szCs w:val="21"/>
                    </w:rPr>
                    <w:t>，外排废气中颗粒物可达《工业炉窑大气污染物排放标准》（GB9078-1996）表2中干燥炉、窑的二级标准；外排废气中SO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X</w:t>
                  </w:r>
                  <w:r>
                    <w:rPr>
                      <w:rFonts w:hint="default" w:ascii="Times New Roman" w:hAnsi="Times New Roman" w:eastAsia="宋体" w:cs="Times New Roman"/>
                      <w:color w:val="auto"/>
                      <w:sz w:val="21"/>
                      <w:szCs w:val="21"/>
                    </w:rPr>
                    <w:t>均能够满足《大气污染物综合排放标准》（GB16297-1996）中表2二级标准规定的排放限值，本项目的建设对周边大气环境影响较小。</w:t>
                  </w:r>
                </w:p>
              </w:tc>
              <w:tc>
                <w:tcPr>
                  <w:tcW w:w="817" w:type="dxa"/>
                  <w:vAlign w:val="top"/>
                </w:tcPr>
                <w:p w14:paraId="14D8F7E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b/>
                      <w:bCs/>
                      <w:sz w:val="24"/>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r w14:paraId="0D427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9" w:hRule="atLeast"/>
              </w:trPr>
              <w:tc>
                <w:tcPr>
                  <w:tcW w:w="7758" w:type="dxa"/>
                  <w:vAlign w:val="top"/>
                </w:tcPr>
                <w:p w14:paraId="6CE5D56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b/>
                      <w:bCs/>
                      <w:sz w:val="24"/>
                      <w:vertAlign w:val="baseline"/>
                      <w:lang w:val="en-US" w:eastAsia="zh-CN"/>
                    </w:rPr>
                  </w:pPr>
                  <w:r>
                    <w:rPr>
                      <w:rFonts w:hint="default" w:ascii="Times New Roman" w:hAnsi="Times New Roman" w:eastAsia="宋体" w:cs="Times New Roman"/>
                      <w:sz w:val="21"/>
                      <w:szCs w:val="21"/>
                    </w:rPr>
                    <w:t>（二）加快燃料清洁低碳化替代。对以煤、石油焦、渣油、重油等为燃料的工业炉窑，加快使用清洁低碳能源以及利用工厂余热、电厂热力等进行替代。重点区域禁止掺烧高硫石油焦（硫含量大于 3%）。玻璃行业全面禁止掺烧高硫石油焦。 加大煤气发生炉淘汰力度。2020 年年底前，重点区域淘汰炉膛直径3米以下燃料类煤气发生炉；集中使用煤气发生炉的工业园区，暂不具备改用天然气条件的，原则上应建设统一的清洁煤制气中心。加快淘汰燃煤工业炉窑。重点区域取缔燃煤热风炉，基本淘汰热电联产供热管网覆盖范围内的燃煤加热、烘干炉（窑）。加快推动铸造（10 吨/小时及以下）、岩棉等行业冲天炉改为电炉。</w:t>
                  </w:r>
                </w:p>
              </w:tc>
              <w:tc>
                <w:tcPr>
                  <w:tcW w:w="4503" w:type="dxa"/>
                  <w:vAlign w:val="top"/>
                </w:tcPr>
                <w:p w14:paraId="5E91B4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sz w:val="24"/>
                      <w:vertAlign w:val="baseline"/>
                      <w:lang w:val="en-US" w:eastAsia="zh-CN"/>
                    </w:rPr>
                  </w:pPr>
                  <w:r>
                    <w:rPr>
                      <w:rFonts w:hint="default" w:ascii="Times New Roman" w:hAnsi="Times New Roman" w:eastAsia="宋体" w:cs="Times New Roman"/>
                      <w:sz w:val="21"/>
                      <w:szCs w:val="21"/>
                    </w:rPr>
                    <w:t>项目热风炉所用燃料为制棒、炭化废气、生物质燃料，不使用煤、石油焦、渣油、重油、高硫石油焦（硫含量大于3%）等为燃料。</w:t>
                  </w:r>
                </w:p>
              </w:tc>
              <w:tc>
                <w:tcPr>
                  <w:tcW w:w="817" w:type="dxa"/>
                  <w:vAlign w:val="top"/>
                </w:tcPr>
                <w:p w14:paraId="5227B4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sz w:val="24"/>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r w14:paraId="59D18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16" w:hRule="atLeast"/>
              </w:trPr>
              <w:tc>
                <w:tcPr>
                  <w:tcW w:w="7758" w:type="dxa"/>
                  <w:vAlign w:val="top"/>
                </w:tcPr>
                <w:p w14:paraId="4FB0086C">
                  <w:pPr>
                    <w:pStyle w:val="20"/>
                    <w:spacing w:before="0" w:beforeAutospacing="0" w:after="0" w:afterAutospacing="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三）实施污染深度治理。推进工业炉窑全面达标排放。已有行业排放标准的工业炉窑，严格执行行业排放标准相关规定，配套建设高效脱硫脱硝除尘设施，确保稳定达标排放。已制定更严格地方排放标准的，按地方标准执行。重点区域钢铁、水泥、焦化、石化、化工、有色等行业，二氧化硫、氮氧化物、颗粒物、挥发性有机物（VOCs）排放全面执行大气污染物特别排放限值。已核发排污许可证的，应严格执行许可要求。暂未制订行业排放标准的工业炉窑，包括铸造，日用玻璃，玻璃纤维、耐火材料、石灰、矿物棉等建材行业，钨、工业硅、金属冶炼废渣（灰）二次提取等有色金属行业，氮肥、电石、无机磷、活性炭等化工行业，应参照相关行业已出台的标准，全面加大污染治理力度，铸造行业烧结、高炉工序污染排放控制按照钢铁行业相关标准要求执行；重点区域原则上按照颗粒物、二氧化硫、氮氧化物排放限值分别不高于 30、200、300 毫克/立方米实施改造，其中，日用玻璃、玻璃棉氮氧化物排放限值不高于 400 毫克/立方米；已制定更严格地方排放标准的地区，执行地方排放标准。全面加强无组织排放管理。严格控制工业炉窑生产工艺过程及相关物料储存、输送等无组织排放，在保障生产安全的前提下，采取密闭、封闭等有效措施，有效提高废气收集率，产尘点及车间不得有可见烟粉尘外溢。生产工艺产尘点（装置）应采取密闭、封闭或设置集气罩等措施。煤粉、粉煤灰、石灰、除尘灰、脱硫灰等粉状物料应密闭或封闭储存，采用密闭皮带、封闭通廊、管状带式输送机或密闭车厢、真空罐车、气力输送等方式输送。粒状、块状物料应采用入棚入仓或建设防风抑尘网等方式进行储存，粒状物料采用密闭、封闭等方式输送。物料输送过程中产尘点应采取有效抑尘措施。推进重点行业污染深度治理。落实《关于推进实施钢铁行业超低排放的意见》，加快推进钢铁行业超低排放改造。积极推进电解铝、平板玻璃、水泥、焦化等行业污染治理升级改造。重点区域内电解铝企业全面推进烟气脱硫设施建设；全面加大残极冷却过程无组织排放治理力度，建设封闭高效的烟气收集系统，实现残极冷却烟气有效处理。重点区域内平板玻璃、建筑陶瓷企业应逐步取消脱硫脱硝烟气旁路或设置备用脱硫脱硝等设施，鼓励水泥企业实施全流程污染深度治理。推进具备条件的焦化企业实施干熄焦改造，在保证安全生产前提下，重点区域城市建成区内焦炉实施炉体加罩封闭，并对废气进行收集处理。 </w:t>
                  </w:r>
                </w:p>
                <w:p w14:paraId="480297B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b/>
                      <w:bCs/>
                      <w:sz w:val="24"/>
                      <w:vertAlign w:val="baseline"/>
                      <w:lang w:val="en-US" w:eastAsia="zh-CN"/>
                    </w:rPr>
                  </w:pPr>
                  <w:r>
                    <w:rPr>
                      <w:rFonts w:hint="default" w:ascii="Times New Roman" w:hAnsi="Times New Roman" w:eastAsia="宋体" w:cs="Times New Roman"/>
                      <w:sz w:val="21"/>
                      <w:szCs w:val="21"/>
                    </w:rPr>
                    <w:t xml:space="preserve">加大煤气发生炉VOCs 治理力度。酚水系统应封闭，产生的废气应收集处理，鼓励送至煤气发生炉鼓风机入口进行再利用；酚水应送至煤气发生炉处置，或回收酚、氨后深度处理，或送至水煤浆炉进行焚烧等。禁止含酚废水直接作为煤气水封水、冲渣水。氮肥等行业采用固定床间歇式煤气化炉的，加快推进煤气冷却由直接水洗改为间接冷却；其他区域采用直接水洗冷 却方式的，造气循环水集输、储存、处理系统应封闭，收集的废气送至三废炉处理。吹风气、释放气应全部收集利用。 </w:t>
                  </w:r>
                </w:p>
              </w:tc>
              <w:tc>
                <w:tcPr>
                  <w:tcW w:w="4503" w:type="dxa"/>
                  <w:vAlign w:val="center"/>
                </w:tcPr>
                <w:p w14:paraId="6B20B38B">
                  <w:pPr>
                    <w:pStyle w:val="20"/>
                    <w:spacing w:before="0" w:beforeAutospacing="0" w:after="0" w:afterAutospacing="0"/>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本项目所有工段均设置</w:t>
                  </w:r>
                  <w:r>
                    <w:rPr>
                      <w:rFonts w:hint="default" w:ascii="Times New Roman" w:hAnsi="Times New Roman" w:eastAsia="宋体" w:cs="Times New Roman"/>
                      <w:kern w:val="2"/>
                      <w:sz w:val="21"/>
                      <w:szCs w:val="21"/>
                      <w:lang w:bidi="ar"/>
                    </w:rPr>
                    <w:t>在半封闭厂房内，</w:t>
                  </w:r>
                  <w:r>
                    <w:rPr>
                      <w:rFonts w:hint="default" w:ascii="Times New Roman" w:hAnsi="Times New Roman" w:eastAsia="宋体" w:cs="Times New Roman"/>
                      <w:sz w:val="21"/>
                      <w:szCs w:val="21"/>
                    </w:rPr>
                    <w:t>烘干、制棒、炭化废气治理设施为</w:t>
                  </w:r>
                  <w:r>
                    <w:rPr>
                      <w:rFonts w:hint="eastAsia" w:ascii="Times New Roman" w:hAnsi="Times New Roman" w:cs="Times New Roman"/>
                      <w:sz w:val="21"/>
                      <w:szCs w:val="21"/>
                      <w:lang w:eastAsia="zh-CN"/>
                    </w:rPr>
                    <w:t>“</w:t>
                  </w:r>
                  <w:r>
                    <w:rPr>
                      <w:rFonts w:hint="eastAsia" w:ascii="Times New Roman" w:hAnsi="Times New Roman" w:cs="Times New Roman" w:eastAsiaTheme="minorEastAsia"/>
                      <w:color w:val="auto"/>
                      <w:sz w:val="21"/>
                      <w:szCs w:val="21"/>
                      <w:lang w:val="en-US" w:eastAsia="zh-CN"/>
                    </w:rPr>
                    <w:t>袋式除尘器”</w:t>
                  </w:r>
                  <w:r>
                    <w:rPr>
                      <w:rFonts w:hint="default" w:ascii="Times New Roman" w:hAnsi="Times New Roman" w:eastAsia="宋体" w:cs="Times New Roman"/>
                      <w:sz w:val="21"/>
                      <w:szCs w:val="21"/>
                    </w:rPr>
                    <w:t>对废气的治理效率</w:t>
                  </w:r>
                  <w:r>
                    <w:rPr>
                      <w:rFonts w:hint="eastAsia" w:ascii="Times New Roman" w:hAnsi="Times New Roman" w:eastAsia="宋体" w:cs="Times New Roman"/>
                      <w:sz w:val="21"/>
                      <w:szCs w:val="21"/>
                      <w:lang w:eastAsia="zh-CN"/>
                    </w:rPr>
                    <w:t>为</w:t>
                  </w:r>
                  <w:r>
                    <w:rPr>
                      <w:rFonts w:hint="eastAsia" w:ascii="Times New Roman" w:hAnsi="Times New Roman" w:eastAsia="宋体" w:cs="Times New Roman"/>
                      <w:sz w:val="21"/>
                      <w:szCs w:val="21"/>
                      <w:lang w:val="en-US" w:eastAsia="zh-CN"/>
                    </w:rPr>
                    <w:t>9</w:t>
                  </w:r>
                  <w:r>
                    <w:rPr>
                      <w:rFonts w:hint="eastAsia" w:ascii="Times New Roman" w:hAnsi="Times New Roman" w:cs="Times New Roman"/>
                      <w:sz w:val="21"/>
                      <w:szCs w:val="21"/>
                      <w:lang w:val="en-US" w:eastAsia="zh-CN"/>
                    </w:rPr>
                    <w:t>5</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最后废气通过1根15m高排气筒排放。外排烟</w:t>
                  </w:r>
                  <w:r>
                    <w:rPr>
                      <w:rFonts w:hint="default" w:ascii="Times New Roman" w:hAnsi="Times New Roman" w:eastAsia="宋体" w:cs="Times New Roman"/>
                      <w:kern w:val="2"/>
                      <w:sz w:val="21"/>
                      <w:szCs w:val="21"/>
                      <w:lang w:bidi="ar"/>
                    </w:rPr>
                    <w:t>气中烟尘、烟气黑度执行《工业炉窑大气污染物排放标准》（GB9078-1996）表2中干燥炉、窑的二级标准，烟气中NO</w:t>
                  </w:r>
                  <w:r>
                    <w:rPr>
                      <w:rFonts w:hint="default" w:ascii="Times New Roman" w:hAnsi="Times New Roman" w:eastAsia="宋体" w:cs="Times New Roman"/>
                      <w:kern w:val="2"/>
                      <w:sz w:val="21"/>
                      <w:szCs w:val="21"/>
                      <w:vertAlign w:val="subscript"/>
                      <w:lang w:bidi="ar"/>
                    </w:rPr>
                    <w:t>X</w:t>
                  </w:r>
                  <w:r>
                    <w:rPr>
                      <w:rFonts w:hint="default" w:ascii="Times New Roman" w:hAnsi="Times New Roman" w:eastAsia="宋体" w:cs="Times New Roman"/>
                      <w:kern w:val="2"/>
                      <w:sz w:val="21"/>
                      <w:szCs w:val="21"/>
                      <w:lang w:bidi="ar"/>
                    </w:rPr>
                    <w:t>、SO</w:t>
                  </w:r>
                  <w:r>
                    <w:rPr>
                      <w:rFonts w:hint="default" w:ascii="Times New Roman" w:hAnsi="Times New Roman" w:eastAsia="宋体" w:cs="Times New Roman"/>
                      <w:kern w:val="2"/>
                      <w:sz w:val="21"/>
                      <w:szCs w:val="21"/>
                      <w:vertAlign w:val="subscript"/>
                      <w:lang w:bidi="ar"/>
                    </w:rPr>
                    <w:t>2</w:t>
                  </w:r>
                  <w:r>
                    <w:rPr>
                      <w:rFonts w:hint="default" w:ascii="Times New Roman" w:hAnsi="Times New Roman" w:eastAsia="宋体" w:cs="Times New Roman"/>
                      <w:kern w:val="2"/>
                      <w:sz w:val="21"/>
                      <w:szCs w:val="21"/>
                      <w:lang w:bidi="ar"/>
                    </w:rPr>
                    <w:t>污染物满足《大气污染物综合排放标准》（GB16297-1996）中表2二级标准规定的排放限值。</w:t>
                  </w:r>
                  <w:r>
                    <w:rPr>
                      <w:rFonts w:hint="default" w:ascii="Times New Roman" w:hAnsi="Times New Roman" w:eastAsia="宋体" w:cs="Times New Roman"/>
                      <w:sz w:val="21"/>
                      <w:szCs w:val="21"/>
                    </w:rPr>
                    <w:t>项目采用的污染治理措施（设置除尘装置）均为排污许可技术规范及相关规范中的可行技术，对周围大气环境影响不大。</w:t>
                  </w:r>
                </w:p>
                <w:p w14:paraId="30C415A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b/>
                      <w:bCs/>
                      <w:sz w:val="24"/>
                      <w:vertAlign w:val="baseline"/>
                      <w:lang w:val="en-US" w:eastAsia="zh-CN"/>
                    </w:rPr>
                  </w:pPr>
                </w:p>
              </w:tc>
              <w:tc>
                <w:tcPr>
                  <w:tcW w:w="817" w:type="dxa"/>
                  <w:vAlign w:val="top"/>
                </w:tcPr>
                <w:p w14:paraId="7A65CC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sz w:val="24"/>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bl>
          <w:p w14:paraId="52C4C2D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4"/>
                <w:szCs w:val="24"/>
                <w:highlight w:val="none"/>
                <w:lang w:val="en-US" w:eastAsia="zh-CN"/>
              </w:rPr>
            </w:pPr>
          </w:p>
          <w:p w14:paraId="46991186">
            <w:pPr>
              <w:numPr>
                <w:ilvl w:val="0"/>
                <w:numId w:val="0"/>
              </w:numPr>
              <w:adjustRightInd w:val="0"/>
              <w:snapToGrid w:val="0"/>
              <w:spacing w:line="360" w:lineRule="auto"/>
              <w:rPr>
                <w:rFonts w:hint="default" w:ascii="Times New Roman" w:hAnsi="Times New Roman" w:cs="Times New Roman"/>
                <w:b/>
                <w:bCs/>
                <w:kern w:val="0"/>
                <w:sz w:val="24"/>
              </w:rPr>
            </w:pPr>
            <w:r>
              <w:rPr>
                <w:rFonts w:hint="default" w:ascii="Times New Roman" w:hAnsi="Times New Roman" w:eastAsia="宋体" w:cs="Times New Roman"/>
                <w:b/>
                <w:bCs/>
                <w:kern w:val="0"/>
                <w:sz w:val="24"/>
                <w:szCs w:val="24"/>
                <w:lang w:val="en-US" w:eastAsia="zh-CN" w:bidi="ar-SA"/>
              </w:rPr>
              <w:t>4、</w:t>
            </w:r>
            <w:r>
              <w:rPr>
                <w:rFonts w:hint="default" w:ascii="Times New Roman" w:hAnsi="Times New Roman" w:cs="Times New Roman"/>
                <w:b/>
                <w:bCs/>
                <w:kern w:val="0"/>
                <w:sz w:val="24"/>
              </w:rPr>
              <w:t>与《云南省长江经济带发展负面清单指南实施细则（试行，2022年版）》相符性分析</w:t>
            </w:r>
          </w:p>
          <w:p w14:paraId="49EAF282">
            <w:pPr>
              <w:pStyle w:val="11"/>
              <w:spacing w:before="0" w:after="0" w:line="240" w:lineRule="auto"/>
              <w:ind w:right="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表1-</w:t>
            </w:r>
            <w:r>
              <w:rPr>
                <w:rFonts w:hint="eastAsia" w:cs="Times New Roman"/>
                <w:b/>
                <w:bCs/>
                <w:color w:val="auto"/>
                <w:sz w:val="24"/>
                <w:szCs w:val="24"/>
                <w:lang w:val="en-US" w:eastAsia="zh-CN"/>
              </w:rPr>
              <w:t>4</w:t>
            </w:r>
            <w:r>
              <w:rPr>
                <w:rFonts w:hint="default" w:ascii="Times New Roman" w:hAnsi="Times New Roman" w:cs="Times New Roman"/>
                <w:b/>
                <w:bCs/>
                <w:color w:val="auto"/>
                <w:sz w:val="24"/>
                <w:szCs w:val="24"/>
              </w:rPr>
              <w:t xml:space="preserve"> 与《云南省长江经济带发展负面清单指南实施细则（试行，2022年版）》相符性分析</w:t>
            </w:r>
          </w:p>
          <w:tbl>
            <w:tblPr>
              <w:tblStyle w:val="24"/>
              <w:tblW w:w="130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8"/>
              <w:gridCol w:w="3559"/>
              <w:gridCol w:w="1053"/>
            </w:tblGrid>
            <w:tr w14:paraId="2ED44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8" w:type="dxa"/>
                  <w:vAlign w:val="center"/>
                </w:tcPr>
                <w:p w14:paraId="07F4C440">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b/>
                      <w:bCs/>
                      <w:vertAlign w:val="baseline"/>
                    </w:rPr>
                  </w:pPr>
                  <w:r>
                    <w:rPr>
                      <w:rFonts w:hint="default" w:ascii="Times New Roman" w:hAnsi="Times New Roman" w:cs="Times New Roman" w:eastAsiaTheme="minorEastAsia"/>
                      <w:b/>
                      <w:bCs/>
                      <w:color w:val="auto"/>
                      <w:sz w:val="21"/>
                      <w:szCs w:val="21"/>
                    </w:rPr>
                    <w:t>相关内容</w:t>
                  </w:r>
                </w:p>
              </w:tc>
              <w:tc>
                <w:tcPr>
                  <w:tcW w:w="3559" w:type="dxa"/>
                  <w:vAlign w:val="center"/>
                </w:tcPr>
                <w:p w14:paraId="663A73C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b/>
                      <w:bCs/>
                      <w:vertAlign w:val="baseline"/>
                    </w:rPr>
                  </w:pPr>
                  <w:r>
                    <w:rPr>
                      <w:rFonts w:hint="default" w:ascii="Times New Roman" w:hAnsi="Times New Roman" w:cs="Times New Roman" w:eastAsiaTheme="minorEastAsia"/>
                      <w:b/>
                      <w:bCs/>
                      <w:color w:val="auto"/>
                      <w:sz w:val="21"/>
                      <w:szCs w:val="21"/>
                    </w:rPr>
                    <w:t>项目建设情况</w:t>
                  </w:r>
                </w:p>
              </w:tc>
              <w:tc>
                <w:tcPr>
                  <w:tcW w:w="1053" w:type="dxa"/>
                  <w:vAlign w:val="center"/>
                </w:tcPr>
                <w:p w14:paraId="39E28AFD">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b/>
                      <w:bCs/>
                      <w:vertAlign w:val="baseline"/>
                    </w:rPr>
                  </w:pPr>
                  <w:r>
                    <w:rPr>
                      <w:rFonts w:hint="default" w:ascii="Times New Roman" w:hAnsi="Times New Roman" w:cs="Times New Roman" w:eastAsiaTheme="minorEastAsia"/>
                      <w:b/>
                      <w:bCs/>
                      <w:color w:val="auto"/>
                      <w:sz w:val="21"/>
                      <w:szCs w:val="21"/>
                    </w:rPr>
                    <w:t>是否符合</w:t>
                  </w:r>
                </w:p>
              </w:tc>
            </w:tr>
            <w:tr w14:paraId="3F227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8" w:type="dxa"/>
                  <w:vAlign w:val="center"/>
                </w:tcPr>
                <w:p w14:paraId="0294114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rPr>
                    <w:t>1、禁止建设不符合全国和省级港口布局规划以及港口总体规划的码头项目。</w:t>
                  </w:r>
                </w:p>
              </w:tc>
              <w:tc>
                <w:tcPr>
                  <w:tcW w:w="3559" w:type="dxa"/>
                  <w:vAlign w:val="center"/>
                </w:tcPr>
                <w:p w14:paraId="4D54146C">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rPr>
                    <w:t>本项目不属于港口建设项目</w:t>
                  </w:r>
                </w:p>
              </w:tc>
              <w:tc>
                <w:tcPr>
                  <w:tcW w:w="1053" w:type="dxa"/>
                  <w:vAlign w:val="center"/>
                </w:tcPr>
                <w:p w14:paraId="6A1B5755">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highlight w:val="none"/>
                      <w:vertAlign w:val="baseline"/>
                      <w:lang w:val="en-US" w:eastAsia="zh-CN"/>
                    </w:rPr>
                    <w:t>符合</w:t>
                  </w:r>
                </w:p>
              </w:tc>
            </w:tr>
            <w:tr w14:paraId="13A71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8" w:type="dxa"/>
                  <w:vAlign w:val="center"/>
                </w:tcPr>
                <w:p w14:paraId="0B4F183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rPr>
                    <w:t>2、禁止在生态保护红线范围内投资建设项目，生态保护红线内、自然保护地核心保护区原则上禁止人为活动；其他区域严格禁止开发性、生产性建设活动。除国家重大战略资源勘查项目、生态保护修复和环境治理项目、重大基础设施项目、军事国防项目以及农牧民基本生产生活等必要的民生项目以外的项目。生态保护红线原则上按禁止开发区域的要求进行管理外，仅允许对生态功能不造成破坏的有限人为活动。</w:t>
                  </w:r>
                </w:p>
              </w:tc>
              <w:tc>
                <w:tcPr>
                  <w:tcW w:w="3559" w:type="dxa"/>
                  <w:vAlign w:val="center"/>
                </w:tcPr>
                <w:p w14:paraId="3B1332EB">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rPr>
                    <w:t>项目</w:t>
                  </w:r>
                  <w:r>
                    <w:rPr>
                      <w:rFonts w:hint="eastAsia" w:cs="Times New Roman" w:eastAsiaTheme="minorEastAsia"/>
                      <w:color w:val="auto"/>
                      <w:sz w:val="21"/>
                      <w:szCs w:val="21"/>
                      <w:lang w:eastAsia="zh-CN"/>
                    </w:rPr>
                    <w:t>属于工业用地，已取得不动产权证，</w:t>
                  </w:r>
                  <w:r>
                    <w:rPr>
                      <w:rFonts w:hint="default" w:ascii="Times New Roman" w:hAnsi="Times New Roman" w:cs="Times New Roman" w:eastAsiaTheme="minorEastAsia"/>
                      <w:color w:val="auto"/>
                      <w:sz w:val="21"/>
                      <w:szCs w:val="21"/>
                    </w:rPr>
                    <w:t>不涉及其他禁止建设区。</w:t>
                  </w:r>
                </w:p>
              </w:tc>
              <w:tc>
                <w:tcPr>
                  <w:tcW w:w="1053" w:type="dxa"/>
                  <w:vAlign w:val="center"/>
                </w:tcPr>
                <w:p w14:paraId="7000D9F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highlight w:val="none"/>
                      <w:vertAlign w:val="baseline"/>
                      <w:lang w:val="en-US" w:eastAsia="zh-CN"/>
                    </w:rPr>
                    <w:t>符合</w:t>
                  </w:r>
                </w:p>
              </w:tc>
            </w:tr>
            <w:tr w14:paraId="6A3E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8" w:type="dxa"/>
                  <w:vAlign w:val="center"/>
                </w:tcPr>
                <w:p w14:paraId="5E8089F8">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rPr>
                    <w:t>3、禁止在自然保护区内进行砍伐、放牧、狩猎、捕捞、采药、开垦、烧荒、开矿、采石、挖沙等活动；禁止任何人进入自然保护区的核心区；禁止在自然保护区的缓冲区开展旅游和生产经营活动；严禁开设与自然保护区保护方向不一致的参观、旅游项目；在自然保护区的实验区内，不得建设污染环境、破坏资源或者景观的生产设施；自然保护区核心区，严禁任何生产经营活动；新建公路、铁路和其他基础设施不得穿越自然保护区核心区，尽量避免穿越缓冲区；禁止在自然保护区的核心区和缓冲区内建设畜禽养殖场、养殖小区。</w:t>
                  </w:r>
                </w:p>
              </w:tc>
              <w:tc>
                <w:tcPr>
                  <w:tcW w:w="3559" w:type="dxa"/>
                  <w:vAlign w:val="center"/>
                </w:tcPr>
                <w:p w14:paraId="6FC6C1A4">
                  <w:pPr>
                    <w:pStyle w:val="11"/>
                    <w:spacing w:before="0" w:after="0" w:line="240" w:lineRule="auto"/>
                    <w:ind w:right="0" w:rightChars="0"/>
                    <w:jc w:val="left"/>
                    <w:rPr>
                      <w:rFonts w:hint="default"/>
                      <w:vertAlign w:val="baseline"/>
                    </w:rPr>
                  </w:pPr>
                  <w:r>
                    <w:rPr>
                      <w:rFonts w:hint="default" w:ascii="Times New Roman" w:hAnsi="Times New Roman" w:cs="Times New Roman" w:eastAsiaTheme="minorEastAsia"/>
                      <w:color w:val="auto"/>
                      <w:sz w:val="21"/>
                      <w:szCs w:val="21"/>
                    </w:rPr>
                    <w:t>项目位于</w:t>
                  </w:r>
                  <w:r>
                    <w:rPr>
                      <w:rFonts w:hint="default" w:ascii="Times New Roman" w:hAnsi="Times New Roman" w:cs="Times New Roman" w:eastAsiaTheme="minorEastAsia"/>
                      <w:color w:val="auto"/>
                      <w:sz w:val="21"/>
                      <w:szCs w:val="21"/>
                      <w:highlight w:val="none"/>
                      <w:lang w:val="en-US" w:eastAsia="zh-CN"/>
                    </w:rPr>
                    <w:t>云南省德宏州芒市遮放农场晓阳社区居民委员会第七居民小组</w:t>
                  </w:r>
                  <w:r>
                    <w:rPr>
                      <w:rFonts w:hint="default" w:ascii="Times New Roman" w:hAnsi="Times New Roman" w:cs="Times New Roman" w:eastAsiaTheme="minorEastAsia"/>
                      <w:color w:val="auto"/>
                      <w:sz w:val="21"/>
                      <w:szCs w:val="21"/>
                    </w:rPr>
                    <w:t>，项目</w:t>
                  </w:r>
                  <w:r>
                    <w:rPr>
                      <w:rFonts w:hint="eastAsia" w:cs="Times New Roman" w:eastAsiaTheme="minorEastAsia"/>
                      <w:color w:val="auto"/>
                      <w:sz w:val="21"/>
                      <w:szCs w:val="21"/>
                      <w:lang w:eastAsia="zh-CN"/>
                    </w:rPr>
                    <w:t>属于工业用地，已取得不动产权证。</w:t>
                  </w:r>
                </w:p>
              </w:tc>
              <w:tc>
                <w:tcPr>
                  <w:tcW w:w="1053" w:type="dxa"/>
                  <w:vAlign w:val="center"/>
                </w:tcPr>
                <w:p w14:paraId="37A5FFF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highlight w:val="none"/>
                      <w:vertAlign w:val="baseline"/>
                      <w:lang w:val="en-US" w:eastAsia="zh-CN"/>
                    </w:rPr>
                    <w:t>符合</w:t>
                  </w:r>
                </w:p>
              </w:tc>
            </w:tr>
            <w:tr w14:paraId="7319D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8" w:type="dxa"/>
                  <w:vAlign w:val="center"/>
                </w:tcPr>
                <w:p w14:paraId="022C60C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rPr>
                    <w:t>4、禁止在风景名胜区内进行开山、采石、开矿、开荒、修坟立碑等破坏景观、植被和地形地貌的活动以及修建储存爆炸性、易燃性、放射性、毒害性、腐蚀性物品的设施；禁止违反风景名胜区规划，在风景名胜区内设立各类开发区和在核心景区内建设宾馆、招待所、培训中心、疗养院以及与风景名胜资源保护无关的其他建筑物；禁止在风景名胜区从事与风景名胜资源无关的生产建设活动；风景名胜区内的水源、水体应当严加保护，禁止污染水源、水体，禁止擅自围、填、堵塞水面和围湖造田等；禁止在风景名胜区内建设畜禽养殖场、养殖小区。</w:t>
                  </w:r>
                </w:p>
              </w:tc>
              <w:tc>
                <w:tcPr>
                  <w:tcW w:w="3559" w:type="dxa"/>
                  <w:vAlign w:val="center"/>
                </w:tcPr>
                <w:p w14:paraId="4B6C2790">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rPr>
                    <w:t>本项目所在区域不涉及风景名胜区</w:t>
                  </w:r>
                </w:p>
              </w:tc>
              <w:tc>
                <w:tcPr>
                  <w:tcW w:w="1053" w:type="dxa"/>
                  <w:vAlign w:val="center"/>
                </w:tcPr>
                <w:p w14:paraId="051592AE">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highlight w:val="none"/>
                      <w:vertAlign w:val="baseline"/>
                      <w:lang w:val="en-US" w:eastAsia="zh-CN"/>
                    </w:rPr>
                    <w:t>符合</w:t>
                  </w:r>
                </w:p>
              </w:tc>
            </w:tr>
            <w:tr w14:paraId="25484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8" w:type="dxa"/>
                  <w:vAlign w:val="center"/>
                </w:tcPr>
                <w:p w14:paraId="35F7E0D0">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rPr>
                    <w:t>5、禁止擅自征收、占用国家湿地公园的土地。除国家另有规定外，禁止在国家湿地公园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滥采滥捕野生动植物，引入外来物种；擅自放牧、捕捞、取土、取水、排污、放生等破坏湿地及其生态功能的活动。国家湿地公园保育区除开展保护、监测、科学研究等必需的保护管理活动外，不得进行任何与湿地生态系统保护和管理无关的其他活动。</w:t>
                  </w:r>
                </w:p>
              </w:tc>
              <w:tc>
                <w:tcPr>
                  <w:tcW w:w="3559" w:type="dxa"/>
                  <w:vAlign w:val="center"/>
                </w:tcPr>
                <w:p w14:paraId="4D058662">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rPr>
                    <w:t>项目所在区域不属于国家湿地公园</w:t>
                  </w:r>
                </w:p>
              </w:tc>
              <w:tc>
                <w:tcPr>
                  <w:tcW w:w="1053" w:type="dxa"/>
                  <w:vAlign w:val="center"/>
                </w:tcPr>
                <w:p w14:paraId="144FAB60">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highlight w:val="none"/>
                      <w:vertAlign w:val="baseline"/>
                      <w:lang w:val="en-US" w:eastAsia="zh-CN"/>
                    </w:rPr>
                    <w:t>符合</w:t>
                  </w:r>
                </w:p>
              </w:tc>
            </w:tr>
            <w:tr w14:paraId="2D0A8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8" w:type="dxa"/>
                  <w:vAlign w:val="center"/>
                </w:tcPr>
                <w:p w14:paraId="2A58D51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rPr>
                    <w:t>6、禁止在饮用水水源一级保护区内新建、改建、扩建与供水设施和保护水源无关的建设项目；禁止在饮用水水源一级保护区内从事网箱养殖、旅游、游泳、垂钓或者其他可能污染饮用水水体的活动。禁止在饮用水水源二级保护区内新建、改建、扩建排放污染物的建设项目；在饮用水水源二级保护区内从事网箱养殖、旅游等活动的，应当按照规定采取措施，防止污染饮用水水体。</w:t>
                  </w:r>
                </w:p>
              </w:tc>
              <w:tc>
                <w:tcPr>
                  <w:tcW w:w="3559" w:type="dxa"/>
                  <w:vAlign w:val="center"/>
                </w:tcPr>
                <w:p w14:paraId="4C34DE46">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rPr>
                    <w:t>项目所在区域不属于饮用水源保护区</w:t>
                  </w:r>
                </w:p>
              </w:tc>
              <w:tc>
                <w:tcPr>
                  <w:tcW w:w="1053" w:type="dxa"/>
                  <w:vAlign w:val="center"/>
                </w:tcPr>
                <w:p w14:paraId="3BA1D2DF">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highlight w:val="none"/>
                      <w:vertAlign w:val="baseline"/>
                      <w:lang w:val="en-US" w:eastAsia="zh-CN"/>
                    </w:rPr>
                    <w:t>符合</w:t>
                  </w:r>
                </w:p>
              </w:tc>
            </w:tr>
            <w:tr w14:paraId="1BA4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8" w:type="dxa"/>
                  <w:vAlign w:val="top"/>
                </w:tcPr>
                <w:p w14:paraId="642A3E6F">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rPr>
                    <w:t>7、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除国家明确支持的重大建设项目、军事国防类项目、交通类项目、能源类项目、水利类项目、国务院投资主管部门或国务院投资主管部门会同有关部门支持和认可的交通、能源、水利基础设施项目外，禁止在永久基本农田范围内投资建设项目。重大建设项目选址确实难以避让永久基本农田的，需在可行性研究阶段，对占用的必要性、合理性和补划方案的可行性进行严格论证，按照“数量不减、质量不降、布局稳定”的要求进行补划，报自然资源部用地预审，依法依规办理农用地转用和土地征收，和法定程序修改相应的国土空间规划用途。</w:t>
                  </w:r>
                </w:p>
              </w:tc>
              <w:tc>
                <w:tcPr>
                  <w:tcW w:w="3559" w:type="dxa"/>
                  <w:vAlign w:val="center"/>
                </w:tcPr>
                <w:p w14:paraId="701BA06C">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eastAsia="宋体"/>
                      <w:color w:val="FF0000"/>
                      <w:highlight w:val="none"/>
                      <w:vertAlign w:val="baseline"/>
                      <w:lang w:eastAsia="zh-CN"/>
                    </w:rPr>
                  </w:pPr>
                  <w:r>
                    <w:rPr>
                      <w:rFonts w:hint="eastAsia" w:cs="Times New Roman" w:eastAsiaTheme="minorEastAsia"/>
                      <w:color w:val="FF0000"/>
                      <w:sz w:val="21"/>
                      <w:szCs w:val="21"/>
                      <w:highlight w:val="none"/>
                      <w:lang w:val="en-US" w:eastAsia="zh-CN"/>
                    </w:rPr>
                    <w:t>不涉及</w:t>
                  </w:r>
                </w:p>
              </w:tc>
              <w:tc>
                <w:tcPr>
                  <w:tcW w:w="1053" w:type="dxa"/>
                  <w:vAlign w:val="center"/>
                </w:tcPr>
                <w:p w14:paraId="0BA44126">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color w:val="FF0000"/>
                      <w:highlight w:val="none"/>
                      <w:vertAlign w:val="baseline"/>
                    </w:rPr>
                  </w:pPr>
                  <w:r>
                    <w:rPr>
                      <w:rFonts w:hint="default" w:ascii="Times New Roman" w:hAnsi="Times New Roman" w:cs="Times New Roman" w:eastAsiaTheme="minorEastAsia"/>
                      <w:color w:val="FF0000"/>
                      <w:sz w:val="21"/>
                      <w:szCs w:val="21"/>
                      <w:highlight w:val="none"/>
                      <w:vertAlign w:val="baseline"/>
                      <w:lang w:val="en-US" w:eastAsia="zh-CN"/>
                    </w:rPr>
                    <w:t>符合</w:t>
                  </w:r>
                </w:p>
              </w:tc>
            </w:tr>
            <w:tr w14:paraId="3EFB1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8" w:type="dxa"/>
                  <w:vAlign w:val="top"/>
                </w:tcPr>
                <w:p w14:paraId="396F3508">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rPr>
                    <w:t>8、禁止在《全国重要江河湖泊水功能区划》划定的河段及湖泊保护区、保留区内投资建设不利于水资源及自然生态保护的项目。禁止在金沙江、长江一级支流建设除党中央、国务院、国家投资主管部门、省级有关部门批复同意以外的过江基础设施项目；禁止未经许可在长江流域、九大高原湖泊流域新设、改设或扩大排污口，除入河（海）排污口命名与编码规则（HJ1235-2021）规定的第四类“其他排口”外。禁止在水产种质资源保护区内新建排污口，以及从事围湖造田、围湖造地或围填海工程。</w:t>
                  </w:r>
                </w:p>
              </w:tc>
              <w:tc>
                <w:tcPr>
                  <w:tcW w:w="3559" w:type="dxa"/>
                  <w:vAlign w:val="center"/>
                </w:tcPr>
                <w:p w14:paraId="579B635D">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rPr>
                    <w:t>本项目不涉及《全国重要江河湖泊水功能区划》划定的河段及湖泊保护区、保留区内</w:t>
                  </w:r>
                </w:p>
              </w:tc>
              <w:tc>
                <w:tcPr>
                  <w:tcW w:w="1053" w:type="dxa"/>
                  <w:vAlign w:val="center"/>
                </w:tcPr>
                <w:p w14:paraId="6B6D112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highlight w:val="none"/>
                      <w:vertAlign w:val="baseline"/>
                      <w:lang w:val="en-US" w:eastAsia="zh-CN"/>
                    </w:rPr>
                    <w:t>符合</w:t>
                  </w:r>
                </w:p>
              </w:tc>
            </w:tr>
            <w:tr w14:paraId="1AEDE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8" w:type="dxa"/>
                  <w:vAlign w:val="top"/>
                </w:tcPr>
                <w:p w14:paraId="7126F5BF">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rPr>
                    <w:t>9、禁止在金沙江、赤水河、乌江和等水生动植物自然保护区、水产种质资源保护区长江流域禁捕水域开展天然渔业资源生产性捕捞。禁止开（围）垦、填埋或者排干湿地；禁止截断湿地水源、挖沙、采矿、引入外来物种；禁止擅自放牧、捕捞、取土、取水、排污、放生；禁止其他破坏湿地及其生态功能的活动。</w:t>
                  </w:r>
                </w:p>
              </w:tc>
              <w:tc>
                <w:tcPr>
                  <w:tcW w:w="3559" w:type="dxa"/>
                  <w:vAlign w:val="center"/>
                </w:tcPr>
                <w:p w14:paraId="189CB2D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rPr>
                    <w:t>目不属于金沙江、赤水河、乌江和等水生动植物自然保护区、水产种质资源保护区长江流域</w:t>
                  </w:r>
                </w:p>
              </w:tc>
              <w:tc>
                <w:tcPr>
                  <w:tcW w:w="1053" w:type="dxa"/>
                  <w:vAlign w:val="center"/>
                </w:tcPr>
                <w:p w14:paraId="4B226DA5">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highlight w:val="none"/>
                      <w:vertAlign w:val="baseline"/>
                      <w:lang w:val="en-US" w:eastAsia="zh-CN"/>
                    </w:rPr>
                    <w:t>符合</w:t>
                  </w:r>
                </w:p>
              </w:tc>
            </w:tr>
            <w:tr w14:paraId="241B7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8" w:type="dxa"/>
                  <w:vAlign w:val="top"/>
                </w:tcPr>
                <w:p w14:paraId="5ED49282">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rPr>
                    <w:t>10、禁止在金沙江、长江一级支流岸线边界一公里范围内新建、扩建化工园区和化工项目。新建化工园区充分留足与周边城镇未来扩张发展的安全距离，立足于生态工业园区建设方向，推广绿色化学和绿色化工发展模式。化工园区设立及园区产业发展规划由省级业务主管部门牵头组织专家论证后审定。</w:t>
                  </w:r>
                </w:p>
              </w:tc>
              <w:tc>
                <w:tcPr>
                  <w:tcW w:w="3559" w:type="dxa"/>
                  <w:vAlign w:val="center"/>
                </w:tcPr>
                <w:p w14:paraId="39236C8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eastAsia="宋体"/>
                      <w:color w:val="FF0000"/>
                      <w:vertAlign w:val="baseline"/>
                      <w:lang w:val="en-US" w:eastAsia="zh-CN"/>
                    </w:rPr>
                  </w:pPr>
                  <w:r>
                    <w:rPr>
                      <w:rFonts w:hint="eastAsia"/>
                      <w:color w:val="FF0000"/>
                      <w:vertAlign w:val="baseline"/>
                      <w:lang w:val="en-US" w:eastAsia="zh-CN"/>
                    </w:rPr>
                    <w:t>项目为机制炭加工项目，项目位于云南省德宏州芒市，不在金沙江、长江一级支流岸线边界一公里范围内</w:t>
                  </w:r>
                </w:p>
              </w:tc>
              <w:tc>
                <w:tcPr>
                  <w:tcW w:w="1053" w:type="dxa"/>
                  <w:vAlign w:val="center"/>
                </w:tcPr>
                <w:p w14:paraId="58C80203">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color w:val="FF0000"/>
                      <w:vertAlign w:val="baseline"/>
                    </w:rPr>
                  </w:pPr>
                  <w:r>
                    <w:rPr>
                      <w:rFonts w:hint="default" w:ascii="Times New Roman" w:hAnsi="Times New Roman" w:cs="Times New Roman" w:eastAsiaTheme="minorEastAsia"/>
                      <w:color w:val="FF0000"/>
                      <w:sz w:val="21"/>
                      <w:szCs w:val="21"/>
                      <w:highlight w:val="none"/>
                      <w:vertAlign w:val="baseline"/>
                      <w:lang w:val="en-US" w:eastAsia="zh-CN"/>
                    </w:rPr>
                    <w:t>符合</w:t>
                  </w:r>
                </w:p>
              </w:tc>
            </w:tr>
            <w:tr w14:paraId="2C491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8" w:type="dxa"/>
                  <w:vAlign w:val="top"/>
                </w:tcPr>
                <w:p w14:paraId="089A8376">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rPr>
                    <w:t>11、禁止在金沙江干流岸线3公里、长江（金沙江）一级支流岸线1公里范围内新建、改建、扩建尾矿库、冶炼渣库和磷石膏库，以提升安全、生态环境保护水平为目的的改建除外。</w:t>
                  </w:r>
                </w:p>
              </w:tc>
              <w:tc>
                <w:tcPr>
                  <w:tcW w:w="3559" w:type="dxa"/>
                  <w:vAlign w:val="center"/>
                </w:tcPr>
                <w:p w14:paraId="60B19217">
                  <w:pPr>
                    <w:pStyle w:val="11"/>
                    <w:spacing w:before="0" w:after="0" w:line="240" w:lineRule="auto"/>
                    <w:ind w:right="0" w:rightChars="0"/>
                    <w:jc w:val="left"/>
                    <w:rPr>
                      <w:rFonts w:hint="default"/>
                      <w:vertAlign w:val="baseline"/>
                    </w:rPr>
                  </w:pPr>
                  <w:r>
                    <w:rPr>
                      <w:rFonts w:hint="default" w:ascii="Times New Roman" w:hAnsi="Times New Roman" w:cs="Times New Roman" w:eastAsiaTheme="minorEastAsia"/>
                      <w:color w:val="auto"/>
                      <w:sz w:val="21"/>
                      <w:szCs w:val="21"/>
                    </w:rPr>
                    <w:t>本项目不属于金沙江流域</w:t>
                  </w:r>
                </w:p>
              </w:tc>
              <w:tc>
                <w:tcPr>
                  <w:tcW w:w="1053" w:type="dxa"/>
                  <w:vAlign w:val="center"/>
                </w:tcPr>
                <w:p w14:paraId="6C03365D">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highlight w:val="none"/>
                      <w:vertAlign w:val="baseline"/>
                      <w:lang w:val="en-US" w:eastAsia="zh-CN"/>
                    </w:rPr>
                    <w:t>符合</w:t>
                  </w:r>
                </w:p>
              </w:tc>
            </w:tr>
            <w:tr w14:paraId="52523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8" w:type="dxa"/>
                  <w:vAlign w:val="top"/>
                </w:tcPr>
                <w:p w14:paraId="02230EBD">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rPr>
                    <w:t>12、禁止在合规园区外新建、扩建钢铁、石化、化工、焦化、建材、有色、制浆造纸等高污染项目。禁止新增钢铁、水泥、平板玻璃等行业建设产能，确有必要建设的，应按规定实施产能等量或减量置换。</w:t>
                  </w:r>
                </w:p>
              </w:tc>
              <w:tc>
                <w:tcPr>
                  <w:tcW w:w="3559" w:type="dxa"/>
                  <w:vAlign w:val="center"/>
                </w:tcPr>
                <w:p w14:paraId="70866C5A">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rPr>
                    <w:t>本项目不属于钢铁、石化、化工、焦化、建材、有色、制浆造纸等高污染项目</w:t>
                  </w:r>
                </w:p>
              </w:tc>
              <w:tc>
                <w:tcPr>
                  <w:tcW w:w="1053" w:type="dxa"/>
                  <w:vAlign w:val="center"/>
                </w:tcPr>
                <w:p w14:paraId="0282EBE1">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highlight w:val="none"/>
                      <w:vertAlign w:val="baseline"/>
                      <w:lang w:val="en-US" w:eastAsia="zh-CN"/>
                    </w:rPr>
                    <w:t>符合</w:t>
                  </w:r>
                </w:p>
              </w:tc>
            </w:tr>
            <w:tr w14:paraId="151E1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8" w:type="dxa"/>
                  <w:vAlign w:val="top"/>
                </w:tcPr>
                <w:p w14:paraId="5E3B3CCD">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rPr>
                    <w:t>13、禁止新建、扩建不符合国家石化、现代煤化工等产业布局规划的项目。禁止列入《云南省城镇人口密集区危险化学品生产企业搬迁改造名单》的搬迁改造企业在原址新建、扩建危险化学品生产项目，加强搬迁入园、关闭退出企业腾退土地污染风险管控和治理修复，确保腾退土地符合规划用地土壤环境质量标准。</w:t>
                  </w:r>
                </w:p>
              </w:tc>
              <w:tc>
                <w:tcPr>
                  <w:tcW w:w="3559" w:type="dxa"/>
                  <w:vAlign w:val="center"/>
                </w:tcPr>
                <w:p w14:paraId="6BABAAF9">
                  <w:pPr>
                    <w:pStyle w:val="11"/>
                    <w:spacing w:before="0" w:after="0" w:line="240" w:lineRule="auto"/>
                    <w:ind w:right="0" w:rightChars="0"/>
                    <w:jc w:val="left"/>
                    <w:rPr>
                      <w:rFonts w:hint="default"/>
                      <w:vertAlign w:val="baseline"/>
                    </w:rPr>
                  </w:pPr>
                  <w:r>
                    <w:rPr>
                      <w:rFonts w:hint="default" w:ascii="Times New Roman" w:hAnsi="Times New Roman" w:cs="Times New Roman" w:eastAsiaTheme="minorEastAsia"/>
                      <w:color w:val="auto"/>
                      <w:sz w:val="21"/>
                      <w:szCs w:val="21"/>
                    </w:rPr>
                    <w:t>不属于产业布局规划禁止项目</w:t>
                  </w:r>
                </w:p>
              </w:tc>
              <w:tc>
                <w:tcPr>
                  <w:tcW w:w="1053" w:type="dxa"/>
                  <w:vAlign w:val="center"/>
                </w:tcPr>
                <w:p w14:paraId="176E031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highlight w:val="none"/>
                      <w:vertAlign w:val="baseline"/>
                      <w:lang w:val="en-US" w:eastAsia="zh-CN"/>
                    </w:rPr>
                    <w:t>符合</w:t>
                  </w:r>
                </w:p>
              </w:tc>
            </w:tr>
            <w:tr w14:paraId="3B5BC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8" w:type="dxa"/>
                  <w:vAlign w:val="top"/>
                </w:tcPr>
                <w:p w14:paraId="54488B8A">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rPr>
                    <w:t>14、禁止新建、扩建法律法规和相关政策明令禁止的落后产能项目，依法依规淘汰不符合要求的电石炉及开放式电石炉、无化产回收的单一炼焦生产设施，依法依规淘汰不符合要求的硫铁矿制酸、硫磺制酸、黄磷生产、有钙焙烧铬化合物生产装置和有机—无机复混肥料、过磷酸钙和钙镁磷肥生产线。禁止新建、扩建不符合国家产能置换要求的严重过剩产能行业的项目。禁止新建、扩建不符合要求的高耗能高排放项目。禁止建设高毒高残留以及对环境影响大的农药原药生产装置，严格控制尿素、磷铵、电石、焦炭、黄磷、烧碱、纯碱、聚氯乙烯等行业新增产能。</w:t>
                  </w:r>
                </w:p>
              </w:tc>
              <w:tc>
                <w:tcPr>
                  <w:tcW w:w="3559" w:type="dxa"/>
                  <w:vAlign w:val="center"/>
                </w:tcPr>
                <w:p w14:paraId="05F555BE">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rPr>
                    <w:t>根据国家发展和改革委员会《产业结构调整指导目录（2024年本）</w:t>
                  </w:r>
                  <w:r>
                    <w:rPr>
                      <w:rFonts w:hint="default" w:ascii="Times New Roman" w:hAnsi="Times New Roman" w:cs="Times New Roman" w:eastAsiaTheme="minorEastAsia"/>
                      <w:color w:val="FF0000"/>
                      <w:sz w:val="21"/>
                      <w:szCs w:val="21"/>
                    </w:rPr>
                    <w:t>，属于</w:t>
                  </w:r>
                  <w:r>
                    <w:rPr>
                      <w:rFonts w:hint="eastAsia" w:cs="Times New Roman" w:eastAsiaTheme="minorEastAsia"/>
                      <w:color w:val="FF0000"/>
                      <w:sz w:val="21"/>
                      <w:szCs w:val="21"/>
                      <w:lang w:val="en-US" w:eastAsia="zh-CN"/>
                    </w:rPr>
                    <w:t>允许</w:t>
                  </w:r>
                  <w:r>
                    <w:rPr>
                      <w:rFonts w:hint="default" w:ascii="Times New Roman" w:hAnsi="Times New Roman" w:cs="Times New Roman" w:eastAsiaTheme="minorEastAsia"/>
                      <w:color w:val="FF0000"/>
                      <w:sz w:val="21"/>
                      <w:szCs w:val="21"/>
                    </w:rPr>
                    <w:t>项目，</w:t>
                  </w:r>
                  <w:r>
                    <w:rPr>
                      <w:rFonts w:hint="eastAsia" w:cs="Times New Roman" w:eastAsiaTheme="minorEastAsia"/>
                      <w:color w:val="FF0000"/>
                      <w:sz w:val="21"/>
                      <w:szCs w:val="21"/>
                      <w:lang w:val="en-US" w:eastAsia="zh-CN"/>
                    </w:rPr>
                    <w:t>已取得芒市发展和改革局的投资备案证，</w:t>
                  </w:r>
                  <w:r>
                    <w:rPr>
                      <w:rFonts w:hint="default" w:ascii="Times New Roman" w:hAnsi="Times New Roman" w:cs="Times New Roman" w:eastAsiaTheme="minorEastAsia"/>
                      <w:color w:val="FF0000"/>
                      <w:sz w:val="21"/>
                      <w:szCs w:val="21"/>
                    </w:rPr>
                    <w:t>项目符合当前国家产业政策。</w:t>
                  </w:r>
                </w:p>
              </w:tc>
              <w:tc>
                <w:tcPr>
                  <w:tcW w:w="1053" w:type="dxa"/>
                  <w:vAlign w:val="center"/>
                </w:tcPr>
                <w:p w14:paraId="5862E5C5">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vertAlign w:val="baseline"/>
                    </w:rPr>
                  </w:pPr>
                  <w:r>
                    <w:rPr>
                      <w:rFonts w:hint="default" w:ascii="Times New Roman" w:hAnsi="Times New Roman" w:cs="Times New Roman" w:eastAsiaTheme="minorEastAsia"/>
                      <w:color w:val="auto"/>
                      <w:sz w:val="21"/>
                      <w:szCs w:val="21"/>
                      <w:highlight w:val="none"/>
                      <w:vertAlign w:val="baseline"/>
                      <w:lang w:val="en-US" w:eastAsia="zh-CN"/>
                    </w:rPr>
                    <w:t>符合</w:t>
                  </w:r>
                </w:p>
              </w:tc>
            </w:tr>
          </w:tbl>
          <w:p w14:paraId="43F44B3D">
            <w:pPr>
              <w:rPr>
                <w:rFonts w:hint="default"/>
              </w:rPr>
            </w:pPr>
          </w:p>
          <w:p w14:paraId="26773EFB">
            <w:pPr>
              <w:autoSpaceDE w:val="0"/>
              <w:autoSpaceDN w:val="0"/>
              <w:adjustRightInd w:val="0"/>
              <w:snapToGrid w:val="0"/>
              <w:spacing w:line="360" w:lineRule="auto"/>
              <w:ind w:firstLine="480" w:firstLineChars="200"/>
              <w:jc w:val="left"/>
              <w:rPr>
                <w:rFonts w:hint="default" w:ascii="Times New Roman" w:hAnsi="Times New Roman" w:cs="Times New Roman"/>
                <w:color w:val="FF0000"/>
                <w:sz w:val="24"/>
                <w:highlight w:val="none"/>
              </w:rPr>
            </w:pPr>
            <w:r>
              <w:rPr>
                <w:rFonts w:hint="default" w:ascii="Times New Roman" w:hAnsi="Times New Roman" w:cs="Times New Roman"/>
                <w:color w:val="000000" w:themeColor="text1"/>
                <w:sz w:val="24"/>
                <w14:textFill>
                  <w14:solidFill>
                    <w14:schemeClr w14:val="tx1"/>
                  </w14:solidFill>
                </w14:textFill>
              </w:rPr>
              <w:t>项目位于</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云南省德宏州芒市遮放农场晓阳社区居民委员会第七居民小组</w:t>
            </w: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lang w:eastAsia="zh-CN"/>
                <w14:textFill>
                  <w14:solidFill>
                    <w14:schemeClr w14:val="tx1"/>
                  </w14:solidFill>
                </w14:textFill>
              </w:rPr>
              <w:t>遮放镇</w:t>
            </w:r>
            <w:r>
              <w:rPr>
                <w:rFonts w:hint="default" w:ascii="Times New Roman" w:hAnsi="Times New Roman" w:cs="Times New Roman"/>
                <w:color w:val="000000" w:themeColor="text1"/>
                <w:sz w:val="24"/>
                <w:highlight w:val="none"/>
                <w14:textFill>
                  <w14:solidFill>
                    <w14:schemeClr w14:val="tx1"/>
                  </w14:solidFill>
                </w14:textFill>
              </w:rPr>
              <w:t>地处云南</w:t>
            </w:r>
            <w:r>
              <w:rPr>
                <w:rFonts w:hint="default" w:ascii="Times New Roman" w:hAnsi="Times New Roman" w:cs="Times New Roman"/>
                <w:color w:val="000000" w:themeColor="text1"/>
                <w:sz w:val="24"/>
                <w:highlight w:val="none"/>
                <w:lang w:eastAsia="zh-CN"/>
                <w14:textFill>
                  <w14:solidFill>
                    <w14:schemeClr w14:val="tx1"/>
                  </w14:solidFill>
                </w14:textFill>
              </w:rPr>
              <w:t>芒市</w:t>
            </w:r>
            <w:r>
              <w:rPr>
                <w:rFonts w:hint="default" w:ascii="Times New Roman" w:hAnsi="Times New Roman" w:cs="Times New Roman"/>
                <w:color w:val="000000" w:themeColor="text1"/>
                <w:sz w:val="24"/>
                <w:highlight w:val="none"/>
                <w14:textFill>
                  <w14:solidFill>
                    <w14:schemeClr w14:val="tx1"/>
                  </w14:solidFill>
                </w14:textFill>
              </w:rPr>
              <w:t>，全区域均不涉及长江及各长江支流；</w:t>
            </w:r>
            <w:r>
              <w:rPr>
                <w:rFonts w:hint="default" w:ascii="Times New Roman" w:hAnsi="Times New Roman" w:cs="Times New Roman"/>
                <w:color w:val="FF0000"/>
                <w:sz w:val="24"/>
                <w:highlight w:val="none"/>
              </w:rPr>
              <w:t>项目</w:t>
            </w:r>
            <w:r>
              <w:rPr>
                <w:rFonts w:hint="eastAsia" w:cs="Times New Roman"/>
                <w:color w:val="FF0000"/>
                <w:sz w:val="24"/>
                <w:highlight w:val="none"/>
                <w:lang w:val="en-US" w:eastAsia="zh-CN"/>
              </w:rPr>
              <w:t>建设满足</w:t>
            </w:r>
            <w:r>
              <w:rPr>
                <w:rFonts w:hint="default" w:ascii="Times New Roman" w:hAnsi="Times New Roman" w:cs="Times New Roman"/>
                <w:color w:val="FF0000"/>
                <w:sz w:val="24"/>
                <w:highlight w:val="none"/>
              </w:rPr>
              <w:t>《云南省长江经济带发展负面清单指南实施细则（试行，2022年版）》相关各项要求。</w:t>
            </w:r>
          </w:p>
          <w:p w14:paraId="0A1A7E9D">
            <w:pPr>
              <w:spacing w:before="36"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5、项目与《云南省生态功能区划》符合性分析</w:t>
            </w:r>
          </w:p>
          <w:p w14:paraId="46C9B68C">
            <w:pPr>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根据《云南省生态功能区划》，规划将整个云南省划分为重点开发区、限制开发区和禁止开发区三大类区。在云南省重点开发区域中，</w:t>
            </w:r>
            <w:r>
              <w:rPr>
                <w:rFonts w:hint="eastAsia" w:cs="Times New Roman"/>
                <w:color w:val="auto"/>
                <w:sz w:val="24"/>
                <w:szCs w:val="24"/>
                <w:lang w:val="en-US" w:eastAsia="zh-CN"/>
              </w:rPr>
              <w:t>芒市</w:t>
            </w:r>
            <w:r>
              <w:rPr>
                <w:rFonts w:hint="default" w:ascii="Times New Roman" w:hAnsi="Times New Roman" w:eastAsia="宋体" w:cs="Times New Roman"/>
                <w:color w:val="auto"/>
                <w:sz w:val="24"/>
                <w:szCs w:val="24"/>
                <w:lang w:val="en-US" w:eastAsia="zh-CN"/>
              </w:rPr>
              <w:t>镇属于其他重点开发的城镇中的重点县城。云南省限制开发区域中，芒市属于国家级农产品主产区。重点小镇要以园区为重点，深入挖掘特色资源，促进特色产业聚集式发展，不断完善基础设施，构建综合交通网络，优化居住环境，积极承接周边农业人口转移。所在区域的生态环境问题为旅游业和不合理的热区开发带来的生态破坏。</w:t>
            </w:r>
          </w:p>
          <w:p w14:paraId="06378A5A">
            <w:pPr>
              <w:autoSpaceDN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本项目位于</w:t>
            </w:r>
            <w:r>
              <w:rPr>
                <w:rFonts w:hint="default" w:ascii="Times New Roman" w:hAnsi="Times New Roman" w:cs="Times New Roman"/>
                <w:color w:val="auto"/>
                <w:sz w:val="24"/>
                <w:szCs w:val="24"/>
                <w:highlight w:val="none"/>
                <w:lang w:val="en-US" w:eastAsia="zh-CN"/>
              </w:rPr>
              <w:t>云南省德宏州芒市遮放农场晓阳社区居民委员会第七居民小组</w:t>
            </w:r>
            <w:r>
              <w:rPr>
                <w:rFonts w:hint="default" w:ascii="Times New Roman" w:hAnsi="Times New Roman" w:eastAsia="宋体" w:cs="Times New Roman"/>
                <w:color w:val="auto"/>
                <w:sz w:val="24"/>
                <w:szCs w:val="24"/>
                <w:highlight w:val="none"/>
                <w:lang w:val="en-US" w:eastAsia="zh-CN"/>
              </w:rPr>
              <w:t>，已取得土地证，用地性</w:t>
            </w:r>
            <w:r>
              <w:rPr>
                <w:rFonts w:hint="eastAsia" w:cs="Times New Roman"/>
                <w:color w:val="auto"/>
                <w:sz w:val="24"/>
                <w:szCs w:val="24"/>
                <w:highlight w:val="none"/>
                <w:lang w:val="en-US" w:eastAsia="zh-CN"/>
              </w:rPr>
              <w:t>质为</w:t>
            </w:r>
            <w:r>
              <w:rPr>
                <w:rFonts w:hint="default" w:ascii="Times New Roman" w:hAnsi="Times New Roman" w:eastAsia="宋体" w:cs="Times New Roman"/>
                <w:color w:val="auto"/>
                <w:sz w:val="24"/>
                <w:szCs w:val="24"/>
                <w:highlight w:val="none"/>
                <w:lang w:val="en-US" w:eastAsia="zh-CN"/>
              </w:rPr>
              <w:t>工业用地</w:t>
            </w:r>
            <w:r>
              <w:rPr>
                <w:rFonts w:hint="default" w:ascii="Times New Roman" w:hAnsi="Times New Roman" w:eastAsia="宋体" w:cs="Times New Roman"/>
                <w:color w:val="auto"/>
                <w:sz w:val="24"/>
                <w:szCs w:val="24"/>
                <w:lang w:val="en-US" w:eastAsia="zh-CN"/>
              </w:rPr>
              <w:t>；本次工程不涉及旅游和不合理的热区开发带来的环境污染和生态环境问题；本项目符合《云南省生态功能区划》的要求。</w:t>
            </w:r>
          </w:p>
          <w:p w14:paraId="147A8DD3">
            <w:pPr>
              <w:adjustRightInd w:val="0"/>
              <w:snapToGrid w:val="0"/>
              <w:spacing w:line="360" w:lineRule="auto"/>
              <w:textAlignment w:val="baseline"/>
              <w:rPr>
                <w:rFonts w:hint="default" w:ascii="Times New Roman" w:hAnsi="Times New Roman" w:eastAsia="宋体" w:cs="Times New Roman"/>
                <w:b/>
                <w:bCs/>
                <w:sz w:val="24"/>
                <w:lang w:val="en-US" w:eastAsia="zh-CN"/>
              </w:rPr>
            </w:pPr>
            <w:r>
              <w:rPr>
                <w:rFonts w:hint="default" w:ascii="Times New Roman" w:hAnsi="Times New Roman" w:cs="Times New Roman"/>
                <w:b/>
                <w:bCs/>
                <w:sz w:val="24"/>
              </w:rPr>
              <w:t>6、与《云南省主体功能区划》相符性分析</w:t>
            </w:r>
            <w:r>
              <w:rPr>
                <w:rFonts w:hint="default" w:ascii="Times New Roman" w:hAnsi="Times New Roman" w:cs="Times New Roman"/>
                <w:b/>
                <w:bCs/>
                <w:sz w:val="24"/>
                <w:lang w:val="en-US" w:eastAsia="zh-CN"/>
              </w:rPr>
              <w:t xml:space="preserve"> </w:t>
            </w:r>
          </w:p>
          <w:p w14:paraId="5630A126">
            <w:pPr>
              <w:autoSpaceDN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云南省主体功能区划将云南省国土空间按照开发方式分为重点开发区域、限制开发区域和禁止开发区域 3 类主体功能区。其中：禁止开发区包括了国家级、省级、州市级和县级的自然保护区、世界自然和文化遗产地，国家级、省级风景名胜区，国家级、省级森林公园，国家级</w:t>
            </w:r>
            <w:r>
              <w:rPr>
                <w:rFonts w:hint="eastAsia" w:cs="Times New Roman"/>
                <w:color w:val="auto"/>
                <w:sz w:val="24"/>
                <w:szCs w:val="24"/>
                <w:lang w:val="en-US" w:eastAsia="zh-CN"/>
              </w:rPr>
              <w:t>地质公园</w:t>
            </w:r>
            <w:r>
              <w:rPr>
                <w:rFonts w:hint="default" w:ascii="Times New Roman" w:hAnsi="Times New Roman" w:eastAsia="宋体" w:cs="Times New Roman"/>
                <w:color w:val="auto"/>
                <w:sz w:val="24"/>
                <w:szCs w:val="24"/>
                <w:lang w:val="en-US" w:eastAsia="zh-CN"/>
              </w:rPr>
              <w:t xml:space="preserve">，城市集中饮用水保护区，国家湿地公园，国家级水产种质资源保护区，以及牛栏江流域上游保护区水源保护核心区等；限制开发区域包括48个县市在内的农产品主产区，以及38个县市区和25个县市区和12个乡镇的国家重点开发区域，以及设计16个县市区的省级重点开发区域。 </w:t>
            </w:r>
          </w:p>
          <w:p w14:paraId="16B741BE">
            <w:pPr>
              <w:autoSpaceDN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根据云南省主体功能区划分总图得知，本项目所在区域属于其中的限制开发区域（农产品开发主产区）。 限制开发区域（农产品开发主产区）的功能定位：以大力发展高原特色农业为重点，切实保护耕地，稳定粮食生产，发展现代农业，增强农业综合生产能力，增加农民收入，加快建设社会主义新农村，有效增强农产品供给保障能力，确保国家粮食安全和食品安全。</w:t>
            </w:r>
          </w:p>
          <w:p w14:paraId="7B579217">
            <w:pPr>
              <w:pStyle w:val="12"/>
              <w:spacing w:line="360" w:lineRule="auto"/>
              <w:ind w:firstLine="480" w:firstLineChars="200"/>
              <w:rPr>
                <w:rFonts w:hint="default" w:ascii="Times New Roman" w:hAnsi="Times New Roman" w:cs="Times New Roman"/>
                <w:lang w:val="en-US" w:eastAsia="zh-CN"/>
              </w:rPr>
            </w:pPr>
            <w:r>
              <w:rPr>
                <w:rFonts w:hint="default" w:ascii="Times New Roman" w:hAnsi="Times New Roman" w:eastAsia="宋体" w:cs="Times New Roman"/>
                <w:color w:val="auto"/>
                <w:sz w:val="24"/>
                <w:szCs w:val="24"/>
                <w:lang w:val="en-US" w:eastAsia="zh-CN"/>
              </w:rPr>
              <w:t>项目已取得土地证，用地性</w:t>
            </w:r>
            <w:r>
              <w:rPr>
                <w:rFonts w:hint="eastAsia" w:ascii="Times New Roman" w:hAnsi="Times New Roman" w:cs="Times New Roman"/>
                <w:color w:val="auto"/>
                <w:sz w:val="24"/>
                <w:szCs w:val="24"/>
                <w:lang w:val="en-US" w:eastAsia="zh-CN"/>
              </w:rPr>
              <w:t>质为</w:t>
            </w:r>
            <w:r>
              <w:rPr>
                <w:rFonts w:hint="default" w:ascii="Times New Roman" w:hAnsi="Times New Roman" w:eastAsia="宋体" w:cs="Times New Roman"/>
                <w:color w:val="auto"/>
                <w:sz w:val="24"/>
                <w:szCs w:val="24"/>
                <w:lang w:val="en-US" w:eastAsia="zh-CN"/>
              </w:rPr>
              <w:t>工业用地，项目对周边生态环境影响较小；基本符合《云南省主体功能区划》的要求。</w:t>
            </w:r>
          </w:p>
          <w:p w14:paraId="77677041">
            <w:pPr>
              <w:pStyle w:val="48"/>
              <w:ind w:firstLine="0" w:firstLineChars="0"/>
              <w:rPr>
                <w:rFonts w:hint="default" w:ascii="Times New Roman" w:hAnsi="Times New Roman" w:cs="Times New Roman"/>
                <w:b/>
                <w:bCs/>
                <w:color w:val="auto"/>
              </w:rPr>
            </w:pPr>
            <w:r>
              <w:rPr>
                <w:rFonts w:hint="default" w:ascii="Times New Roman" w:hAnsi="Times New Roman" w:cs="Times New Roman"/>
                <w:b/>
                <w:bCs/>
                <w:color w:val="auto"/>
                <w:lang w:val="en-US" w:eastAsia="zh-CN"/>
              </w:rPr>
              <w:t>7</w:t>
            </w:r>
            <w:r>
              <w:rPr>
                <w:rFonts w:hint="default" w:ascii="Times New Roman" w:hAnsi="Times New Roman" w:cs="Times New Roman"/>
                <w:b/>
                <w:bCs/>
                <w:color w:val="auto"/>
              </w:rPr>
              <w:t>、项目与《云南省生物多样性保护条例》符合性分析</w:t>
            </w:r>
          </w:p>
          <w:p w14:paraId="6B3C535A">
            <w:pPr>
              <w:pStyle w:val="22"/>
              <w:spacing w:after="0"/>
              <w:ind w:left="0" w:leftChars="0" w:firstLine="0" w:firstLineChars="0"/>
              <w:jc w:val="both"/>
              <w:rPr>
                <w:rFonts w:hint="default" w:ascii="Times New Roman" w:hAnsi="Times New Roman" w:cs="Times New Roman"/>
                <w:b/>
                <w:bCs/>
                <w:color w:val="auto"/>
                <w:sz w:val="24"/>
              </w:rPr>
            </w:pPr>
          </w:p>
          <w:p w14:paraId="401AB345">
            <w:pPr>
              <w:pStyle w:val="22"/>
              <w:spacing w:after="0"/>
              <w:ind w:left="0" w:leftChars="0" w:firstLine="482"/>
              <w:jc w:val="center"/>
              <w:rPr>
                <w:rFonts w:hint="default" w:ascii="Times New Roman" w:hAnsi="Times New Roman" w:cs="Times New Roman"/>
                <w:b/>
                <w:bCs/>
                <w:color w:val="auto"/>
                <w:sz w:val="24"/>
                <w:vertAlign w:val="baseline"/>
              </w:rPr>
            </w:pPr>
            <w:r>
              <w:rPr>
                <w:rFonts w:hint="default" w:ascii="Times New Roman" w:hAnsi="Times New Roman" w:cs="Times New Roman"/>
                <w:b/>
                <w:bCs/>
                <w:color w:val="auto"/>
                <w:sz w:val="24"/>
              </w:rPr>
              <w:t>表1-</w:t>
            </w:r>
            <w:r>
              <w:rPr>
                <w:rFonts w:hint="eastAsia" w:cs="Times New Roman"/>
                <w:b/>
                <w:bCs/>
                <w:color w:val="auto"/>
                <w:sz w:val="24"/>
                <w:lang w:val="en-US" w:eastAsia="zh-CN"/>
              </w:rPr>
              <w:t>5</w:t>
            </w:r>
            <w:r>
              <w:rPr>
                <w:rFonts w:hint="default" w:ascii="Times New Roman" w:hAnsi="Times New Roman" w:cs="Times New Roman"/>
                <w:b/>
                <w:bCs/>
                <w:color w:val="auto"/>
                <w:sz w:val="24"/>
              </w:rPr>
              <w:t>项目与《云南省生物多样性保护条例》符合性分析</w:t>
            </w:r>
          </w:p>
          <w:tbl>
            <w:tblPr>
              <w:tblStyle w:val="24"/>
              <w:tblW w:w="130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9"/>
              <w:gridCol w:w="4922"/>
              <w:gridCol w:w="999"/>
            </w:tblGrid>
            <w:tr w14:paraId="21447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9" w:type="dxa"/>
                  <w:vAlign w:val="center"/>
                </w:tcPr>
                <w:p w14:paraId="7CADD6E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sz w:val="24"/>
                      <w:vertAlign w:val="baseline"/>
                    </w:rPr>
                  </w:pPr>
                  <w:r>
                    <w:rPr>
                      <w:rFonts w:hint="default" w:ascii="Times New Roman" w:hAnsi="Times New Roman" w:cs="Times New Roman"/>
                      <w:b/>
                      <w:bCs/>
                      <w:color w:val="auto"/>
                    </w:rPr>
                    <w:t>云南省生物多样性保护条例</w:t>
                  </w:r>
                </w:p>
              </w:tc>
              <w:tc>
                <w:tcPr>
                  <w:tcW w:w="4922" w:type="dxa"/>
                  <w:vAlign w:val="center"/>
                </w:tcPr>
                <w:p w14:paraId="32E84D0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sz w:val="24"/>
                      <w:vertAlign w:val="baseline"/>
                    </w:rPr>
                  </w:pPr>
                  <w:r>
                    <w:rPr>
                      <w:rFonts w:hint="default" w:ascii="Times New Roman" w:hAnsi="Times New Roman" w:cs="Times New Roman"/>
                      <w:b/>
                      <w:bCs/>
                      <w:color w:val="auto"/>
                      <w:szCs w:val="21"/>
                    </w:rPr>
                    <w:t>符合性分析</w:t>
                  </w:r>
                </w:p>
              </w:tc>
              <w:tc>
                <w:tcPr>
                  <w:tcW w:w="999" w:type="dxa"/>
                  <w:vAlign w:val="center"/>
                </w:tcPr>
                <w:p w14:paraId="26AA434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sz w:val="24"/>
                      <w:vertAlign w:val="baseline"/>
                    </w:rPr>
                  </w:pPr>
                  <w:r>
                    <w:rPr>
                      <w:rFonts w:hint="default" w:ascii="Times New Roman" w:hAnsi="Times New Roman" w:cs="Times New Roman"/>
                      <w:b/>
                      <w:bCs/>
                      <w:color w:val="auto"/>
                      <w:szCs w:val="21"/>
                    </w:rPr>
                    <w:t>符合性</w:t>
                  </w:r>
                </w:p>
              </w:tc>
            </w:tr>
            <w:tr w14:paraId="3D660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9" w:type="dxa"/>
                  <w:vAlign w:val="center"/>
                </w:tcPr>
                <w:p w14:paraId="4B42447F">
                  <w:pPr>
                    <w:jc w:val="left"/>
                    <w:rPr>
                      <w:rFonts w:hint="default" w:ascii="Times New Roman" w:hAnsi="Times New Roman" w:cs="Times New Roman"/>
                      <w:color w:val="auto"/>
                      <w:szCs w:val="21"/>
                    </w:rPr>
                  </w:pPr>
                  <w:r>
                    <w:rPr>
                      <w:rFonts w:hint="default" w:ascii="Times New Roman" w:hAnsi="Times New Roman" w:cs="Times New Roman"/>
                      <w:color w:val="auto"/>
                      <w:szCs w:val="21"/>
                    </w:rPr>
                    <w:t>第二十九条 新建、改建、扩建建设项目以及开发自然资源，应当依法开展环境影响评价。对可能造成重要生态系统破坏、损害重要物种及其栖息地和生境的，应当制定专项保护、恢复和补偿方案，纳入环境影响评价。</w:t>
                  </w:r>
                </w:p>
                <w:p w14:paraId="70F09179">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color w:val="auto"/>
                      <w:sz w:val="24"/>
                      <w:vertAlign w:val="baseline"/>
                    </w:rPr>
                  </w:pPr>
                  <w:r>
                    <w:rPr>
                      <w:rFonts w:hint="default" w:ascii="Times New Roman" w:hAnsi="Times New Roman" w:cs="Times New Roman"/>
                      <w:color w:val="auto"/>
                      <w:szCs w:val="21"/>
                    </w:rPr>
                    <w:t>在生物多样性保护优先区域的建设项目以及自然资源开发，应当评价对生物多样性的影响，并作为环境影响评价的重要组成部分。</w:t>
                  </w:r>
                </w:p>
              </w:tc>
              <w:tc>
                <w:tcPr>
                  <w:tcW w:w="4922" w:type="dxa"/>
                  <w:vAlign w:val="center"/>
                </w:tcPr>
                <w:p w14:paraId="171C4B55">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color w:val="auto"/>
                      <w:sz w:val="24"/>
                      <w:vertAlign w:val="baseline"/>
                    </w:rPr>
                  </w:pPr>
                  <w:r>
                    <w:rPr>
                      <w:rFonts w:hint="default" w:ascii="Times New Roman" w:hAnsi="Times New Roman" w:cs="Times New Roman"/>
                      <w:color w:val="auto"/>
                      <w:spacing w:val="-9"/>
                      <w:szCs w:val="21"/>
                      <w:lang w:bidi="zh-CN"/>
                    </w:rPr>
                    <w:t>项目为机制炭</w:t>
                  </w:r>
                  <w:r>
                    <w:rPr>
                      <w:rFonts w:hint="eastAsia" w:cs="Times New Roman"/>
                      <w:color w:val="auto"/>
                      <w:spacing w:val="-9"/>
                      <w:szCs w:val="21"/>
                      <w:lang w:bidi="zh-CN"/>
                    </w:rPr>
                    <w:t>建设</w:t>
                  </w:r>
                  <w:r>
                    <w:rPr>
                      <w:rFonts w:hint="default" w:ascii="Times New Roman" w:hAnsi="Times New Roman" w:cs="Times New Roman"/>
                      <w:color w:val="auto"/>
                      <w:spacing w:val="-9"/>
                      <w:szCs w:val="21"/>
                      <w:lang w:bidi="zh-CN"/>
                    </w:rPr>
                    <w:t>工程，已按照要求编制环境影响评价报告表；本项目不涉及</w:t>
                  </w:r>
                  <w:r>
                    <w:rPr>
                      <w:rFonts w:hint="default" w:ascii="Times New Roman" w:hAnsi="Times New Roman" w:cs="Times New Roman"/>
                      <w:color w:val="auto"/>
                      <w:szCs w:val="21"/>
                    </w:rPr>
                    <w:t>生物多样性保护优先区域</w:t>
                  </w:r>
                </w:p>
              </w:tc>
              <w:tc>
                <w:tcPr>
                  <w:tcW w:w="999" w:type="dxa"/>
                  <w:vAlign w:val="center"/>
                </w:tcPr>
                <w:p w14:paraId="595D9D3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sz w:val="24"/>
                      <w:vertAlign w:val="baseline"/>
                    </w:rPr>
                  </w:pPr>
                  <w:r>
                    <w:rPr>
                      <w:rFonts w:hint="default" w:ascii="Times New Roman" w:hAnsi="Times New Roman" w:cs="Times New Roman"/>
                      <w:color w:val="auto"/>
                      <w:sz w:val="21"/>
                      <w:szCs w:val="21"/>
                      <w:highlight w:val="none"/>
                      <w:vertAlign w:val="baseline"/>
                      <w:lang w:val="en-US" w:eastAsia="zh-CN"/>
                    </w:rPr>
                    <w:t>符合</w:t>
                  </w:r>
                </w:p>
              </w:tc>
            </w:tr>
          </w:tbl>
          <w:p w14:paraId="12DE1333">
            <w:pPr>
              <w:pStyle w:val="22"/>
              <w:adjustRightInd w:val="0"/>
              <w:snapToGrid w:val="0"/>
              <w:spacing w:after="0" w:line="360" w:lineRule="auto"/>
              <w:ind w:left="0" w:leftChars="0" w:firstLine="0"/>
              <w:rPr>
                <w:rFonts w:hint="default" w:ascii="Times New Roman" w:hAnsi="Times New Roman" w:cs="Times New Roman"/>
                <w:b/>
                <w:bCs/>
                <w:color w:val="auto"/>
                <w:sz w:val="24"/>
                <w:lang w:val="en-US" w:eastAsia="zh-CN"/>
              </w:rPr>
            </w:pPr>
          </w:p>
          <w:p w14:paraId="3594BE0B">
            <w:pPr>
              <w:pStyle w:val="22"/>
              <w:adjustRightInd w:val="0"/>
              <w:snapToGrid w:val="0"/>
              <w:spacing w:after="0" w:line="360" w:lineRule="auto"/>
              <w:ind w:left="0" w:leftChars="0" w:firstLine="0"/>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8</w:t>
            </w:r>
            <w:r>
              <w:rPr>
                <w:rFonts w:hint="default" w:ascii="Times New Roman" w:hAnsi="Times New Roman" w:cs="Times New Roman"/>
                <w:b/>
                <w:bCs/>
                <w:color w:val="auto"/>
                <w:sz w:val="24"/>
              </w:rPr>
              <w:t>、云南省、德宏州有关挥发性有机物污染物防控相关意见符合性分析</w:t>
            </w:r>
          </w:p>
          <w:p w14:paraId="1EC7F570">
            <w:pPr>
              <w:pStyle w:val="22"/>
              <w:adjustRightInd w:val="0"/>
              <w:snapToGrid w:val="0"/>
              <w:spacing w:after="0" w:line="360" w:lineRule="auto"/>
              <w:ind w:left="0" w:leftChars="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w:t>
            </w:r>
            <w:bookmarkStart w:id="4" w:name="OLE_LINK2"/>
            <w:r>
              <w:rPr>
                <w:rFonts w:hint="default" w:ascii="Times New Roman" w:hAnsi="Times New Roman" w:cs="Times New Roman"/>
                <w:color w:val="auto"/>
                <w:sz w:val="24"/>
              </w:rPr>
              <w:t>云南省重点行业挥发性有机物综合治理实施方案</w:t>
            </w:r>
            <w:bookmarkEnd w:id="4"/>
            <w:r>
              <w:rPr>
                <w:rFonts w:hint="default" w:ascii="Times New Roman" w:hAnsi="Times New Roman" w:cs="Times New Roman"/>
                <w:color w:val="auto"/>
                <w:sz w:val="24"/>
              </w:rPr>
              <w:t>》（云环通〔2019〕125号）及《德宏州生态环境局关于印发德宏州重点行业挥发性有机物综合治理实施方案的通知》（德环发〔2019〕206号），分析如下：</w:t>
            </w:r>
          </w:p>
          <w:p w14:paraId="6F1808F3">
            <w:pPr>
              <w:pStyle w:val="11"/>
              <w:spacing w:before="0" w:after="0" w:line="240" w:lineRule="auto"/>
              <w:ind w:right="0"/>
              <w:jc w:val="center"/>
              <w:rPr>
                <w:rFonts w:hint="default" w:ascii="Times New Roman" w:hAnsi="Times New Roman" w:cs="Times New Roman"/>
                <w:b/>
                <w:bCs/>
                <w:color w:val="auto"/>
                <w:sz w:val="24"/>
                <w:szCs w:val="24"/>
              </w:rPr>
            </w:pPr>
          </w:p>
          <w:p w14:paraId="548F399A">
            <w:pPr>
              <w:pStyle w:val="11"/>
              <w:spacing w:before="0" w:after="0" w:line="240" w:lineRule="auto"/>
              <w:ind w:right="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表1-</w:t>
            </w:r>
            <w:r>
              <w:rPr>
                <w:rFonts w:hint="eastAsia" w:cs="Times New Roman"/>
                <w:b/>
                <w:bCs/>
                <w:color w:val="auto"/>
                <w:sz w:val="24"/>
                <w:szCs w:val="24"/>
                <w:lang w:val="en-US" w:eastAsia="zh-CN"/>
              </w:rPr>
              <w:t>6</w:t>
            </w:r>
            <w:r>
              <w:rPr>
                <w:rFonts w:hint="default" w:ascii="Times New Roman" w:hAnsi="Times New Roman" w:cs="Times New Roman"/>
                <w:b/>
                <w:bCs/>
                <w:color w:val="auto"/>
                <w:sz w:val="24"/>
                <w:szCs w:val="24"/>
              </w:rPr>
              <w:t>与云环通〔2019〕125号、德环发〔2019〕206号文件相符性分析</w:t>
            </w:r>
          </w:p>
          <w:tbl>
            <w:tblPr>
              <w:tblStyle w:val="24"/>
              <w:tblpPr w:leftFromText="180" w:rightFromText="180" w:vertAnchor="text" w:horzAnchor="page" w:tblpX="115" w:tblpY="293"/>
              <w:tblOverlap w:val="never"/>
              <w:tblW w:w="130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9"/>
              <w:gridCol w:w="3341"/>
              <w:gridCol w:w="748"/>
            </w:tblGrid>
            <w:tr w14:paraId="08056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8949" w:type="dxa"/>
                  <w:vAlign w:val="center"/>
                </w:tcPr>
                <w:p w14:paraId="734AFB8E">
                  <w:pPr>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相关内容</w:t>
                  </w:r>
                </w:p>
              </w:tc>
              <w:tc>
                <w:tcPr>
                  <w:tcW w:w="3341" w:type="dxa"/>
                  <w:vAlign w:val="center"/>
                </w:tcPr>
                <w:p w14:paraId="4BCA2D18">
                  <w:pPr>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项目建设情况</w:t>
                  </w:r>
                </w:p>
              </w:tc>
              <w:tc>
                <w:tcPr>
                  <w:tcW w:w="748" w:type="dxa"/>
                  <w:vAlign w:val="center"/>
                </w:tcPr>
                <w:p w14:paraId="4C87988B">
                  <w:pPr>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是否符合</w:t>
                  </w:r>
                </w:p>
              </w:tc>
            </w:tr>
            <w:tr w14:paraId="46CED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3038" w:type="dxa"/>
                  <w:gridSpan w:val="3"/>
                  <w:vAlign w:val="center"/>
                </w:tcPr>
                <w:p w14:paraId="78E5F395">
                  <w:pPr>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《云南省重点行业挥发性有机物综合治理实施方案》（云环通〔2019〕125号）</w:t>
                  </w:r>
                </w:p>
              </w:tc>
            </w:tr>
            <w:tr w14:paraId="306AD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 w:hRule="atLeast"/>
              </w:trPr>
              <w:tc>
                <w:tcPr>
                  <w:tcW w:w="8949" w:type="dxa"/>
                </w:tcPr>
                <w:p w14:paraId="6E82EF47">
                  <w:pPr>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化工行业要推广使用低（无）VO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油墨和胶粘剂。鼓励加快低VOCs含量涂料、油墨、胶粘剂等研发和生产。</w:t>
                  </w:r>
                </w:p>
                <w:p w14:paraId="47871C3F">
                  <w:pPr>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加强政策引导。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tc>
              <w:tc>
                <w:tcPr>
                  <w:tcW w:w="3341" w:type="dxa"/>
                  <w:vAlign w:val="center"/>
                </w:tcPr>
                <w:p w14:paraId="1ED165EB">
                  <w:pPr>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项目为机制炭生产企业，原</w:t>
                  </w:r>
                  <w:r>
                    <w:rPr>
                      <w:rFonts w:hint="default" w:ascii="Times New Roman" w:hAnsi="Times New Roman" w:eastAsia="宋体" w:cs="Times New Roman"/>
                      <w:sz w:val="21"/>
                      <w:szCs w:val="21"/>
                      <w:lang w:eastAsia="zh-CN"/>
                    </w:rPr>
                    <w:t>料为</w:t>
                  </w:r>
                  <w:r>
                    <w:rPr>
                      <w:rFonts w:hint="default" w:ascii="Times New Roman" w:hAnsi="Times New Roman" w:eastAsia="宋体" w:cs="Times New Roman"/>
                      <w:sz w:val="21"/>
                      <w:szCs w:val="21"/>
                      <w:lang w:val="en-US" w:eastAsia="zh-CN"/>
                    </w:rPr>
                    <w:t>木屑、刨花及破碎后的废弃物</w:t>
                  </w:r>
                  <w:r>
                    <w:rPr>
                      <w:rFonts w:hint="default" w:ascii="Times New Roman" w:hAnsi="Times New Roman" w:eastAsia="宋体" w:cs="Times New Roman"/>
                      <w:sz w:val="21"/>
                      <w:szCs w:val="21"/>
                    </w:rPr>
                    <w:t>，不涉及涂料、油墨、胶粘剂、清洗剂等产生挥发性有机物的原辅料；炭化工段产生少量挥发性有机物采取燃烧法进行处理后达标外排。</w:t>
                  </w:r>
                </w:p>
                <w:p w14:paraId="05B2DD1F">
                  <w:pPr>
                    <w:bidi w:val="0"/>
                    <w:rPr>
                      <w:rFonts w:hint="default" w:ascii="Times New Roman" w:hAnsi="Times New Roman" w:eastAsia="宋体" w:cs="Times New Roman"/>
                      <w:sz w:val="21"/>
                      <w:szCs w:val="21"/>
                    </w:rPr>
                  </w:pPr>
                </w:p>
                <w:p w14:paraId="0CBC3753">
                  <w:pPr>
                    <w:bidi w:val="0"/>
                    <w:rPr>
                      <w:rFonts w:hint="default" w:ascii="Times New Roman" w:hAnsi="Times New Roman" w:eastAsia="宋体" w:cs="Times New Roman"/>
                      <w:sz w:val="21"/>
                      <w:szCs w:val="21"/>
                      <w:lang w:val="en-US" w:eastAsia="zh-CN"/>
                    </w:rPr>
                  </w:pPr>
                </w:p>
              </w:tc>
              <w:tc>
                <w:tcPr>
                  <w:tcW w:w="748" w:type="dxa"/>
                  <w:vAlign w:val="center"/>
                </w:tcPr>
                <w:p w14:paraId="7A0594FA">
                  <w:pPr>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符合</w:t>
                  </w:r>
                </w:p>
              </w:tc>
            </w:tr>
            <w:tr w14:paraId="06FEA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9" w:hRule="atLeast"/>
              </w:trPr>
              <w:tc>
                <w:tcPr>
                  <w:tcW w:w="8949" w:type="dxa"/>
                </w:tcPr>
                <w:p w14:paraId="2720FF40">
                  <w:pPr>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p w14:paraId="4B9054B9">
                  <w:pPr>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加强设备与场所密闭管理。含VOCs物料应储存于密闭容器、包装袋，高效密封储罐，封闭式储库、料仓等。含VOCs物料转移和输送，应采用密闭管道或密闭容器、罐车等。高VOCs含量废水（废水液面上方100毫米处VOCs检测浓度超过200ppm，其中，重点区域超过100ppm，以碳计）的集输、储存和处理过程，应加盖密闭。含VOCs物料生产和使用过程，应采取有效收集措施或在密闭空间中操作。</w:t>
                  </w:r>
                </w:p>
                <w:p w14:paraId="745CFDEE">
                  <w:pPr>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w:t>
                  </w:r>
                </w:p>
              </w:tc>
              <w:tc>
                <w:tcPr>
                  <w:tcW w:w="3341" w:type="dxa"/>
                  <w:vAlign w:val="center"/>
                </w:tcPr>
                <w:p w14:paraId="4483C929">
                  <w:pPr>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项目建设密闭性更好的地下炭化窑，炭化废气经燃烧炉和烘干炉燃烧处理后经排气筒有组织外排。</w:t>
                  </w:r>
                </w:p>
              </w:tc>
              <w:tc>
                <w:tcPr>
                  <w:tcW w:w="748" w:type="dxa"/>
                  <w:vAlign w:val="center"/>
                </w:tcPr>
                <w:p w14:paraId="36BCE94C">
                  <w:pPr>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符合</w:t>
                  </w:r>
                </w:p>
              </w:tc>
            </w:tr>
            <w:tr w14:paraId="39641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8949" w:type="dxa"/>
                </w:tcPr>
                <w:p w14:paraId="66625A9A">
                  <w:pPr>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3、加强企业运行管理。企业应系统梳理VOCs排放主要环节和工序，包括启停机、检维修作业等，制定具体操作规程，落实到具体责任人。健全内部考核制度。加强人员能力培训和技术交流。建立管理台账，记录企业生产和治污设施运行的关键参数，在线监控参数要确保能够实时调取，相关台账记录至少保存三年。</w:t>
                  </w:r>
                </w:p>
              </w:tc>
              <w:tc>
                <w:tcPr>
                  <w:tcW w:w="3341" w:type="dxa"/>
                </w:tcPr>
                <w:p w14:paraId="02F9FC04">
                  <w:pPr>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要求工作人员持证上岗，并对职工进行定期的培训，设置管理制度，记录企业生产和治污设施运行的关键参数，定期对设备、设施进行维护保养，避免事故运行</w:t>
                  </w:r>
                </w:p>
              </w:tc>
              <w:tc>
                <w:tcPr>
                  <w:tcW w:w="748" w:type="dxa"/>
                  <w:vAlign w:val="center"/>
                </w:tcPr>
                <w:p w14:paraId="4ED0FD11">
                  <w:pPr>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符合</w:t>
                  </w:r>
                </w:p>
              </w:tc>
            </w:tr>
            <w:tr w14:paraId="257E5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13038" w:type="dxa"/>
                  <w:gridSpan w:val="3"/>
                  <w:vAlign w:val="center"/>
                </w:tcPr>
                <w:p w14:paraId="1AB4A543">
                  <w:pPr>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《德宏州生态环境局关于印发德宏州重点行业挥发性有机物综合治理实施方案的通知》（德环发〔2019〕206号）</w:t>
                  </w:r>
                </w:p>
              </w:tc>
            </w:tr>
            <w:tr w14:paraId="5813F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9" w:hRule="atLeast"/>
              </w:trPr>
              <w:tc>
                <w:tcPr>
                  <w:tcW w:w="8949" w:type="dxa"/>
                </w:tcPr>
                <w:p w14:paraId="15316F3C">
                  <w:pPr>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推动化工、工业涂装、包装印刷、油品储运销、汽车维修4S店等重点行业（领域）发挥性有机物污染综合治理。强化挥发性有机物源头控制，鼓励源头低（无）挥发性有机物原料替代。全面加强挥发性有机物无组织排放控制，督促企业按排污许可证要求落实管理台账、自行监测等环保主体责任，严格执行《挥发性有机物无组织排放控制标准》（GB37822-2019）排放限值，严厉打击惩处无证排污、超标排污、逃避监管排污等环境违法行为</w:t>
                  </w:r>
                  <w:r>
                    <w:rPr>
                      <w:rFonts w:hint="default" w:ascii="Times New Roman" w:hAnsi="Times New Roman" w:eastAsia="宋体" w:cs="Times New Roman"/>
                      <w:sz w:val="21"/>
                      <w:szCs w:val="21"/>
                      <w:lang w:eastAsia="zh-CN"/>
                    </w:rPr>
                    <w:t>。</w:t>
                  </w:r>
                </w:p>
              </w:tc>
              <w:tc>
                <w:tcPr>
                  <w:tcW w:w="3341" w:type="dxa"/>
                </w:tcPr>
                <w:p w14:paraId="28479776">
                  <w:pPr>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项目为机制炭生产企业，原</w:t>
                  </w:r>
                  <w:r>
                    <w:rPr>
                      <w:rFonts w:hint="default" w:ascii="Times New Roman" w:hAnsi="Times New Roman" w:eastAsia="宋体" w:cs="Times New Roman"/>
                      <w:sz w:val="21"/>
                      <w:szCs w:val="21"/>
                      <w:lang w:eastAsia="zh-CN"/>
                    </w:rPr>
                    <w:t>料为</w:t>
                  </w:r>
                  <w:r>
                    <w:rPr>
                      <w:rFonts w:hint="default" w:ascii="Times New Roman" w:hAnsi="Times New Roman" w:eastAsia="宋体" w:cs="Times New Roman"/>
                      <w:sz w:val="21"/>
                      <w:szCs w:val="21"/>
                      <w:lang w:val="en-US" w:eastAsia="zh-CN"/>
                    </w:rPr>
                    <w:t>木屑、刨花及破碎后的废弃物</w:t>
                  </w:r>
                  <w:r>
                    <w:rPr>
                      <w:rFonts w:hint="default" w:ascii="Times New Roman" w:hAnsi="Times New Roman" w:eastAsia="宋体" w:cs="Times New Roman"/>
                      <w:sz w:val="21"/>
                      <w:szCs w:val="21"/>
                    </w:rPr>
                    <w:t>，不涉及涂料、油墨、胶粘剂、清洗剂等产生挥发性有机物的原辅料；炭化工段产生少量挥发性有机物采取燃烧法进行处理后达标外排。</w:t>
                  </w:r>
                </w:p>
              </w:tc>
              <w:tc>
                <w:tcPr>
                  <w:tcW w:w="748" w:type="dxa"/>
                  <w:vAlign w:val="center"/>
                </w:tcPr>
                <w:p w14:paraId="1E0E7145">
                  <w:pPr>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符合</w:t>
                  </w:r>
                </w:p>
              </w:tc>
            </w:tr>
          </w:tbl>
          <w:p w14:paraId="0BC8545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eastAsiaTheme="minorEastAsia"/>
                <w:color w:val="auto"/>
                <w:sz w:val="24"/>
              </w:rPr>
              <w:t>经以上检查表可知，项目符合《云南省重点行业挥发性有机物综合治理实施方案》（云环通〔2019〕125号）及《德宏州生态环境局关于印发德宏州重点行业挥发性有机物综合治理实施方案的通知》（德环发〔2019〕206号）相关要求。</w:t>
            </w:r>
          </w:p>
          <w:p w14:paraId="73D7EAC4">
            <w:pPr>
              <w:numPr>
                <w:ilvl w:val="0"/>
                <w:numId w:val="3"/>
              </w:numPr>
              <w:adjustRightInd w:val="0"/>
              <w:snapToGrid w:val="0"/>
              <w:spacing w:line="360" w:lineRule="auto"/>
              <w:textAlignment w:val="baseline"/>
              <w:rPr>
                <w:rFonts w:hint="default" w:ascii="Times New Roman" w:hAnsi="Times New Roman" w:cs="Times New Roman"/>
                <w:b/>
                <w:bCs/>
                <w:color w:val="auto"/>
                <w:sz w:val="24"/>
              </w:rPr>
            </w:pPr>
            <w:r>
              <w:rPr>
                <w:rFonts w:hint="default" w:ascii="Times New Roman" w:hAnsi="Times New Roman" w:cs="Times New Roman"/>
                <w:b/>
                <w:bCs/>
                <w:sz w:val="24"/>
              </w:rPr>
              <w:t>项目与《</w:t>
            </w:r>
            <w:bookmarkStart w:id="5" w:name="OLE_LINK3"/>
            <w:r>
              <w:rPr>
                <w:rFonts w:hint="default" w:ascii="Times New Roman" w:hAnsi="Times New Roman" w:cs="Times New Roman"/>
                <w:b/>
                <w:bCs/>
                <w:sz w:val="24"/>
              </w:rPr>
              <w:t>挥发性有机物无组织排放控制标准</w:t>
            </w:r>
            <w:bookmarkEnd w:id="5"/>
            <w:r>
              <w:rPr>
                <w:rFonts w:hint="default" w:ascii="Times New Roman" w:hAnsi="Times New Roman" w:cs="Times New Roman"/>
                <w:b/>
                <w:bCs/>
                <w:sz w:val="24"/>
              </w:rPr>
              <w:t>》（GB37822-2019）、《挥发性有机物（VOCs）污染防治技术政策》（生态环境部公告2013年第 31号</w:t>
            </w:r>
            <w:r>
              <w:rPr>
                <w:rFonts w:hint="default" w:ascii="Times New Roman" w:hAnsi="Times New Roman" w:cs="Times New Roman"/>
                <w:b/>
                <w:bCs/>
                <w:color w:val="auto"/>
                <w:sz w:val="24"/>
              </w:rPr>
              <w:t>）符合性分析。</w:t>
            </w:r>
          </w:p>
          <w:p w14:paraId="36F2B81E">
            <w:pPr>
              <w:numPr>
                <w:ilvl w:val="0"/>
                <w:numId w:val="0"/>
              </w:numPr>
              <w:adjustRightInd w:val="0"/>
              <w:snapToGrid w:val="0"/>
              <w:spacing w:line="360" w:lineRule="auto"/>
              <w:jc w:val="center"/>
              <w:textAlignment w:val="baseline"/>
              <w:rPr>
                <w:rFonts w:hint="default" w:ascii="Times New Roman" w:hAnsi="Times New Roman" w:eastAsia="宋体" w:cs="Times New Roman"/>
                <w:b/>
                <w:bCs/>
                <w:color w:val="auto"/>
                <w:sz w:val="24"/>
                <w:lang w:val="en-US" w:eastAsia="zh-CN"/>
              </w:rPr>
            </w:pPr>
            <w:r>
              <w:rPr>
                <w:rFonts w:hint="eastAsia" w:cs="Times New Roman"/>
                <w:b/>
                <w:bCs/>
                <w:color w:val="auto"/>
                <w:sz w:val="24"/>
                <w:lang w:eastAsia="zh-CN"/>
              </w:rPr>
              <w:t>表</w:t>
            </w:r>
            <w:r>
              <w:rPr>
                <w:rFonts w:hint="eastAsia" w:cs="Times New Roman"/>
                <w:b/>
                <w:bCs/>
                <w:color w:val="auto"/>
                <w:sz w:val="24"/>
                <w:lang w:val="en-US" w:eastAsia="zh-CN"/>
              </w:rPr>
              <w:t>1-7</w:t>
            </w:r>
            <w:r>
              <w:rPr>
                <w:rFonts w:hint="default" w:ascii="Times New Roman" w:hAnsi="Times New Roman" w:cs="Times New Roman"/>
                <w:b/>
                <w:bCs/>
                <w:sz w:val="24"/>
              </w:rPr>
              <w:t>与《挥发性有机物无组织排放控制标准》、《挥发性有机物（VOCs）污染防治技术政策》（</w:t>
            </w:r>
            <w:r>
              <w:rPr>
                <w:rFonts w:hint="default" w:ascii="Times New Roman" w:hAnsi="Times New Roman" w:cs="Times New Roman"/>
                <w:b/>
                <w:bCs/>
                <w:color w:val="auto"/>
                <w:sz w:val="24"/>
              </w:rPr>
              <w:t>符合性分析</w:t>
            </w:r>
          </w:p>
          <w:tbl>
            <w:tblPr>
              <w:tblStyle w:val="24"/>
              <w:tblW w:w="12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6"/>
              <w:gridCol w:w="2388"/>
              <w:gridCol w:w="664"/>
            </w:tblGrid>
            <w:tr w14:paraId="0127B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9926" w:type="dxa"/>
                  <w:vAlign w:val="center"/>
                </w:tcPr>
                <w:p w14:paraId="72FC61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b/>
                      <w:bCs/>
                      <w:color w:val="auto"/>
                      <w:sz w:val="21"/>
                      <w:szCs w:val="21"/>
                    </w:rPr>
                    <w:t>相关内容</w:t>
                  </w:r>
                </w:p>
              </w:tc>
              <w:tc>
                <w:tcPr>
                  <w:tcW w:w="2388" w:type="dxa"/>
                  <w:vAlign w:val="center"/>
                </w:tcPr>
                <w:p w14:paraId="65D989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vertAlign w:val="baseline"/>
                      <w:lang w:val="en-US" w:eastAsia="zh-CN"/>
                    </w:rPr>
                  </w:pPr>
                  <w:r>
                    <w:rPr>
                      <w:rFonts w:hint="default" w:ascii="Times New Roman" w:hAnsi="Times New Roman" w:cs="Times New Roman"/>
                      <w:b/>
                      <w:bCs/>
                      <w:color w:val="auto"/>
                      <w:sz w:val="21"/>
                      <w:szCs w:val="21"/>
                    </w:rPr>
                    <w:t>项目建设情况</w:t>
                  </w:r>
                </w:p>
              </w:tc>
              <w:tc>
                <w:tcPr>
                  <w:tcW w:w="664" w:type="dxa"/>
                </w:tcPr>
                <w:p w14:paraId="0FE6DFD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24"/>
                      <w:vertAlign w:val="baseline"/>
                      <w:lang w:val="en-US" w:eastAsia="zh-CN"/>
                    </w:rPr>
                  </w:pPr>
                  <w:r>
                    <w:rPr>
                      <w:rFonts w:hint="default" w:ascii="Times New Roman" w:hAnsi="Times New Roman" w:cs="Times New Roman"/>
                      <w:b/>
                      <w:bCs/>
                      <w:color w:val="auto"/>
                      <w:sz w:val="21"/>
                      <w:szCs w:val="21"/>
                    </w:rPr>
                    <w:t>是否符合</w:t>
                  </w:r>
                </w:p>
              </w:tc>
            </w:tr>
            <w:tr w14:paraId="5858C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978" w:type="dxa"/>
                  <w:gridSpan w:val="3"/>
                  <w:vAlign w:val="center"/>
                </w:tcPr>
                <w:p w14:paraId="3AD8AB0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rPr>
                    <w:t>《挥发性有机物无组织排放控制标准》（GB37822-2019）</w:t>
                  </w:r>
                </w:p>
              </w:tc>
            </w:tr>
            <w:tr w14:paraId="1D6C1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3" w:hRule="atLeast"/>
                <w:jc w:val="center"/>
              </w:trPr>
              <w:tc>
                <w:tcPr>
                  <w:tcW w:w="9926" w:type="dxa"/>
                  <w:vAlign w:val="top"/>
                </w:tcPr>
                <w:p w14:paraId="5151DA8D">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1、工艺过程VOCs无组织排放控制要求</w:t>
                  </w:r>
                </w:p>
                <w:p w14:paraId="4E7DEC73">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 化学反应</w:t>
                  </w:r>
                </w:p>
                <w:p w14:paraId="6D4D297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a) 反应设备进料置换废气、挥发排气、反应尾气等应排至VOCs废气收集处理系统。</w:t>
                  </w:r>
                </w:p>
                <w:p w14:paraId="53EE90E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b)在反应期间，反应设备的进料口、出料口、检修口、搅拌口、观察孔等开口</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孔)在不操作时应保持密闭。</w:t>
                  </w:r>
                </w:p>
                <w:p w14:paraId="09CC5FF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 分离精制</w:t>
                  </w:r>
                </w:p>
                <w:p w14:paraId="4217A3A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a) 离心、过滤单元操作应采用密闭式离心机、压滤机等设备，离心、过滤废气应排至VOCs废气</w:t>
                  </w:r>
                </w:p>
                <w:p w14:paraId="529C6E0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收集处理系统。未采用密闭设备的，应在密闭空间内操作，或进行局部气体收集，废气应排至VOCs废气收集处理系统。</w:t>
                  </w:r>
                </w:p>
                <w:p w14:paraId="7D5CCEA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b)干燥单元操作应采用密闭干燥设备，干燥废气应排至VOCs废气收集处理系统。未采用密闭设备的，应在密闭空间内操作，或进行局部气体收集，废气应排至VOCs废气收集处理系统。</w:t>
                  </w:r>
                </w:p>
                <w:p w14:paraId="68353CF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c)吸收、洗涤、蒸馏/精馏、萃取、结晶等单元操作排放的废气，冷凝单元操作排放的不凝尾气，吸附单元操作的脱附尾气等应排至VOCs废气收集处理系统。</w:t>
                  </w:r>
                </w:p>
                <w:p w14:paraId="7B027CD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d) 分离精制后的VOCs母液应密闭收集，母液储槽</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罐)产生的废气应排至VOCs废气收集处理系统。</w:t>
                  </w:r>
                </w:p>
                <w:p w14:paraId="3D115D52">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 真空系统</w:t>
                  </w:r>
                </w:p>
                <w:p w14:paraId="5B6358BB">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真空系统应采用干式真空泵，真空排气应排至VOCs废气收集处理系统。若使用液环</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水环)真空泵、水</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水蒸气)喷射真空泵等，工作介质的循环槽</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罐)应密闭，真空排气、循环槽</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罐)排气应排至VOCs废气收集处理系统。</w:t>
                  </w:r>
                </w:p>
                <w:p w14:paraId="11EB3A4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 其他要求</w:t>
                  </w:r>
                </w:p>
                <w:p w14:paraId="3777664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企业应建立台账，记录含VOCs 原辅材料和含VOCs产品的名称、使用量、回收量、废弃量、去向以及VOCs含量等信息。台账保存期限不少于3年。通风生产设备、操作工位、车间厂房等应在符合安全生产、职业卫生相关规定的前提下，根据行业作业规程与标准、工业建筑及洁净厂房通风设计规范等的要求，采用合理的通风量。载有VOCs物料的设备及其管道在开停工</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车)、检维修和清洗时，应在退料阶段将残存物料退净，并用密闭容器盛装，退料过程废气应排至VOCs废气收集处理系统</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清洗及吹扫过程排气应排至VOCs废气收集处理系统。工艺过程产生的含VOCs废料</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渣、液)应按照第5章、第6章的要求进行储存、转移和输送。盛装过VOCs物料的废包装容器应加盖密闭</w:t>
                  </w:r>
                </w:p>
              </w:tc>
              <w:tc>
                <w:tcPr>
                  <w:tcW w:w="2388" w:type="dxa"/>
                  <w:vAlign w:val="top"/>
                </w:tcPr>
                <w:p w14:paraId="7F902DB0">
                  <w:pPr>
                    <w:pStyle w:val="11"/>
                    <w:spacing w:before="0" w:after="0" w:line="240" w:lineRule="auto"/>
                    <w:ind w:right="0"/>
                    <w:jc w:val="both"/>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项目为机制炭生产企业，</w:t>
                  </w:r>
                  <w:r>
                    <w:rPr>
                      <w:rFonts w:hint="eastAsia" w:ascii="Times New Roman" w:hAnsi="Times New Roman" w:eastAsia="宋体" w:cs="Times New Roman"/>
                      <w:color w:val="auto"/>
                      <w:sz w:val="21"/>
                      <w:szCs w:val="21"/>
                      <w:highlight w:val="none"/>
                      <w:vertAlign w:val="baseline"/>
                      <w:lang w:val="en-US" w:eastAsia="zh-CN"/>
                    </w:rPr>
                    <w:t>木屑、刨花及破碎后的作物</w:t>
                  </w:r>
                  <w:r>
                    <w:rPr>
                      <w:rFonts w:hint="default" w:ascii="Times New Roman" w:hAnsi="Times New Roman" w:eastAsia="宋体" w:cs="Times New Roman"/>
                      <w:color w:val="auto"/>
                      <w:sz w:val="21"/>
                      <w:szCs w:val="21"/>
                      <w:highlight w:val="none"/>
                      <w:vertAlign w:val="baseline"/>
                      <w:lang w:val="en-US" w:eastAsia="zh-CN"/>
                    </w:rPr>
                    <w:t>废弃物</w:t>
                  </w:r>
                  <w:r>
                    <w:rPr>
                      <w:rFonts w:hint="default" w:ascii="Times New Roman" w:hAnsi="Times New Roman" w:cs="Times New Roman"/>
                      <w:bCs/>
                      <w:color w:val="auto"/>
                      <w:sz w:val="21"/>
                      <w:szCs w:val="21"/>
                    </w:rPr>
                    <w:t>，不涉及</w:t>
                  </w:r>
                  <w:r>
                    <w:rPr>
                      <w:rFonts w:hint="default" w:ascii="Times New Roman" w:hAnsi="Times New Roman" w:cs="Times New Roman"/>
                      <w:color w:val="auto"/>
                      <w:sz w:val="21"/>
                      <w:szCs w:val="21"/>
                    </w:rPr>
                    <w:t>VOCs物料储存、转运、输送情况。</w:t>
                  </w:r>
                </w:p>
                <w:p w14:paraId="6F8161AC">
                  <w:pPr>
                    <w:pStyle w:val="11"/>
                    <w:spacing w:before="0" w:after="0" w:line="240" w:lineRule="auto"/>
                    <w:ind w:right="0"/>
                    <w:jc w:val="both"/>
                    <w:rPr>
                      <w:rFonts w:hint="default" w:ascii="Times New Roman" w:hAnsi="Times New Roman" w:cs="Times New Roman"/>
                      <w:color w:val="auto"/>
                      <w:sz w:val="24"/>
                      <w:vertAlign w:val="baseline"/>
                      <w:lang w:val="en-US" w:eastAsia="zh-CN"/>
                    </w:rPr>
                  </w:pPr>
                  <w:r>
                    <w:rPr>
                      <w:rFonts w:hint="default" w:ascii="Times New Roman" w:hAnsi="Times New Roman" w:cs="Times New Roman"/>
                      <w:color w:val="auto"/>
                      <w:sz w:val="21"/>
                      <w:szCs w:val="21"/>
                    </w:rPr>
                    <w:t>项目主要产生挥发性有机物工段为炭化工段，炭化</w:t>
                  </w:r>
                  <w:r>
                    <w:rPr>
                      <w:rFonts w:hint="eastAsia" w:cs="Times New Roman"/>
                      <w:color w:val="auto"/>
                      <w:sz w:val="21"/>
                      <w:szCs w:val="21"/>
                      <w:lang w:eastAsia="zh-CN"/>
                    </w:rPr>
                    <w:t>工段</w:t>
                  </w:r>
                  <w:r>
                    <w:rPr>
                      <w:rFonts w:hint="default" w:ascii="Times New Roman" w:hAnsi="Times New Roman" w:cs="Times New Roman"/>
                      <w:color w:val="auto"/>
                      <w:sz w:val="21"/>
                      <w:szCs w:val="21"/>
                    </w:rPr>
                    <w:t>位于密闭地下炭化窑内，炭化</w:t>
                  </w:r>
                  <w:r>
                    <w:rPr>
                      <w:rFonts w:hint="eastAsia" w:cs="Times New Roman"/>
                      <w:color w:val="auto"/>
                      <w:sz w:val="21"/>
                      <w:szCs w:val="21"/>
                      <w:lang w:eastAsia="zh-CN"/>
                    </w:rPr>
                    <w:t>产生木醋液木焦油经收集后，引入热风炉燃烧处理后同烘干废气一并外排。</w:t>
                  </w:r>
                </w:p>
              </w:tc>
              <w:tc>
                <w:tcPr>
                  <w:tcW w:w="664" w:type="dxa"/>
                  <w:vAlign w:val="top"/>
                </w:tcPr>
                <w:p w14:paraId="70C22923">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24"/>
                      <w:vertAlign w:val="baseline"/>
                      <w:lang w:val="en-US" w:eastAsia="zh-CN"/>
                    </w:rPr>
                  </w:pPr>
                  <w:r>
                    <w:rPr>
                      <w:rFonts w:hint="default" w:ascii="Times New Roman" w:hAnsi="Times New Roman" w:cs="Times New Roman"/>
                      <w:color w:val="auto"/>
                      <w:sz w:val="21"/>
                      <w:szCs w:val="21"/>
                      <w:vertAlign w:val="baseline"/>
                      <w:lang w:val="en-US" w:eastAsia="zh-CN"/>
                    </w:rPr>
                    <w:t>符合</w:t>
                  </w:r>
                </w:p>
              </w:tc>
            </w:tr>
            <w:tr w14:paraId="11B34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1" w:hRule="atLeast"/>
                <w:jc w:val="center"/>
              </w:trPr>
              <w:tc>
                <w:tcPr>
                  <w:tcW w:w="9926" w:type="dxa"/>
                  <w:vAlign w:val="top"/>
                </w:tcPr>
                <w:p w14:paraId="08834F03">
                  <w:pPr>
                    <w:pStyle w:val="11"/>
                    <w:spacing w:before="0" w:after="0" w:line="240" w:lineRule="auto"/>
                    <w:ind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 VOCs无组织排放废气收集处理系统要求</w:t>
                  </w:r>
                </w:p>
                <w:p w14:paraId="2A668E3F">
                  <w:pPr>
                    <w:pStyle w:val="11"/>
                    <w:spacing w:before="0" w:after="0" w:line="240" w:lineRule="auto"/>
                    <w:ind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 基本要求</w:t>
                  </w:r>
                </w:p>
                <w:p w14:paraId="12C3DBA3">
                  <w:pPr>
                    <w:pStyle w:val="11"/>
                    <w:spacing w:before="0" w:after="0" w:line="240" w:lineRule="auto"/>
                    <w:ind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p w14:paraId="1C361326">
                  <w:pPr>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2.2 废气收集系统要求</w:t>
                  </w:r>
                </w:p>
                <w:p w14:paraId="1731C4B1">
                  <w:pPr>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企业应考虑生产工艺、操作方式、废气性质、处理方法等因素，对VOCs废气进行分类收集。废气收集系统排风罩</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集气罩)的设置应符合GB/T 16758的规定。采用外部排风罩的，应按GB/T 16758、AQ/T 4274-2016规定的方法测量控制风速，测量点应选取在距排风罩开口面最远处的VOCs无组织排放位置，控制风速不应低于0.3m/s</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行业相关规范有具体规定的，按相关规定执行)。废气收集系统的输送管道应密闭。废气收集系统应在负压下运行，若处于正压状态，应对输送</w:t>
                  </w:r>
                </w:p>
                <w:p w14:paraId="27084E41">
                  <w:pPr>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管道组件的密封点进行泄漏检测。泄漏检测频次、修复与记录的要求按照第8章规定执行。</w:t>
                  </w:r>
                </w:p>
                <w:p w14:paraId="2E762397">
                  <w:pPr>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2.3 VOCs排放控制要求</w:t>
                  </w:r>
                </w:p>
                <w:p w14:paraId="40302A7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rPr>
                    <w:t>废气收集处理系统污染物排放应符合GB 16297或相关行业排放标准的规定。收集的废气中NMHC初始排放速率≥3kg/h时，应配置VOCs处理设施，处理效率不应低于80%；对于重点地区，收集的废气中NMHC初始排放速率≥2kg/h时，应配置VOCs处理设施，处理效率不应低于80%</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采用的原辅材料符合国家有关低VOCs含量产品规定的除外。进入VOCs燃烧</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焚烧、氧化)装置的废气需要补充空气进行燃烧、氧化反应的，排气筒中实测大气污染物排放浓度，应按式</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1)换算为基准含氧量为3%的大气污染物基准排放浓度。利用锅炉、工业炉窑、固废焚烧炉焚烧处理有机废气的，烟气基准含氧量按其排放标准规定执行。</w:t>
                  </w:r>
                </w:p>
              </w:tc>
              <w:tc>
                <w:tcPr>
                  <w:tcW w:w="2388" w:type="dxa"/>
                  <w:vAlign w:val="top"/>
                </w:tcPr>
                <w:p w14:paraId="3718E764">
                  <w:pPr>
                    <w:pStyle w:val="11"/>
                    <w:spacing w:before="0" w:after="0" w:line="240" w:lineRule="auto"/>
                    <w:ind w:right="0"/>
                    <w:jc w:val="both"/>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项目为机制炭生产企业，</w:t>
                  </w:r>
                  <w:r>
                    <w:rPr>
                      <w:rFonts w:hint="eastAsia" w:cs="Times New Roman"/>
                      <w:bCs/>
                      <w:color w:val="auto"/>
                      <w:sz w:val="21"/>
                      <w:szCs w:val="21"/>
                      <w:lang w:val="en-US" w:eastAsia="zh-CN"/>
                    </w:rPr>
                    <w:t>以</w:t>
                  </w:r>
                  <w:r>
                    <w:rPr>
                      <w:rFonts w:hint="eastAsia" w:ascii="Times New Roman" w:hAnsi="Times New Roman" w:eastAsia="宋体" w:cs="Times New Roman"/>
                      <w:color w:val="auto"/>
                      <w:sz w:val="21"/>
                      <w:szCs w:val="21"/>
                      <w:highlight w:val="none"/>
                      <w:vertAlign w:val="baseline"/>
                      <w:lang w:val="en-US" w:eastAsia="zh-CN"/>
                    </w:rPr>
                    <w:t>木屑、刨花及破碎后的作物</w:t>
                  </w:r>
                  <w:r>
                    <w:rPr>
                      <w:rFonts w:hint="default" w:ascii="Times New Roman" w:hAnsi="Times New Roman" w:eastAsia="宋体" w:cs="Times New Roman"/>
                      <w:color w:val="auto"/>
                      <w:sz w:val="21"/>
                      <w:szCs w:val="21"/>
                      <w:highlight w:val="none"/>
                      <w:vertAlign w:val="baseline"/>
                      <w:lang w:val="en-US" w:eastAsia="zh-CN"/>
                    </w:rPr>
                    <w:t>废弃物</w:t>
                  </w:r>
                  <w:r>
                    <w:rPr>
                      <w:rFonts w:hint="eastAsia" w:cs="Times New Roman"/>
                      <w:color w:val="auto"/>
                      <w:sz w:val="21"/>
                      <w:szCs w:val="21"/>
                      <w:highlight w:val="none"/>
                      <w:vertAlign w:val="baseline"/>
                      <w:lang w:val="en-US" w:eastAsia="zh-CN"/>
                    </w:rPr>
                    <w:t>作为原料</w:t>
                  </w:r>
                  <w:r>
                    <w:rPr>
                      <w:rFonts w:hint="default" w:ascii="Times New Roman" w:hAnsi="Times New Roman" w:cs="Times New Roman"/>
                      <w:bCs/>
                      <w:color w:val="auto"/>
                      <w:sz w:val="21"/>
                      <w:szCs w:val="21"/>
                    </w:rPr>
                    <w:t>，不涉及</w:t>
                  </w:r>
                  <w:r>
                    <w:rPr>
                      <w:rFonts w:hint="default" w:ascii="Times New Roman" w:hAnsi="Times New Roman" w:cs="Times New Roman"/>
                      <w:color w:val="auto"/>
                      <w:sz w:val="21"/>
                      <w:szCs w:val="21"/>
                    </w:rPr>
                    <w:t>VOCs物料储存、转运、输送情况。</w:t>
                  </w:r>
                </w:p>
                <w:p w14:paraId="06FF2552">
                  <w:pPr>
                    <w:pStyle w:val="11"/>
                    <w:spacing w:before="0" w:after="0" w:line="240" w:lineRule="auto"/>
                    <w:ind w:right="0"/>
                    <w:jc w:val="both"/>
                    <w:rPr>
                      <w:rFonts w:hint="default" w:ascii="Times New Roman" w:hAnsi="Times New Roman" w:cs="Times New Roman"/>
                      <w:color w:val="auto"/>
                      <w:sz w:val="24"/>
                      <w:vertAlign w:val="baseline"/>
                      <w:lang w:val="en-US" w:eastAsia="zh-CN"/>
                    </w:rPr>
                  </w:pPr>
                  <w:r>
                    <w:rPr>
                      <w:rFonts w:hint="default" w:ascii="Times New Roman" w:hAnsi="Times New Roman" w:cs="Times New Roman"/>
                      <w:color w:val="auto"/>
                      <w:sz w:val="21"/>
                      <w:szCs w:val="21"/>
                    </w:rPr>
                    <w:t>项目主要产生挥发性有机物工段为炭化工段，炭化</w:t>
                  </w:r>
                  <w:r>
                    <w:rPr>
                      <w:rFonts w:hint="eastAsia" w:cs="Times New Roman"/>
                      <w:color w:val="auto"/>
                      <w:sz w:val="21"/>
                      <w:szCs w:val="21"/>
                      <w:lang w:eastAsia="zh-CN"/>
                    </w:rPr>
                    <w:t>工段</w:t>
                  </w:r>
                  <w:r>
                    <w:rPr>
                      <w:rFonts w:hint="default" w:ascii="Times New Roman" w:hAnsi="Times New Roman" w:cs="Times New Roman"/>
                      <w:color w:val="auto"/>
                      <w:sz w:val="21"/>
                      <w:szCs w:val="21"/>
                    </w:rPr>
                    <w:t>位于密闭地下炭化窑内，炭化</w:t>
                  </w:r>
                  <w:r>
                    <w:rPr>
                      <w:rFonts w:hint="eastAsia" w:cs="Times New Roman"/>
                      <w:color w:val="auto"/>
                      <w:sz w:val="21"/>
                      <w:szCs w:val="21"/>
                      <w:lang w:eastAsia="zh-CN"/>
                    </w:rPr>
                    <w:t>产生木醋液木焦油经收集后，引入热风炉燃烧处理后同烘干废气一并外排。</w:t>
                  </w:r>
                </w:p>
              </w:tc>
              <w:tc>
                <w:tcPr>
                  <w:tcW w:w="664" w:type="dxa"/>
                  <w:vAlign w:val="top"/>
                </w:tcPr>
                <w:p w14:paraId="7387BBF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24"/>
                      <w:vertAlign w:val="baseline"/>
                      <w:lang w:val="en-US" w:eastAsia="zh-CN"/>
                    </w:rPr>
                  </w:pPr>
                  <w:r>
                    <w:rPr>
                      <w:rFonts w:hint="default" w:ascii="Times New Roman" w:hAnsi="Times New Roman" w:cs="Times New Roman"/>
                      <w:color w:val="auto"/>
                      <w:sz w:val="21"/>
                      <w:szCs w:val="21"/>
                      <w:vertAlign w:val="baseline"/>
                      <w:lang w:val="en-US" w:eastAsia="zh-CN"/>
                    </w:rPr>
                    <w:t>符合</w:t>
                  </w:r>
                </w:p>
              </w:tc>
            </w:tr>
            <w:tr w14:paraId="7BB49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978" w:type="dxa"/>
                  <w:gridSpan w:val="3"/>
                  <w:vAlign w:val="top"/>
                </w:tcPr>
                <w:p w14:paraId="548237B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rPr>
                    <w:t>《挥发性有机物（VOCs）污染防治技术政策》（生态环境部公告2013年第 31号）</w:t>
                  </w:r>
                </w:p>
              </w:tc>
            </w:tr>
            <w:tr w14:paraId="3141F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2" w:hRule="atLeast"/>
                <w:jc w:val="center"/>
              </w:trPr>
              <w:tc>
                <w:tcPr>
                  <w:tcW w:w="9926" w:type="dxa"/>
                  <w:vAlign w:val="top"/>
                </w:tcPr>
                <w:p w14:paraId="707F4E60">
                  <w:pPr>
                    <w:pStyle w:val="11"/>
                    <w:spacing w:before="0" w:after="0" w:line="240" w:lineRule="auto"/>
                    <w:ind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1、源头和过程控制</w:t>
                  </w:r>
                </w:p>
                <w:p w14:paraId="2D334561">
                  <w:pPr>
                    <w:pStyle w:val="11"/>
                    <w:spacing w:before="0" w:after="0" w:line="240" w:lineRule="auto"/>
                    <w:ind w:right="0" w:rightChars="0"/>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工业源主要包括石油炼制与石油化工、煤炭加工与转化等含VOCs原料的生产行业，油类（燃油、溶剂等）储存、运输和销售过程，涂料、油墨、胶粘剂、农药等以VOCs为原料的生产行业，涂装、印刷、粘合、工业清洗等含VOCs产品的使用过程；生活源包括建筑装饰装修、餐饮服务和服装干洗。</w:t>
                  </w:r>
                </w:p>
              </w:tc>
              <w:tc>
                <w:tcPr>
                  <w:tcW w:w="2388" w:type="dxa"/>
                  <w:vAlign w:val="top"/>
                </w:tcPr>
                <w:p w14:paraId="5C2C853B">
                  <w:pPr>
                    <w:pStyle w:val="11"/>
                    <w:spacing w:before="0" w:after="0" w:line="240" w:lineRule="auto"/>
                    <w:ind w:right="0"/>
                    <w:jc w:val="both"/>
                    <w:rPr>
                      <w:rFonts w:hint="default" w:ascii="Times New Roman" w:hAnsi="Times New Roman" w:cs="Times New Roman"/>
                      <w:color w:val="auto"/>
                      <w:sz w:val="24"/>
                      <w:vertAlign w:val="baseline"/>
                      <w:lang w:val="en-US" w:eastAsia="zh-CN"/>
                    </w:rPr>
                  </w:pPr>
                  <w:r>
                    <w:rPr>
                      <w:rFonts w:hint="default" w:ascii="Times New Roman" w:hAnsi="Times New Roman" w:cs="Times New Roman"/>
                      <w:bCs/>
                      <w:color w:val="auto"/>
                      <w:sz w:val="21"/>
                      <w:szCs w:val="21"/>
                    </w:rPr>
                    <w:t>项目为机制炭生产企业，原料为</w:t>
                  </w:r>
                  <w:r>
                    <w:rPr>
                      <w:rFonts w:hint="eastAsia" w:ascii="Times New Roman" w:hAnsi="Times New Roman" w:eastAsia="宋体" w:cs="Times New Roman"/>
                      <w:color w:val="auto"/>
                      <w:sz w:val="21"/>
                      <w:szCs w:val="21"/>
                      <w:highlight w:val="none"/>
                      <w:vertAlign w:val="baseline"/>
                      <w:lang w:val="en-US" w:eastAsia="zh-CN"/>
                    </w:rPr>
                    <w:t>木屑、刨花及破碎后的作物</w:t>
                  </w:r>
                  <w:r>
                    <w:rPr>
                      <w:rFonts w:hint="default" w:ascii="Times New Roman" w:hAnsi="Times New Roman" w:eastAsia="宋体" w:cs="Times New Roman"/>
                      <w:color w:val="auto"/>
                      <w:sz w:val="21"/>
                      <w:szCs w:val="21"/>
                      <w:highlight w:val="none"/>
                      <w:vertAlign w:val="baseline"/>
                      <w:lang w:val="en-US" w:eastAsia="zh-CN"/>
                    </w:rPr>
                    <w:t>废弃物</w:t>
                  </w:r>
                  <w:r>
                    <w:rPr>
                      <w:rFonts w:hint="default" w:ascii="Times New Roman" w:hAnsi="Times New Roman" w:cs="Times New Roman"/>
                      <w:bCs/>
                      <w:color w:val="auto"/>
                      <w:sz w:val="21"/>
                      <w:szCs w:val="21"/>
                    </w:rPr>
                    <w:t>，不涉及</w:t>
                  </w:r>
                  <w:r>
                    <w:rPr>
                      <w:rFonts w:hint="default" w:ascii="Times New Roman" w:hAnsi="Times New Roman" w:cs="Times New Roman"/>
                      <w:color w:val="auto"/>
                      <w:sz w:val="21"/>
                      <w:szCs w:val="21"/>
                    </w:rPr>
                    <w:t>涂料、油墨、胶粘剂、清洗剂等产生挥发性有机物的原辅料；项目主要产生挥发性有机物工段为炭化工段，炭化工位于密闭地下炭化窑内。</w:t>
                  </w:r>
                </w:p>
              </w:tc>
              <w:tc>
                <w:tcPr>
                  <w:tcW w:w="664" w:type="dxa"/>
                  <w:vAlign w:val="top"/>
                </w:tcPr>
                <w:p w14:paraId="06EF107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24"/>
                      <w:vertAlign w:val="baseline"/>
                      <w:lang w:val="en-US" w:eastAsia="zh-CN"/>
                    </w:rPr>
                  </w:pPr>
                  <w:r>
                    <w:rPr>
                      <w:rFonts w:hint="default" w:ascii="Times New Roman" w:hAnsi="Times New Roman" w:cs="Times New Roman"/>
                      <w:color w:val="auto"/>
                      <w:sz w:val="21"/>
                      <w:szCs w:val="21"/>
                      <w:vertAlign w:val="baseline"/>
                      <w:lang w:val="en-US" w:eastAsia="zh-CN"/>
                    </w:rPr>
                    <w:t>符合</w:t>
                  </w:r>
                </w:p>
              </w:tc>
            </w:tr>
            <w:tr w14:paraId="78D2D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2" w:hRule="atLeast"/>
                <w:jc w:val="center"/>
              </w:trPr>
              <w:tc>
                <w:tcPr>
                  <w:tcW w:w="9926" w:type="dxa"/>
                  <w:vAlign w:val="top"/>
                </w:tcPr>
                <w:p w14:paraId="15339E31">
                  <w:pPr>
                    <w:pStyle w:val="11"/>
                    <w:spacing w:before="0" w:after="0" w:line="240" w:lineRule="auto"/>
                    <w:ind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2、末端治理与综合利用</w:t>
                  </w:r>
                </w:p>
                <w:p w14:paraId="490F04BF">
                  <w:pPr>
                    <w:pStyle w:val="11"/>
                    <w:spacing w:before="0" w:after="0" w:line="240" w:lineRule="auto"/>
                    <w:ind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（1）在工业生产过程中鼓励VOCs的回收利用，并优先鼓励在生产系统内回用。</w:t>
                  </w:r>
                </w:p>
                <w:p w14:paraId="320AC8DD">
                  <w:pPr>
                    <w:pStyle w:val="11"/>
                    <w:spacing w:before="0" w:after="0" w:line="240" w:lineRule="auto"/>
                    <w:ind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（2）对于含高浓度VOCs的废气，宜优先采用冷凝回收、吸附回收技术进行回收利用，并辅助以其他治理技术实现达标排放。</w:t>
                  </w:r>
                </w:p>
                <w:p w14:paraId="6DB5511D">
                  <w:pPr>
                    <w:pStyle w:val="11"/>
                    <w:spacing w:before="0" w:after="0" w:line="240" w:lineRule="auto"/>
                    <w:ind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（3）对于含中等浓度VOCs的废气，可采用吸附技术回收有机溶剂，或采用催化燃烧和热力焚烧技术净化后达标排放。当采用催化燃烧和热力焚烧技术进行净化时，应进行余热回收利用。</w:t>
                  </w:r>
                </w:p>
                <w:p w14:paraId="4A6EE70E">
                  <w:pPr>
                    <w:pStyle w:val="11"/>
                    <w:spacing w:before="0" w:after="0" w:line="240" w:lineRule="auto"/>
                    <w:ind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对于含低浓度VOCs的废气，有回收价值时可采用吸附技术、吸收技术对有机溶剂回收后达标排放；不宜回收时，可采用吸附浓缩燃烧技术、生物技术、吸收技术、等离子体技术或紫外光高级氧化技术等净化后达标排放。</w:t>
                  </w:r>
                </w:p>
                <w:p w14:paraId="03266A6F">
                  <w:pPr>
                    <w:pStyle w:val="11"/>
                    <w:spacing w:before="0" w:after="0" w:line="240" w:lineRule="auto"/>
                    <w:ind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（5）含有有机卤素成分VOCs的废气，宜采用非焚烧技术处理。</w:t>
                  </w:r>
                </w:p>
                <w:p w14:paraId="4C1D5796">
                  <w:pPr>
                    <w:pStyle w:val="11"/>
                    <w:spacing w:before="0" w:after="0" w:line="240" w:lineRule="auto"/>
                    <w:ind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恶臭气体污染源可采用生物技术、等离子体技术、吸附技术、吸收技术、紫外光高级氧化技术或组合技术等进行净化。净化后的恶臭气体除满足达标排放的要求外，还应采取高空排放等措施，避免产生扰民问题。</w:t>
                  </w:r>
                </w:p>
                <w:p w14:paraId="1E6C4208">
                  <w:pPr>
                    <w:pStyle w:val="11"/>
                    <w:spacing w:before="0" w:after="0" w:line="240" w:lineRule="auto"/>
                    <w:ind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（7）在餐饮服务业推广使用具有油雾回收功能的油烟抽排装置，并根据规模、场地和气候条件等采用高效油烟与VOCs净化装置净化后达标排放。</w:t>
                  </w:r>
                </w:p>
                <w:p w14:paraId="243C4F2F">
                  <w:pPr>
                    <w:pStyle w:val="11"/>
                    <w:spacing w:before="0" w:after="0" w:line="240" w:lineRule="auto"/>
                    <w:ind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（8）严格控制VOCs处理过程中产生的二次污染，对于催化燃烧和热力焚烧过程中产生的含硫、氮、氯等无机废气，以及吸附、吸收、冷凝、生物等治理过程中所产生的含有机物废水，应处理后达标排放。</w:t>
                  </w:r>
                </w:p>
                <w:p w14:paraId="38922044">
                  <w:pPr>
                    <w:pStyle w:val="11"/>
                    <w:spacing w:before="0" w:after="0" w:line="240" w:lineRule="auto"/>
                    <w:ind w:right="0" w:rightChars="0"/>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（9）对于不能再生的过滤材料、吸附剂及催化剂等净化材料，应按照国家固体废物管理的相关规定处理处置。</w:t>
                  </w:r>
                </w:p>
              </w:tc>
              <w:tc>
                <w:tcPr>
                  <w:tcW w:w="2388" w:type="dxa"/>
                  <w:vAlign w:val="top"/>
                </w:tcPr>
                <w:p w14:paraId="2B9D08A0">
                  <w:pPr>
                    <w:pStyle w:val="11"/>
                    <w:spacing w:before="0" w:after="0" w:line="240" w:lineRule="auto"/>
                    <w:ind w:right="0"/>
                    <w:jc w:val="both"/>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项目为机制炭生产企业，原料</w:t>
                  </w:r>
                  <w:r>
                    <w:rPr>
                      <w:rFonts w:hint="eastAsia" w:ascii="Times New Roman" w:hAnsi="Times New Roman" w:cs="Times New Roman"/>
                      <w:bCs/>
                      <w:color w:val="auto"/>
                      <w:sz w:val="21"/>
                      <w:szCs w:val="21"/>
                      <w:lang w:eastAsia="zh-CN"/>
                    </w:rPr>
                    <w:t>为</w:t>
                  </w:r>
                  <w:r>
                    <w:rPr>
                      <w:rFonts w:hint="eastAsia" w:ascii="Times New Roman" w:hAnsi="Times New Roman" w:eastAsia="宋体" w:cs="Times New Roman"/>
                      <w:color w:val="auto"/>
                      <w:sz w:val="21"/>
                      <w:szCs w:val="21"/>
                      <w:highlight w:val="none"/>
                      <w:vertAlign w:val="baseline"/>
                      <w:lang w:val="en-US" w:eastAsia="zh-CN"/>
                    </w:rPr>
                    <w:t>木屑、刨花及破碎后作物的</w:t>
                  </w:r>
                  <w:r>
                    <w:rPr>
                      <w:rFonts w:hint="default" w:ascii="Times New Roman" w:hAnsi="Times New Roman" w:eastAsia="宋体" w:cs="Times New Roman"/>
                      <w:color w:val="auto"/>
                      <w:sz w:val="21"/>
                      <w:szCs w:val="21"/>
                      <w:highlight w:val="none"/>
                      <w:vertAlign w:val="baseline"/>
                      <w:lang w:val="en-US" w:eastAsia="zh-CN"/>
                    </w:rPr>
                    <w:t>废弃物</w:t>
                  </w:r>
                  <w:r>
                    <w:rPr>
                      <w:rFonts w:hint="default" w:ascii="Times New Roman" w:hAnsi="Times New Roman" w:cs="Times New Roman"/>
                      <w:bCs/>
                      <w:color w:val="auto"/>
                      <w:sz w:val="21"/>
                      <w:szCs w:val="21"/>
                    </w:rPr>
                    <w:t>，不涉及</w:t>
                  </w:r>
                  <w:r>
                    <w:rPr>
                      <w:rFonts w:hint="default" w:ascii="Times New Roman" w:hAnsi="Times New Roman" w:cs="Times New Roman"/>
                      <w:color w:val="auto"/>
                      <w:sz w:val="21"/>
                      <w:szCs w:val="21"/>
                    </w:rPr>
                    <w:t>VOCs物料储存、转运、输送情况。项目主要产生挥发性有机物工段为炭化工段，炭化</w:t>
                  </w:r>
                  <w:r>
                    <w:rPr>
                      <w:rFonts w:hint="eastAsia" w:cs="Times New Roman"/>
                      <w:color w:val="auto"/>
                      <w:sz w:val="21"/>
                      <w:szCs w:val="21"/>
                      <w:lang w:eastAsia="zh-CN"/>
                    </w:rPr>
                    <w:t>工段</w:t>
                  </w:r>
                  <w:r>
                    <w:rPr>
                      <w:rFonts w:hint="default" w:ascii="Times New Roman" w:hAnsi="Times New Roman" w:cs="Times New Roman"/>
                      <w:color w:val="auto"/>
                      <w:sz w:val="21"/>
                      <w:szCs w:val="21"/>
                    </w:rPr>
                    <w:t>位于密闭地下炭化窑内，炭化</w:t>
                  </w:r>
                  <w:r>
                    <w:rPr>
                      <w:rFonts w:hint="eastAsia" w:cs="Times New Roman"/>
                      <w:color w:val="auto"/>
                      <w:sz w:val="21"/>
                      <w:szCs w:val="21"/>
                      <w:lang w:eastAsia="zh-CN"/>
                    </w:rPr>
                    <w:t>产生木醋液木焦油经收集后，引入热风炉燃烧处理后同烘干废气一并外排。</w:t>
                  </w:r>
                </w:p>
                <w:p w14:paraId="042A635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24"/>
                      <w:vertAlign w:val="baseline"/>
                      <w:lang w:val="en-US" w:eastAsia="zh-CN"/>
                    </w:rPr>
                  </w:pPr>
                </w:p>
              </w:tc>
              <w:tc>
                <w:tcPr>
                  <w:tcW w:w="664" w:type="dxa"/>
                  <w:vAlign w:val="top"/>
                </w:tcPr>
                <w:p w14:paraId="69FF044D">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24"/>
                      <w:vertAlign w:val="baseline"/>
                      <w:lang w:val="en-US" w:eastAsia="zh-CN"/>
                    </w:rPr>
                  </w:pPr>
                  <w:r>
                    <w:rPr>
                      <w:rFonts w:hint="default" w:ascii="Times New Roman" w:hAnsi="Times New Roman" w:cs="Times New Roman"/>
                      <w:color w:val="auto"/>
                      <w:sz w:val="21"/>
                      <w:szCs w:val="21"/>
                      <w:vertAlign w:val="baseline"/>
                      <w:lang w:val="en-US" w:eastAsia="zh-CN"/>
                    </w:rPr>
                    <w:t>符合</w:t>
                  </w:r>
                </w:p>
              </w:tc>
            </w:tr>
          </w:tbl>
          <w:p w14:paraId="34F32D2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lang w:val="en-US" w:eastAsia="zh-CN"/>
              </w:rPr>
            </w:pPr>
          </w:p>
          <w:p w14:paraId="7B7FAA8A">
            <w:pPr>
              <w:autoSpaceDE w:val="0"/>
              <w:autoSpaceDN w:val="0"/>
              <w:adjustRightInd w:val="0"/>
              <w:snapToGrid w:val="0"/>
              <w:spacing w:line="360" w:lineRule="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lang w:val="en-US" w:eastAsia="zh-CN"/>
              </w:rPr>
              <w:t>10、</w:t>
            </w:r>
            <w:r>
              <w:rPr>
                <w:rFonts w:hint="default" w:ascii="Times New Roman" w:hAnsi="Times New Roman" w:cs="Times New Roman"/>
                <w:b/>
                <w:bCs/>
                <w:color w:val="auto"/>
                <w:kern w:val="0"/>
                <w:sz w:val="24"/>
              </w:rPr>
              <w:t>与《芒市城乡总体规划》（2016-2030）规划符合性分析</w:t>
            </w:r>
          </w:p>
          <w:p w14:paraId="0B1FD084">
            <w:pPr>
              <w:pStyle w:val="4"/>
              <w:tabs>
                <w:tab w:val="left" w:pos="-108"/>
              </w:tabs>
              <w:adjustRightInd w:val="0"/>
              <w:snapToGrid w:val="0"/>
              <w:spacing w:before="0" w:after="0" w:line="360" w:lineRule="auto"/>
              <w:ind w:left="0" w:leftChars="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b w:val="0"/>
                <w:bCs/>
                <w:color w:val="auto"/>
                <w:kern w:val="0"/>
                <w:sz w:val="24"/>
              </w:rPr>
              <w:t>项目位于</w:t>
            </w:r>
            <w:r>
              <w:rPr>
                <w:rFonts w:hint="default" w:ascii="Times New Roman" w:hAnsi="Times New Roman" w:cs="Times New Roman"/>
                <w:b w:val="0"/>
                <w:bCs/>
                <w:color w:val="auto"/>
                <w:kern w:val="0"/>
                <w:sz w:val="24"/>
                <w:lang w:val="en-US" w:eastAsia="zh-CN"/>
              </w:rPr>
              <w:t>云南省德宏州芒市遮放农场晓阳社区居民委员会第七居民小组</w:t>
            </w:r>
            <w:r>
              <w:rPr>
                <w:rFonts w:hint="default" w:ascii="Times New Roman" w:hAnsi="Times New Roman" w:cs="Times New Roman"/>
                <w:b w:val="0"/>
                <w:bCs/>
                <w:color w:val="auto"/>
                <w:sz w:val="24"/>
              </w:rPr>
              <w:t>，</w:t>
            </w:r>
            <w:r>
              <w:rPr>
                <w:rFonts w:hint="default" w:ascii="Times New Roman" w:hAnsi="Times New Roman" w:cs="Times New Roman"/>
                <w:b w:val="0"/>
                <w:bCs/>
                <w:color w:val="auto"/>
                <w:kern w:val="0"/>
                <w:sz w:val="24"/>
              </w:rPr>
              <w:t>根据《</w:t>
            </w:r>
            <w:r>
              <w:rPr>
                <w:rFonts w:hint="default" w:ascii="Times New Roman" w:hAnsi="Times New Roman" w:cs="Times New Roman"/>
                <w:b w:val="0"/>
                <w:bCs/>
                <w:color w:val="auto"/>
                <w:sz w:val="24"/>
              </w:rPr>
              <w:t>芒市城乡总体规划（2016-2030）</w:t>
            </w:r>
            <w:r>
              <w:rPr>
                <w:rFonts w:hint="default" w:ascii="Times New Roman" w:hAnsi="Times New Roman" w:cs="Times New Roman"/>
                <w:b w:val="0"/>
                <w:bCs/>
                <w:color w:val="auto"/>
                <w:kern w:val="0"/>
                <w:sz w:val="24"/>
              </w:rPr>
              <w:t>》</w:t>
            </w:r>
            <w:r>
              <w:rPr>
                <w:rFonts w:hint="default" w:ascii="Times New Roman" w:hAnsi="Times New Roman" w:cs="Times New Roman"/>
                <w:b w:val="0"/>
                <w:bCs/>
                <w:color w:val="auto"/>
                <w:sz w:val="24"/>
              </w:rPr>
              <w:t>市</w:t>
            </w:r>
            <w:r>
              <w:rPr>
                <w:rFonts w:hint="default" w:ascii="Times New Roman" w:hAnsi="Times New Roman" w:cs="Times New Roman"/>
                <w:b w:val="0"/>
                <w:bCs/>
                <w:color w:val="auto"/>
                <w:sz w:val="24"/>
                <w:highlight w:val="none"/>
              </w:rPr>
              <w:t>域土地利用布局</w:t>
            </w:r>
            <w:r>
              <w:rPr>
                <w:rFonts w:hint="default" w:ascii="Times New Roman" w:hAnsi="Times New Roman" w:cs="Times New Roman"/>
                <w:b w:val="0"/>
                <w:bCs/>
                <w:color w:val="auto"/>
                <w:sz w:val="24"/>
                <w:highlight w:val="none"/>
                <w:lang w:val="en-US" w:eastAsia="zh-CN"/>
              </w:rPr>
              <w:t>及建设单位提供的土地证，项目用地性质为工业用地</w:t>
            </w:r>
            <w:r>
              <w:rPr>
                <w:rFonts w:hint="default" w:ascii="Times New Roman" w:hAnsi="Times New Roman" w:cs="Times New Roman"/>
                <w:b w:val="0"/>
                <w:bCs/>
                <w:color w:val="auto"/>
                <w:kern w:val="0"/>
                <w:sz w:val="24"/>
                <w:highlight w:val="none"/>
              </w:rPr>
              <w:t>，</w:t>
            </w:r>
            <w:r>
              <w:rPr>
                <w:rFonts w:hint="default" w:ascii="Times New Roman" w:hAnsi="Times New Roman" w:cs="Times New Roman"/>
                <w:b w:val="0"/>
                <w:bCs/>
                <w:color w:val="auto"/>
                <w:kern w:val="0"/>
                <w:sz w:val="24"/>
                <w:highlight w:val="none"/>
                <w:lang w:val="en-US" w:eastAsia="zh-CN"/>
              </w:rPr>
              <w:t>建设单位通过租赁方式取得项目地块使用权，项目建设</w:t>
            </w:r>
            <w:r>
              <w:rPr>
                <w:rFonts w:hint="default" w:ascii="Times New Roman" w:hAnsi="Times New Roman" w:cs="Times New Roman"/>
                <w:b w:val="0"/>
                <w:bCs/>
                <w:color w:val="auto"/>
                <w:sz w:val="24"/>
                <w:highlight w:val="none"/>
              </w:rPr>
              <w:t>与用地规划相符。</w:t>
            </w:r>
            <w:r>
              <w:rPr>
                <w:rFonts w:hint="eastAsia" w:cs="Times New Roman"/>
                <w:b w:val="0"/>
                <w:bCs/>
                <w:color w:val="FF0000"/>
                <w:sz w:val="24"/>
                <w:highlight w:val="none"/>
                <w:lang w:val="en-US" w:eastAsia="zh-CN"/>
              </w:rPr>
              <w:t>根据2024年10月18日芒市林业和草原局关于项目是否涉及自然保护地的回复（具体详见附件15）：本项目不涉及自然保护地（风景名胜区、森林公园）；</w:t>
            </w:r>
            <w:r>
              <w:rPr>
                <w:rFonts w:hint="default" w:ascii="Times New Roman" w:hAnsi="Times New Roman" w:cs="Times New Roman"/>
                <w:b w:val="0"/>
                <w:bCs/>
                <w:color w:val="auto"/>
                <w:sz w:val="24"/>
              </w:rPr>
              <w:t>项目建设与规划相符</w:t>
            </w:r>
            <w:r>
              <w:rPr>
                <w:rFonts w:hint="default" w:ascii="Times New Roman" w:hAnsi="Times New Roman" w:cs="Times New Roman"/>
                <w:b w:val="0"/>
                <w:bCs/>
                <w:color w:val="auto"/>
                <w:sz w:val="24"/>
                <w:lang w:eastAsia="zh-CN"/>
              </w:rPr>
              <w:t>。</w:t>
            </w:r>
          </w:p>
          <w:p w14:paraId="4308B5B1">
            <w:pPr>
              <w:spacing w:line="360" w:lineRule="auto"/>
              <w:rPr>
                <w:rFonts w:hint="default" w:ascii="Times New Roman" w:hAnsi="Times New Roman" w:cs="Times New Roman"/>
                <w:color w:val="auto"/>
                <w:sz w:val="24"/>
              </w:rPr>
            </w:pPr>
            <w:r>
              <w:rPr>
                <w:rFonts w:hint="default" w:ascii="Times New Roman" w:hAnsi="Times New Roman" w:cs="Times New Roman"/>
                <w:b/>
                <w:bCs/>
                <w:color w:val="auto"/>
                <w:kern w:val="0"/>
                <w:sz w:val="24"/>
              </w:rPr>
              <w:t>1</w:t>
            </w:r>
            <w:r>
              <w:rPr>
                <w:rFonts w:hint="default" w:ascii="Times New Roman" w:hAnsi="Times New Roman" w:cs="Times New Roman"/>
                <w:b/>
                <w:bCs/>
                <w:color w:val="auto"/>
                <w:kern w:val="0"/>
                <w:sz w:val="24"/>
                <w:lang w:val="en-US" w:eastAsia="zh-CN"/>
              </w:rPr>
              <w:t>1</w:t>
            </w:r>
            <w:r>
              <w:rPr>
                <w:rFonts w:hint="default" w:ascii="Times New Roman" w:hAnsi="Times New Roman" w:cs="Times New Roman"/>
                <w:b/>
                <w:bCs/>
                <w:color w:val="auto"/>
                <w:kern w:val="0"/>
                <w:sz w:val="24"/>
              </w:rPr>
              <w:t>、</w:t>
            </w:r>
            <w:r>
              <w:rPr>
                <w:rFonts w:hint="default" w:ascii="Times New Roman" w:hAnsi="Times New Roman" w:cs="Times New Roman"/>
                <w:b/>
                <w:bCs/>
                <w:color w:val="auto"/>
                <w:sz w:val="24"/>
              </w:rPr>
              <w:t>选址合理性及周边环境相容性分析</w:t>
            </w:r>
          </w:p>
          <w:p w14:paraId="353618B7">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本项目位于</w:t>
            </w:r>
            <w:r>
              <w:rPr>
                <w:rFonts w:hint="default" w:ascii="Times New Roman" w:hAnsi="Times New Roman" w:cs="Times New Roman"/>
                <w:b w:val="0"/>
                <w:bCs/>
                <w:color w:val="auto"/>
                <w:kern w:val="0"/>
                <w:sz w:val="24"/>
                <w:lang w:val="en-US" w:eastAsia="zh-CN"/>
              </w:rPr>
              <w:t>云南省德宏州芒市遮放农场晓阳社区居民委员会第七居民小组</w:t>
            </w:r>
            <w:r>
              <w:rPr>
                <w:rFonts w:hint="default" w:ascii="Times New Roman" w:hAnsi="Times New Roman" w:cs="Times New Roman"/>
                <w:color w:val="auto"/>
                <w:sz w:val="24"/>
              </w:rPr>
              <w:t>，</w:t>
            </w:r>
            <w:r>
              <w:rPr>
                <w:rFonts w:hint="eastAsia" w:cs="Times New Roman"/>
                <w:color w:val="auto"/>
                <w:sz w:val="24"/>
                <w:lang w:eastAsia="zh-CN"/>
              </w:rPr>
              <w:t>已于</w:t>
            </w:r>
            <w:r>
              <w:rPr>
                <w:rFonts w:hint="eastAsia" w:cs="Times New Roman"/>
                <w:color w:val="auto"/>
                <w:sz w:val="24"/>
                <w:lang w:val="en-US" w:eastAsia="zh-CN"/>
              </w:rPr>
              <w:t>2021年12月14日</w:t>
            </w:r>
            <w:r>
              <w:rPr>
                <w:rFonts w:hint="eastAsia" w:cs="Times New Roman"/>
                <w:color w:val="auto"/>
                <w:sz w:val="24"/>
                <w:lang w:eastAsia="zh-CN"/>
              </w:rPr>
              <w:t>取得土地不动产权证书，详见附件</w:t>
            </w:r>
            <w:r>
              <w:rPr>
                <w:rFonts w:hint="eastAsia" w:cs="Times New Roman"/>
                <w:color w:val="auto"/>
                <w:sz w:val="24"/>
                <w:lang w:val="en-US" w:eastAsia="zh-CN"/>
              </w:rPr>
              <w:t>2。</w:t>
            </w:r>
            <w:r>
              <w:rPr>
                <w:rFonts w:hint="eastAsia" w:cs="Times New Roman"/>
                <w:b w:val="0"/>
                <w:bCs/>
                <w:color w:val="FF0000"/>
                <w:sz w:val="24"/>
                <w:highlight w:val="none"/>
                <w:lang w:val="en-US" w:eastAsia="zh-CN"/>
              </w:rPr>
              <w:t>根据2024年10月18日芒市林业和草原局关于项目是否涉及自然保护地的回复：本项目不涉及自然保护地（风景名胜区、森林公园）；</w:t>
            </w:r>
            <w:r>
              <w:rPr>
                <w:rFonts w:hint="default" w:ascii="Times New Roman" w:hAnsi="Times New Roman" w:cs="Times New Roman"/>
                <w:color w:val="auto"/>
                <w:sz w:val="24"/>
              </w:rPr>
              <w:t>项目区域交通建设基本完善，水、电供应有保障，为项目建设堤供了良好的条件。</w:t>
            </w:r>
          </w:p>
          <w:p w14:paraId="3A4200B0">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环境影响结果表明，项目废水、废气、噪声、固废等对环境影响不大，且外环境对项目影响不大，项目所在区域周围无文物保护、风景名胜等环境敏感目标，项目建设不存在环境敏感制约因素。项目在运行过程中产生的污染物在采取处理措施后可达标，不会改变区域环境功能。项目与周边环境相容。</w:t>
            </w:r>
          </w:p>
          <w:p w14:paraId="72BB44C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综上所述，本项目的建设选址合理。</w:t>
            </w:r>
          </w:p>
        </w:tc>
      </w:tr>
    </w:tbl>
    <w:p w14:paraId="1ADFB7B0">
      <w:pPr>
        <w:sectPr>
          <w:footerReference r:id="rId5" w:type="default"/>
          <w:pgSz w:w="16838" w:h="11906" w:orient="landscape"/>
          <w:pgMar w:top="1800" w:right="1440" w:bottom="1800" w:left="1440" w:header="624" w:footer="680" w:gutter="0"/>
          <w:pgNumType w:fmt="decimal"/>
          <w:cols w:space="425" w:num="1"/>
          <w:docGrid w:type="lines" w:linePitch="312" w:charSpace="0"/>
        </w:sectPr>
      </w:pPr>
    </w:p>
    <w:p w14:paraId="05AAE23A">
      <w:pPr>
        <w:pStyle w:val="20"/>
        <w:keepNext w:val="0"/>
        <w:keepLines w:val="0"/>
        <w:pageBreakBefore w:val="0"/>
        <w:widowControl/>
        <w:numPr>
          <w:ilvl w:val="0"/>
          <w:numId w:val="4"/>
        </w:numPr>
        <w:kinsoku/>
        <w:wordWrap/>
        <w:overflowPunct/>
        <w:topLinePunct w:val="0"/>
        <w:autoSpaceDE/>
        <w:autoSpaceDN/>
        <w:bidi w:val="0"/>
        <w:adjustRightInd/>
        <w:snapToGrid w:val="0"/>
        <w:spacing w:before="0" w:beforeAutospacing="0" w:after="0" w:afterAutospacing="0"/>
        <w:jc w:val="both"/>
        <w:textAlignment w:val="auto"/>
        <w:outlineLvl w:val="0"/>
        <w:rPr>
          <w:rFonts w:hint="eastAsia" w:ascii="Times New Roman" w:hAnsi="Times New Roman" w:eastAsia="宋体" w:cs="Times New Roman"/>
          <w:b/>
          <w:bCs/>
          <w:snapToGrid w:val="0"/>
          <w:color w:val="auto"/>
          <w:sz w:val="32"/>
          <w:szCs w:val="32"/>
          <w:highlight w:val="none"/>
          <w:lang w:eastAsia="zh-CN"/>
        </w:rPr>
      </w:pPr>
      <w:bookmarkStart w:id="6" w:name="_Toc11910"/>
      <w:r>
        <w:rPr>
          <w:rFonts w:hint="default" w:ascii="Times New Roman" w:hAnsi="Times New Roman" w:eastAsia="宋体" w:cs="Times New Roman"/>
          <w:b/>
          <w:bCs/>
          <w:snapToGrid w:val="0"/>
          <w:color w:val="auto"/>
          <w:sz w:val="32"/>
          <w:szCs w:val="32"/>
          <w:highlight w:val="none"/>
        </w:rPr>
        <w:t>建设</w:t>
      </w:r>
      <w:r>
        <w:rPr>
          <w:rFonts w:hint="eastAsia" w:ascii="Times New Roman" w:hAnsi="Times New Roman" w:eastAsia="宋体" w:cs="Times New Roman"/>
          <w:b/>
          <w:bCs/>
          <w:snapToGrid w:val="0"/>
          <w:color w:val="auto"/>
          <w:sz w:val="32"/>
          <w:szCs w:val="32"/>
          <w:highlight w:val="none"/>
          <w:lang w:eastAsia="zh-CN"/>
        </w:rPr>
        <w:t>内容</w:t>
      </w:r>
    </w:p>
    <w:tbl>
      <w:tblPr>
        <w:tblStyle w:val="24"/>
        <w:tblW w:w="8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1889"/>
        <w:gridCol w:w="5741"/>
      </w:tblGrid>
      <w:tr w14:paraId="7DC51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9" w:type="dxa"/>
            <w:vAlign w:val="center"/>
          </w:tcPr>
          <w:p w14:paraId="22658CBC">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ind w:left="0" w:leftChars="0" w:firstLine="0" w:firstLineChars="0"/>
              <w:jc w:val="center"/>
              <w:textAlignment w:val="auto"/>
              <w:outlineLvl w:val="0"/>
              <w:rPr>
                <w:rFonts w:hint="eastAsia" w:ascii="Times New Roman" w:hAnsi="Times New Roman" w:eastAsia="宋体" w:cs="Times New Roman"/>
                <w:b/>
                <w:bCs/>
                <w:snapToGrid w:val="0"/>
                <w:color w:val="auto"/>
                <w:sz w:val="32"/>
                <w:szCs w:val="32"/>
                <w:highlight w:val="none"/>
                <w:vertAlign w:val="baseline"/>
                <w:lang w:eastAsia="zh-CN"/>
              </w:rPr>
            </w:pPr>
            <w:r>
              <w:rPr>
                <w:rFonts w:hint="eastAsia" w:ascii="Times New Roman" w:hAnsi="Times New Roman" w:eastAsia="宋体" w:cs="Times New Roman"/>
                <w:b/>
                <w:bCs/>
                <w:snapToGrid w:val="0"/>
                <w:color w:val="auto"/>
                <w:sz w:val="24"/>
                <w:szCs w:val="24"/>
                <w:highlight w:val="none"/>
                <w:vertAlign w:val="baseline"/>
                <w:lang w:eastAsia="zh-CN"/>
              </w:rPr>
              <w:t>建设内容</w:t>
            </w:r>
          </w:p>
        </w:tc>
        <w:tc>
          <w:tcPr>
            <w:tcW w:w="7630" w:type="dxa"/>
            <w:gridSpan w:val="2"/>
            <w:vAlign w:val="top"/>
          </w:tcPr>
          <w:p w14:paraId="34F34E25">
            <w:pPr>
              <w:pStyle w:val="11"/>
              <w:keepNext w:val="0"/>
              <w:keepLines w:val="0"/>
              <w:pageBreakBefore w:val="0"/>
              <w:numPr>
                <w:ilvl w:val="0"/>
                <w:numId w:val="0"/>
              </w:numPr>
              <w:kinsoku/>
              <w:wordWrap/>
              <w:overflowPunct/>
              <w:topLinePunct w:val="0"/>
              <w:autoSpaceDE/>
              <w:autoSpaceDN/>
              <w:bidi w:val="0"/>
              <w:spacing w:line="360" w:lineRule="auto"/>
              <w:ind w:right="113" w:rightChars="0"/>
              <w:textAlignment w:val="auto"/>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
                <w:bCs/>
                <w:color w:val="auto"/>
                <w:kern w:val="0"/>
                <w:sz w:val="24"/>
                <w:szCs w:val="24"/>
                <w:vertAlign w:val="baseline"/>
                <w:lang w:val="en-US" w:eastAsia="zh-CN" w:bidi="ar-SA"/>
              </w:rPr>
              <w:t>1.</w:t>
            </w:r>
            <w:r>
              <w:rPr>
                <w:rFonts w:hint="default" w:ascii="Times New Roman" w:hAnsi="Times New Roman" w:cs="Times New Roman" w:eastAsiaTheme="minorEastAsia"/>
                <w:b/>
                <w:bCs/>
                <w:color w:val="auto"/>
                <w:sz w:val="24"/>
                <w:szCs w:val="24"/>
                <w:vertAlign w:val="baseline"/>
                <w:lang w:val="en-US" w:eastAsia="zh-CN"/>
              </w:rPr>
              <w:t>项目</w:t>
            </w:r>
            <w:r>
              <w:rPr>
                <w:rFonts w:hint="eastAsia" w:cs="Times New Roman" w:eastAsiaTheme="minorEastAsia"/>
                <w:b/>
                <w:bCs/>
                <w:color w:val="auto"/>
                <w:sz w:val="24"/>
                <w:szCs w:val="24"/>
                <w:vertAlign w:val="baseline"/>
                <w:lang w:val="en-US" w:eastAsia="zh-CN"/>
              </w:rPr>
              <w:t>背景</w:t>
            </w:r>
          </w:p>
          <w:p w14:paraId="667935A6">
            <w:pPr>
              <w:pStyle w:val="5"/>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shd w:val="clear" w:fill="FF0000"/>
                <w:lang w:val="en-US" w:eastAsia="zh-CN"/>
              </w:rPr>
            </w:pPr>
            <w:r>
              <w:rPr>
                <w:rFonts w:hint="default" w:ascii="Times New Roman" w:hAnsi="Times New Roman" w:eastAsia="宋体" w:cs="Times New Roman"/>
                <w:b w:val="0"/>
                <w:bCs w:val="0"/>
                <w:color w:val="auto"/>
                <w:sz w:val="24"/>
                <w:szCs w:val="24"/>
                <w:lang w:eastAsia="zh-CN"/>
              </w:rPr>
              <w:t>芒市三羊农业科技发展有限公司（下称“建设单位”）投资</w:t>
            </w:r>
            <w:r>
              <w:rPr>
                <w:rFonts w:hint="default" w:ascii="Times New Roman" w:hAnsi="Times New Roman" w:eastAsia="宋体" w:cs="Times New Roman"/>
                <w:b w:val="0"/>
                <w:bCs w:val="0"/>
                <w:color w:val="auto"/>
                <w:sz w:val="24"/>
                <w:szCs w:val="24"/>
                <w:lang w:val="en-US" w:eastAsia="zh-CN"/>
              </w:rPr>
              <w:t>150万元人民币位于</w:t>
            </w:r>
            <w:r>
              <w:rPr>
                <w:rFonts w:hint="default" w:ascii="Times New Roman" w:hAnsi="Times New Roman" w:eastAsia="宋体" w:cs="Times New Roman"/>
                <w:b w:val="0"/>
                <w:bCs w:val="0"/>
                <w:color w:val="auto"/>
                <w:sz w:val="24"/>
                <w:szCs w:val="24"/>
                <w:highlight w:val="none"/>
                <w:lang w:val="en-US" w:eastAsia="zh-CN"/>
              </w:rPr>
              <w:t>芒市遮放农场晓阳社区居民委员会第七居民小组建设“芒市三羊农业科技发展有限公司芒市农业废弃物综合利用项目”。“芒市三羊农业科技发展有限公司芒市农业废弃物综合利用项目”于</w:t>
            </w:r>
            <w:r>
              <w:rPr>
                <w:rFonts w:hint="default" w:ascii="Times New Roman" w:hAnsi="Times New Roman" w:eastAsia="宋体" w:cs="Times New Roman"/>
                <w:b w:val="0"/>
                <w:bCs/>
                <w:color w:val="auto"/>
                <w:sz w:val="24"/>
                <w:szCs w:val="24"/>
                <w:highlight w:val="none"/>
                <w:lang w:val="en-US" w:eastAsia="zh-CN"/>
              </w:rPr>
              <w:t>2024年06月14日取得</w:t>
            </w:r>
            <w:r>
              <w:rPr>
                <w:rFonts w:hint="default" w:ascii="Times New Roman" w:hAnsi="Times New Roman" w:eastAsia="宋体" w:cs="Times New Roman"/>
                <w:b w:val="0"/>
                <w:bCs w:val="0"/>
                <w:color w:val="auto"/>
                <w:sz w:val="24"/>
                <w:szCs w:val="24"/>
                <w:highlight w:val="none"/>
                <w:lang w:val="en-US" w:eastAsia="zh-CN"/>
              </w:rPr>
              <w:t>芒市发展和改革局关于项目的投资备案证，项目代码：2406-533103-04-01-794079，投资备案见附件</w:t>
            </w:r>
            <w:r>
              <w:rPr>
                <w:rFonts w:hint="eastAsia" w:ascii="Times New Roman" w:hAnsi="Times New Roman"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val="en-US" w:eastAsia="zh-CN"/>
              </w:rPr>
              <w:t>。</w:t>
            </w:r>
          </w:p>
          <w:p w14:paraId="3EF5F60A">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color w:val="auto"/>
                <w:sz w:val="24"/>
                <w:szCs w:val="24"/>
                <w:highlight w:val="none"/>
                <w:lang w:eastAsia="zh-CN"/>
              </w:rPr>
              <w:t>本项目总投资</w:t>
            </w:r>
            <w:r>
              <w:rPr>
                <w:rFonts w:hint="default" w:ascii="Times New Roman" w:hAnsi="Times New Roman" w:eastAsia="宋体" w:cs="Times New Roman"/>
                <w:b w:val="0"/>
                <w:bCs w:val="0"/>
                <w:color w:val="auto"/>
                <w:sz w:val="24"/>
                <w:szCs w:val="24"/>
                <w:highlight w:val="none"/>
                <w:lang w:val="en-US" w:eastAsia="zh-CN"/>
              </w:rPr>
              <w:t>150</w:t>
            </w:r>
            <w:r>
              <w:rPr>
                <w:rFonts w:hint="default" w:ascii="Times New Roman" w:hAnsi="Times New Roman" w:eastAsia="宋体" w:cs="Times New Roman"/>
                <w:b w:val="0"/>
                <w:bCs w:val="0"/>
                <w:color w:val="auto"/>
                <w:sz w:val="24"/>
                <w:szCs w:val="24"/>
                <w:highlight w:val="none"/>
                <w:lang w:eastAsia="zh-CN"/>
              </w:rPr>
              <w:t>万元，总占地面积3893m</w:t>
            </w:r>
            <w:r>
              <w:rPr>
                <w:rFonts w:hint="default" w:ascii="Times New Roman" w:hAnsi="Times New Roman" w:eastAsia="宋体" w:cs="Times New Roman"/>
                <w:b w:val="0"/>
                <w:bCs w:val="0"/>
                <w:color w:val="auto"/>
                <w:sz w:val="24"/>
                <w:szCs w:val="24"/>
                <w:highlight w:val="none"/>
                <w:vertAlign w:val="superscript"/>
                <w:lang w:eastAsia="zh-CN"/>
              </w:rPr>
              <w:t>2</w:t>
            </w:r>
            <w:r>
              <w:rPr>
                <w:rFonts w:hint="default" w:ascii="Times New Roman" w:hAnsi="Times New Roman" w:eastAsia="宋体" w:cs="Times New Roman"/>
                <w:b w:val="0"/>
                <w:bCs w:val="0"/>
                <w:color w:val="auto"/>
                <w:sz w:val="24"/>
                <w:szCs w:val="24"/>
                <w:highlight w:val="none"/>
                <w:lang w:eastAsia="zh-CN"/>
              </w:rPr>
              <w:t>，建筑面</w:t>
            </w:r>
            <w:r>
              <w:rPr>
                <w:rFonts w:hint="eastAsia" w:cs="Times New Roman"/>
                <w:b w:val="0"/>
                <w:bCs w:val="0"/>
                <w:color w:val="auto"/>
                <w:sz w:val="24"/>
                <w:szCs w:val="24"/>
                <w:highlight w:val="none"/>
                <w:lang w:val="en-US" w:eastAsia="zh-CN"/>
              </w:rPr>
              <w:t>3570</w:t>
            </w:r>
            <w:r>
              <w:rPr>
                <w:rFonts w:hint="default" w:ascii="Times New Roman" w:hAnsi="Times New Roman" w:eastAsia="宋体" w:cs="Times New Roman"/>
                <w:b w:val="0"/>
                <w:bCs w:val="0"/>
                <w:color w:val="auto"/>
                <w:sz w:val="24"/>
                <w:szCs w:val="24"/>
                <w:highlight w:val="none"/>
                <w:lang w:eastAsia="zh-CN"/>
              </w:rPr>
              <w:t>m</w:t>
            </w:r>
            <w:r>
              <w:rPr>
                <w:rFonts w:hint="default" w:ascii="Times New Roman" w:hAnsi="Times New Roman" w:eastAsia="宋体" w:cs="Times New Roman"/>
                <w:b w:val="0"/>
                <w:bCs w:val="0"/>
                <w:color w:val="auto"/>
                <w:sz w:val="24"/>
                <w:szCs w:val="24"/>
                <w:highlight w:val="none"/>
                <w:vertAlign w:val="superscript"/>
                <w:lang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lang w:eastAsia="zh-CN"/>
              </w:rPr>
              <w:t>主要建设炭化窑、生产厂房及配套建设生产生活辅助设施</w:t>
            </w:r>
            <w:r>
              <w:rPr>
                <w:rFonts w:hint="default" w:ascii="Times New Roman" w:hAnsi="Times New Roman" w:eastAsia="宋体" w:cs="Times New Roman"/>
                <w:b w:val="0"/>
                <w:bCs w:val="0"/>
                <w:color w:val="auto"/>
                <w:sz w:val="24"/>
                <w:szCs w:val="24"/>
                <w:lang w:val="en-US" w:eastAsia="zh-CN"/>
              </w:rPr>
              <w:t>等</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snapToGrid w:val="0"/>
                <w:color w:val="auto"/>
                <w:kern w:val="0"/>
                <w:sz w:val="24"/>
                <w:szCs w:val="24"/>
              </w:rPr>
              <w:t>根据《中华人民共和国环境保护法》、《中华人民共和国环境影响评价法》、《建设项目环境保护管理条例》和《云南省建设项目环境保护管理规定》等法律法规的规定，建设单位特委托我公司承担本项目的环境影响评价工作，</w:t>
            </w:r>
            <w:r>
              <w:rPr>
                <w:rFonts w:hint="default" w:ascii="Times New Roman" w:hAnsi="Times New Roman" w:eastAsia="宋体" w:cs="Times New Roman"/>
                <w:snapToGrid w:val="0"/>
                <w:color w:val="auto"/>
                <w:kern w:val="0"/>
                <w:sz w:val="24"/>
                <w:szCs w:val="24"/>
                <w:lang w:eastAsia="zh-CN"/>
              </w:rPr>
              <w:t>具体见附件</w:t>
            </w:r>
            <w:r>
              <w:rPr>
                <w:rFonts w:hint="eastAsia" w:cs="Times New Roman"/>
                <w:snapToGrid w:val="0"/>
                <w:color w:val="auto"/>
                <w:kern w:val="0"/>
                <w:sz w:val="24"/>
                <w:szCs w:val="24"/>
                <w:lang w:val="en-US" w:eastAsia="zh-CN"/>
              </w:rPr>
              <w:t>4</w:t>
            </w:r>
            <w:r>
              <w:rPr>
                <w:rFonts w:hint="default" w:ascii="Times New Roman" w:hAnsi="Times New Roman" w:eastAsia="宋体" w:cs="Times New Roman"/>
                <w:snapToGrid w:val="0"/>
                <w:color w:val="auto"/>
                <w:kern w:val="0"/>
                <w:sz w:val="24"/>
                <w:szCs w:val="24"/>
              </w:rPr>
              <w:t>。</w:t>
            </w:r>
            <w:r>
              <w:rPr>
                <w:rFonts w:hint="default" w:ascii="Times New Roman" w:hAnsi="Times New Roman" w:eastAsia="宋体" w:cs="Times New Roman"/>
                <w:color w:val="auto"/>
                <w:sz w:val="24"/>
                <w:szCs w:val="24"/>
                <w:shd w:val="clear"/>
              </w:rPr>
              <w:t>根据现场踏勘，项目以</w:t>
            </w:r>
            <w:r>
              <w:rPr>
                <w:rFonts w:hint="default" w:ascii="Times New Roman" w:hAnsi="Times New Roman" w:eastAsia="宋体" w:cs="Times New Roman"/>
                <w:color w:val="auto"/>
                <w:sz w:val="24"/>
                <w:szCs w:val="24"/>
                <w:shd w:val="clear"/>
                <w:lang w:val="en-US" w:eastAsia="zh-CN"/>
              </w:rPr>
              <w:t>木屑、刨花及破碎后的废弃物</w:t>
            </w:r>
            <w:r>
              <w:rPr>
                <w:rFonts w:hint="eastAsia" w:cs="Times New Roman"/>
                <w:color w:val="auto"/>
                <w:sz w:val="24"/>
                <w:szCs w:val="24"/>
                <w:shd w:val="clear"/>
                <w:lang w:val="en-US" w:eastAsia="zh-CN"/>
              </w:rPr>
              <w:t>为</w:t>
            </w:r>
            <w:r>
              <w:rPr>
                <w:rFonts w:hint="default" w:ascii="Times New Roman" w:hAnsi="Times New Roman" w:eastAsia="宋体" w:cs="Times New Roman"/>
                <w:color w:val="auto"/>
                <w:sz w:val="24"/>
                <w:szCs w:val="24"/>
                <w:shd w:val="clear"/>
              </w:rPr>
              <w:t>原料生产机制炭，对照《建设项目环境影响评价分类管理名录》（2021版），项目属于“三十九、废弃资源综合利用业42-85.非金属废料和碎屑加工处理422”，及根据2022年5月19日云南省生态环境厅办公室关于德宏州生态环境局请求确定木炭、</w:t>
            </w:r>
            <w:r>
              <w:rPr>
                <w:rFonts w:hint="default" w:ascii="Times New Roman" w:hAnsi="Times New Roman" w:eastAsia="宋体" w:cs="Times New Roman"/>
                <w:color w:val="auto"/>
                <w:sz w:val="24"/>
                <w:szCs w:val="24"/>
              </w:rPr>
              <w:t>机制炭项目环评审批相关事宜的复函（云环办函〔2022〕72号）文件，</w:t>
            </w:r>
            <w:r>
              <w:rPr>
                <w:rFonts w:hint="default" w:ascii="Times New Roman" w:hAnsi="Times New Roman" w:eastAsia="宋体" w:cs="Times New Roman"/>
                <w:color w:val="auto"/>
                <w:sz w:val="24"/>
                <w:szCs w:val="24"/>
                <w:shd w:val="clear"/>
              </w:rPr>
              <w:t>具体文件见附件</w:t>
            </w:r>
            <w:r>
              <w:rPr>
                <w:rFonts w:hint="eastAsia" w:cs="Times New Roman"/>
                <w:color w:val="auto"/>
                <w:sz w:val="24"/>
                <w:szCs w:val="24"/>
                <w:shd w:val="clear"/>
                <w:lang w:val="en-US" w:eastAsia="zh-CN"/>
              </w:rPr>
              <w:t>5</w:t>
            </w:r>
            <w:r>
              <w:rPr>
                <w:rFonts w:hint="default" w:ascii="Times New Roman" w:hAnsi="Times New Roman" w:eastAsia="宋体" w:cs="Times New Roman"/>
                <w:color w:val="auto"/>
                <w:sz w:val="24"/>
                <w:szCs w:val="24"/>
              </w:rPr>
              <w:t>，项目应编制环境影响报告表。</w:t>
            </w:r>
          </w:p>
          <w:p w14:paraId="71E3CF64">
            <w:pPr>
              <w:spacing w:line="360" w:lineRule="auto"/>
              <w:ind w:firstLine="480" w:firstLineChars="200"/>
              <w:rPr>
                <w:rFonts w:hint="default" w:ascii="Times New Roman" w:hAnsi="Times New Roman" w:eastAsia="宋体" w:cs="Times New Roman"/>
                <w:snapToGrid w:val="0"/>
                <w:color w:val="FF0000"/>
                <w:kern w:val="0"/>
                <w:sz w:val="24"/>
                <w:szCs w:val="24"/>
              </w:rPr>
            </w:pPr>
            <w:r>
              <w:rPr>
                <w:rFonts w:hint="default" w:ascii="Times New Roman" w:hAnsi="Times New Roman" w:eastAsia="宋体" w:cs="Times New Roman"/>
                <w:color w:val="auto"/>
                <w:sz w:val="24"/>
                <w:szCs w:val="24"/>
              </w:rPr>
              <w:t>接受委托后，我公司组成环评项目组，对项目场地及周边环境进行了现状调查、实地踏勘和调研工作，对项目进行资料收集，在对本项目工程有关环境现状和可能造成的环境影响进行分析后，依据生态环境部编制的《建设项目环境影响报告表编制技术指南（污染影响类）（试行）》的有关规定和要求，</w:t>
            </w:r>
            <w:r>
              <w:rPr>
                <w:rFonts w:hint="default" w:ascii="Times New Roman" w:hAnsi="Times New Roman" w:eastAsia="宋体" w:cs="Times New Roman"/>
                <w:snapToGrid w:val="0"/>
                <w:color w:val="FF0000"/>
                <w:kern w:val="0"/>
                <w:sz w:val="24"/>
                <w:szCs w:val="24"/>
              </w:rPr>
              <w:t>编制了《</w:t>
            </w:r>
            <w:r>
              <w:rPr>
                <w:rFonts w:hint="default" w:ascii="Times New Roman" w:hAnsi="Times New Roman" w:eastAsia="宋体" w:cs="Times New Roman"/>
                <w:color w:val="FF0000"/>
                <w:sz w:val="24"/>
                <w:szCs w:val="24"/>
                <w:highlight w:val="none"/>
                <w:lang w:val="en-US" w:eastAsia="zh-CN"/>
              </w:rPr>
              <w:t>芒市三羊农业科技发展有限公司芒市农业废弃物综合利用项目</w:t>
            </w:r>
            <w:r>
              <w:rPr>
                <w:rFonts w:hint="default" w:ascii="Times New Roman" w:hAnsi="Times New Roman" w:eastAsia="宋体" w:cs="Times New Roman"/>
                <w:color w:val="FF0000"/>
                <w:sz w:val="24"/>
                <w:szCs w:val="24"/>
              </w:rPr>
              <w:t>（</w:t>
            </w:r>
            <w:r>
              <w:rPr>
                <w:rFonts w:hint="eastAsia" w:cs="Times New Roman"/>
                <w:color w:val="FF0000"/>
                <w:sz w:val="24"/>
                <w:szCs w:val="24"/>
                <w:lang w:val="en-US" w:eastAsia="zh-CN"/>
              </w:rPr>
              <w:t>送审稿</w:t>
            </w:r>
            <w:r>
              <w:rPr>
                <w:rFonts w:hint="default" w:ascii="Times New Roman" w:hAnsi="Times New Roman" w:eastAsia="宋体" w:cs="Times New Roman"/>
                <w:color w:val="FF0000"/>
                <w:sz w:val="24"/>
                <w:szCs w:val="24"/>
              </w:rPr>
              <w:t>）</w:t>
            </w:r>
            <w:r>
              <w:rPr>
                <w:rFonts w:hint="default" w:ascii="Times New Roman" w:hAnsi="Times New Roman" w:eastAsia="宋体" w:cs="Times New Roman"/>
                <w:snapToGrid w:val="0"/>
                <w:color w:val="FF0000"/>
                <w:kern w:val="0"/>
                <w:sz w:val="24"/>
                <w:szCs w:val="24"/>
              </w:rPr>
              <w:t>》，以供建设单位上报</w:t>
            </w:r>
            <w:r>
              <w:rPr>
                <w:rFonts w:hint="eastAsia" w:cs="Times New Roman"/>
                <w:snapToGrid w:val="0"/>
                <w:color w:val="FF0000"/>
                <w:kern w:val="0"/>
                <w:sz w:val="24"/>
                <w:szCs w:val="24"/>
                <w:lang w:val="en-US" w:eastAsia="zh-CN"/>
              </w:rPr>
              <w:t>审查</w:t>
            </w:r>
            <w:r>
              <w:rPr>
                <w:rFonts w:hint="eastAsia" w:cs="Times New Roman"/>
                <w:snapToGrid w:val="0"/>
                <w:color w:val="FF0000"/>
                <w:kern w:val="0"/>
                <w:sz w:val="24"/>
                <w:szCs w:val="24"/>
                <w:lang w:eastAsia="zh-CN"/>
              </w:rPr>
              <w:t>。</w:t>
            </w:r>
          </w:p>
          <w:p w14:paraId="10AE3308">
            <w:pPr>
              <w:numPr>
                <w:ilvl w:val="0"/>
                <w:numId w:val="0"/>
              </w:numPr>
              <w:spacing w:line="360" w:lineRule="auto"/>
              <w:ind w:left="0" w:leftChars="0" w:firstLine="0" w:firstLineChars="0"/>
              <w:rPr>
                <w:rFonts w:hint="default" w:ascii="Times New Roman" w:hAnsi="Times New Roman" w:eastAsia="宋体" w:cs="Times New Roman"/>
                <w:b/>
                <w:bCs/>
                <w:snapToGrid w:val="0"/>
                <w:color w:val="auto"/>
                <w:kern w:val="0"/>
                <w:sz w:val="24"/>
                <w:szCs w:val="24"/>
                <w:lang w:val="en-US" w:eastAsia="zh-CN"/>
              </w:rPr>
            </w:pPr>
            <w:r>
              <w:rPr>
                <w:rFonts w:hint="default" w:ascii="Times New Roman" w:hAnsi="Times New Roman" w:eastAsia="宋体" w:cs="Times New Roman"/>
                <w:b/>
                <w:bCs/>
                <w:snapToGrid w:val="0"/>
                <w:color w:val="auto"/>
                <w:kern w:val="0"/>
                <w:sz w:val="24"/>
                <w:szCs w:val="24"/>
                <w:lang w:val="en-US" w:eastAsia="zh-CN" w:bidi="ar-SA"/>
              </w:rPr>
              <w:t>2.</w:t>
            </w:r>
            <w:r>
              <w:rPr>
                <w:rFonts w:hint="default" w:ascii="Times New Roman" w:hAnsi="Times New Roman" w:eastAsia="宋体" w:cs="Times New Roman"/>
                <w:b/>
                <w:bCs/>
                <w:snapToGrid w:val="0"/>
                <w:color w:val="auto"/>
                <w:kern w:val="0"/>
                <w:sz w:val="24"/>
                <w:szCs w:val="24"/>
                <w:lang w:val="en-US" w:eastAsia="zh-CN"/>
              </w:rPr>
              <w:t>工程内容及规模</w:t>
            </w:r>
          </w:p>
          <w:p w14:paraId="46AC0575">
            <w:pPr>
              <w:numPr>
                <w:ilvl w:val="0"/>
                <w:numId w:val="0"/>
              </w:numPr>
              <w:spacing w:line="36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（1）项目名称</w:t>
            </w:r>
            <w:r>
              <w:rPr>
                <w:rFonts w:hint="default" w:ascii="Times New Roman" w:hAnsi="Times New Roman" w:eastAsia="宋体" w:cs="Times New Roman"/>
                <w:b w:val="0"/>
                <w:bCs w:val="0"/>
                <w:snapToGrid w:val="0"/>
                <w:color w:val="auto"/>
                <w:kern w:val="0"/>
                <w:sz w:val="24"/>
                <w:szCs w:val="24"/>
                <w:lang w:val="en-US" w:eastAsia="zh-CN"/>
              </w:rPr>
              <w:t>：</w:t>
            </w:r>
            <w:r>
              <w:rPr>
                <w:rFonts w:hint="default" w:ascii="Times New Roman" w:hAnsi="Times New Roman" w:eastAsia="宋体" w:cs="Times New Roman"/>
                <w:color w:val="auto"/>
                <w:sz w:val="24"/>
                <w:szCs w:val="24"/>
                <w:highlight w:val="none"/>
                <w:lang w:val="en-US" w:eastAsia="zh-CN"/>
              </w:rPr>
              <w:t>芒市三羊农业科技发展有限公司芒市农业废弃物综合利用项目；</w:t>
            </w:r>
          </w:p>
          <w:p w14:paraId="0C58C520">
            <w:pPr>
              <w:numPr>
                <w:ilvl w:val="0"/>
                <w:numId w:val="0"/>
              </w:numPr>
              <w:spacing w:line="36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建设单位</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highlight w:val="none"/>
                <w:lang w:val="en-US" w:eastAsia="zh-CN"/>
              </w:rPr>
              <w:t>芒市三羊农业科技发展</w:t>
            </w:r>
            <w:r>
              <w:rPr>
                <w:rFonts w:hint="eastAsia" w:cs="Times New Roman"/>
                <w:color w:val="auto"/>
                <w:sz w:val="24"/>
                <w:szCs w:val="24"/>
                <w:highlight w:val="none"/>
                <w:lang w:val="en-US" w:eastAsia="zh-CN"/>
              </w:rPr>
              <w:t>有限公司</w:t>
            </w:r>
            <w:r>
              <w:rPr>
                <w:rFonts w:hint="default" w:ascii="Times New Roman" w:hAnsi="Times New Roman" w:eastAsia="宋体" w:cs="Times New Roman"/>
                <w:color w:val="auto"/>
                <w:sz w:val="24"/>
                <w:szCs w:val="24"/>
                <w:highlight w:val="none"/>
                <w:lang w:val="en-US" w:eastAsia="zh-CN"/>
              </w:rPr>
              <w:t>；</w:t>
            </w:r>
          </w:p>
          <w:p w14:paraId="72AFE312">
            <w:pPr>
              <w:numPr>
                <w:ilvl w:val="0"/>
                <w:numId w:val="0"/>
              </w:numPr>
              <w:spacing w:line="360" w:lineRule="auto"/>
              <w:ind w:left="0" w:lef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（3）建设地点</w:t>
            </w:r>
            <w:r>
              <w:rPr>
                <w:rFonts w:hint="default" w:ascii="Times New Roman" w:hAnsi="Times New Roman" w:eastAsia="宋体" w:cs="Times New Roman"/>
                <w:color w:val="auto"/>
                <w:sz w:val="24"/>
                <w:szCs w:val="24"/>
                <w:highlight w:val="none"/>
                <w:lang w:val="en-US" w:eastAsia="zh-CN"/>
              </w:rPr>
              <w:t>：云南省德宏州芒市遮放农场晓阳社区居民委员会第七居民小组，</w:t>
            </w:r>
            <w:r>
              <w:rPr>
                <w:rFonts w:hint="default" w:ascii="Times New Roman" w:hAnsi="Times New Roman" w:eastAsia="宋体" w:cs="Times New Roman"/>
                <w:color w:val="auto"/>
                <w:sz w:val="24"/>
                <w:szCs w:val="24"/>
              </w:rPr>
              <w:t>项目中心地理位置坐标：</w:t>
            </w:r>
            <w:r>
              <w:rPr>
                <w:rFonts w:hint="eastAsia" w:cs="Times New Roman"/>
                <w:color w:val="auto"/>
                <w:sz w:val="24"/>
                <w:szCs w:val="24"/>
                <w:lang w:val="en-US" w:eastAsia="zh-CN"/>
              </w:rPr>
              <w:t>东经</w:t>
            </w:r>
            <w:r>
              <w:rPr>
                <w:rFonts w:hint="default" w:ascii="Times New Roman" w:hAnsi="Times New Roman" w:eastAsia="宋体" w:cs="Times New Roman"/>
                <w:color w:val="auto"/>
                <w:sz w:val="24"/>
                <w:szCs w:val="24"/>
                <w:shd w:val="clear"/>
              </w:rPr>
              <w:t>98°10′53.995″，北纬24°14′15.148″；</w:t>
            </w:r>
          </w:p>
          <w:p w14:paraId="55D25074">
            <w:pPr>
              <w:numPr>
                <w:ilvl w:val="0"/>
                <w:numId w:val="0"/>
              </w:numPr>
              <w:spacing w:line="360" w:lineRule="auto"/>
              <w:ind w:left="0" w:leftChars="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lang w:val="en-US" w:eastAsia="zh-CN"/>
              </w:rPr>
              <w:t>（4）建设性质</w:t>
            </w:r>
            <w:r>
              <w:rPr>
                <w:rFonts w:hint="default" w:ascii="Times New Roman" w:hAnsi="Times New Roman" w:eastAsia="宋体" w:cs="Times New Roman"/>
                <w:color w:val="auto"/>
                <w:sz w:val="24"/>
                <w:szCs w:val="24"/>
                <w:highlight w:val="none"/>
                <w:lang w:val="en-US" w:eastAsia="zh-CN"/>
              </w:rPr>
              <w:t>：新建；</w:t>
            </w:r>
          </w:p>
          <w:p w14:paraId="7EB81E88">
            <w:pPr>
              <w:numPr>
                <w:ilvl w:val="0"/>
                <w:numId w:val="0"/>
              </w:numPr>
              <w:spacing w:line="36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（5）总投资</w:t>
            </w:r>
            <w:r>
              <w:rPr>
                <w:rFonts w:hint="default" w:ascii="Times New Roman" w:hAnsi="Times New Roman" w:eastAsia="宋体" w:cs="Times New Roman"/>
                <w:b w:val="0"/>
                <w:bCs w:val="0"/>
                <w:color w:val="auto"/>
                <w:sz w:val="24"/>
                <w:szCs w:val="24"/>
                <w:highlight w:val="none"/>
                <w:lang w:val="en-US" w:eastAsia="zh-CN"/>
              </w:rPr>
              <w:t>：150万元，环保投资：</w:t>
            </w:r>
            <w:r>
              <w:rPr>
                <w:rFonts w:hint="default" w:ascii="Times New Roman" w:hAnsi="Times New Roman" w:eastAsia="宋体" w:cs="Times New Roman"/>
                <w:b w:val="0"/>
                <w:bCs w:val="0"/>
                <w:color w:val="auto"/>
                <w:sz w:val="24"/>
                <w:szCs w:val="24"/>
                <w:highlight w:val="none"/>
                <w:shd w:val="clear"/>
                <w:lang w:val="en-US" w:eastAsia="zh-CN"/>
              </w:rPr>
              <w:t>30万元</w:t>
            </w:r>
            <w:r>
              <w:rPr>
                <w:rFonts w:hint="eastAsia" w:cs="Times New Roman"/>
                <w:b w:val="0"/>
                <w:bCs w:val="0"/>
                <w:color w:val="auto"/>
                <w:sz w:val="24"/>
                <w:szCs w:val="24"/>
                <w:highlight w:val="none"/>
                <w:shd w:val="clear"/>
                <w:lang w:val="en-US" w:eastAsia="zh-CN"/>
              </w:rPr>
              <w:t>，占总投资20%。</w:t>
            </w:r>
          </w:p>
          <w:p w14:paraId="0D86A1F2">
            <w:pPr>
              <w:spacing w:line="360" w:lineRule="auto"/>
              <w:ind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（6）</w:t>
            </w:r>
            <w:r>
              <w:rPr>
                <w:rFonts w:hint="eastAsia" w:cs="Times New Roman"/>
                <w:color w:val="auto"/>
                <w:sz w:val="24"/>
                <w:szCs w:val="24"/>
                <w:highlight w:val="none"/>
                <w:lang w:val="en-US" w:eastAsia="zh-CN"/>
              </w:rPr>
              <w:t>工程</w:t>
            </w:r>
            <w:r>
              <w:rPr>
                <w:rFonts w:hint="default" w:ascii="Times New Roman" w:hAnsi="Times New Roman" w:eastAsia="宋体" w:cs="Times New Roman"/>
                <w:color w:val="auto"/>
                <w:sz w:val="24"/>
                <w:szCs w:val="24"/>
                <w:highlight w:val="none"/>
                <w:lang w:val="en-US" w:eastAsia="zh-CN"/>
              </w:rPr>
              <w:t>建设内容及规模：</w:t>
            </w:r>
            <w:r>
              <w:rPr>
                <w:rFonts w:hint="default" w:ascii="Times New Roman" w:hAnsi="Times New Roman" w:eastAsia="宋体" w:cs="Times New Roman"/>
                <w:color w:val="auto"/>
                <w:spacing w:val="-3"/>
                <w:sz w:val="24"/>
                <w:szCs w:val="24"/>
                <w:highlight w:val="none"/>
              </w:rPr>
              <w:t>本项目建设性质为新建，工程总投资</w:t>
            </w:r>
            <w:r>
              <w:rPr>
                <w:rFonts w:hint="default" w:ascii="Times New Roman" w:hAnsi="Times New Roman" w:eastAsia="宋体" w:cs="Times New Roman"/>
                <w:color w:val="auto"/>
                <w:spacing w:val="-3"/>
                <w:sz w:val="24"/>
                <w:szCs w:val="24"/>
                <w:highlight w:val="none"/>
                <w:lang w:val="en-US" w:eastAsia="zh-CN"/>
              </w:rPr>
              <w:t>150</w:t>
            </w:r>
            <w:r>
              <w:rPr>
                <w:rFonts w:hint="default" w:ascii="Times New Roman" w:hAnsi="Times New Roman" w:eastAsia="宋体" w:cs="Times New Roman"/>
                <w:color w:val="auto"/>
                <w:sz w:val="24"/>
                <w:szCs w:val="24"/>
                <w:highlight w:val="none"/>
              </w:rPr>
              <w:t>万元，</w:t>
            </w:r>
            <w:r>
              <w:rPr>
                <w:rFonts w:hint="default" w:ascii="Times New Roman" w:hAnsi="Times New Roman" w:eastAsia="宋体" w:cs="Times New Roman"/>
                <w:b w:val="0"/>
                <w:bCs w:val="0"/>
                <w:color w:val="auto"/>
                <w:sz w:val="24"/>
                <w:szCs w:val="24"/>
                <w:highlight w:val="none"/>
                <w:lang w:eastAsia="zh-CN"/>
              </w:rPr>
              <w:t>总占地面积约3893m</w:t>
            </w:r>
            <w:r>
              <w:rPr>
                <w:rFonts w:hint="default" w:ascii="Times New Roman" w:hAnsi="Times New Roman" w:eastAsia="宋体" w:cs="Times New Roman"/>
                <w:b w:val="0"/>
                <w:bCs w:val="0"/>
                <w:color w:val="auto"/>
                <w:sz w:val="24"/>
                <w:szCs w:val="24"/>
                <w:highlight w:val="none"/>
                <w:vertAlign w:val="superscript"/>
                <w:lang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shd w:val="clear"/>
                <w:lang w:eastAsia="zh-CN"/>
              </w:rPr>
              <w:t>建筑面积约3</w:t>
            </w:r>
            <w:r>
              <w:rPr>
                <w:rFonts w:hint="eastAsia" w:cs="Times New Roman"/>
                <w:b w:val="0"/>
                <w:bCs w:val="0"/>
                <w:color w:val="auto"/>
                <w:sz w:val="24"/>
                <w:szCs w:val="24"/>
                <w:highlight w:val="none"/>
                <w:shd w:val="clear"/>
                <w:lang w:val="en-US" w:eastAsia="zh-CN"/>
              </w:rPr>
              <w:t>570</w:t>
            </w:r>
            <w:r>
              <w:rPr>
                <w:rFonts w:hint="default" w:ascii="Times New Roman" w:hAnsi="Times New Roman" w:eastAsia="宋体" w:cs="Times New Roman"/>
                <w:b w:val="0"/>
                <w:bCs w:val="0"/>
                <w:color w:val="auto"/>
                <w:sz w:val="24"/>
                <w:szCs w:val="24"/>
                <w:highlight w:val="none"/>
                <w:shd w:val="clear"/>
                <w:lang w:eastAsia="zh-CN"/>
              </w:rPr>
              <w:t>m</w:t>
            </w:r>
            <w:r>
              <w:rPr>
                <w:rFonts w:hint="default" w:ascii="Times New Roman" w:hAnsi="Times New Roman" w:eastAsia="宋体" w:cs="Times New Roman"/>
                <w:b w:val="0"/>
                <w:bCs w:val="0"/>
                <w:color w:val="auto"/>
                <w:sz w:val="24"/>
                <w:szCs w:val="24"/>
                <w:highlight w:val="none"/>
                <w:shd w:val="clear"/>
                <w:vertAlign w:val="superscript"/>
                <w:lang w:eastAsia="zh-CN"/>
              </w:rPr>
              <w:t>2</w:t>
            </w:r>
            <w:r>
              <w:rPr>
                <w:rFonts w:hint="default" w:ascii="Times New Roman" w:hAnsi="Times New Roman" w:eastAsia="宋体" w:cs="Times New Roman"/>
                <w:b w:val="0"/>
                <w:bCs w:val="0"/>
                <w:color w:val="auto"/>
                <w:sz w:val="24"/>
                <w:szCs w:val="24"/>
                <w:highlight w:val="none"/>
                <w:lang w:eastAsia="zh-CN"/>
              </w:rPr>
              <w:t>，主要建</w:t>
            </w:r>
            <w:r>
              <w:rPr>
                <w:rFonts w:hint="default" w:ascii="Times New Roman" w:hAnsi="Times New Roman" w:eastAsia="宋体" w:cs="Times New Roman"/>
                <w:b w:val="0"/>
                <w:bCs w:val="0"/>
                <w:color w:val="auto"/>
                <w:sz w:val="24"/>
                <w:szCs w:val="24"/>
                <w:lang w:eastAsia="zh-CN"/>
              </w:rPr>
              <w:t>设炭化窑、生产厂房及配套建设生产生活辅助设施</w:t>
            </w:r>
            <w:r>
              <w:rPr>
                <w:rFonts w:hint="default" w:ascii="Times New Roman" w:hAnsi="Times New Roman" w:eastAsia="宋体" w:cs="Times New Roman"/>
                <w:b w:val="0"/>
                <w:bCs w:val="0"/>
                <w:color w:val="auto"/>
                <w:sz w:val="24"/>
                <w:szCs w:val="24"/>
                <w:lang w:val="en-US" w:eastAsia="zh-CN"/>
              </w:rPr>
              <w:t>等</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color w:val="auto"/>
                <w:sz w:val="24"/>
                <w:szCs w:val="24"/>
                <w:highlight w:val="none"/>
              </w:rPr>
              <w:t>项目主要工程内容具体见表</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eastAsia="zh-CN"/>
              </w:rPr>
              <w:t>。</w:t>
            </w:r>
          </w:p>
          <w:p w14:paraId="08CB044A">
            <w:pPr>
              <w:snapToGrid w:val="0"/>
              <w:jc w:val="center"/>
              <w:rPr>
                <w:rFonts w:hint="default" w:ascii="Times New Roman" w:hAnsi="Times New Roman" w:eastAsia="宋体" w:cs="Times New Roman"/>
                <w:color w:val="auto"/>
                <w:sz w:val="24"/>
                <w:szCs w:val="24"/>
                <w:highlight w:val="none"/>
                <w:lang w:eastAsia="zh-CN"/>
              </w:rPr>
            </w:pPr>
            <w:r>
              <w:rPr>
                <w:rFonts w:hAnsi="宋体"/>
                <w:b/>
                <w:color w:val="auto"/>
                <w:sz w:val="24"/>
              </w:rPr>
              <w:t>表</w:t>
            </w:r>
            <w:r>
              <w:rPr>
                <w:rFonts w:hint="eastAsia"/>
                <w:b/>
                <w:color w:val="auto"/>
                <w:sz w:val="24"/>
              </w:rPr>
              <w:t>2</w:t>
            </w:r>
            <w:r>
              <w:rPr>
                <w:b/>
                <w:color w:val="auto"/>
                <w:sz w:val="24"/>
              </w:rPr>
              <w:t>-</w:t>
            </w:r>
            <w:r>
              <w:rPr>
                <w:rFonts w:hint="eastAsia"/>
                <w:b/>
                <w:color w:val="auto"/>
                <w:sz w:val="24"/>
              </w:rPr>
              <w:t>1</w:t>
            </w:r>
            <w:r>
              <w:rPr>
                <w:b/>
                <w:color w:val="auto"/>
                <w:sz w:val="24"/>
              </w:rPr>
              <w:t xml:space="preserve"> </w:t>
            </w:r>
            <w:r>
              <w:rPr>
                <w:rFonts w:hint="eastAsia"/>
                <w:b/>
                <w:color w:val="auto"/>
                <w:sz w:val="24"/>
              </w:rPr>
              <w:t>项目主要</w:t>
            </w:r>
            <w:r>
              <w:rPr>
                <w:b/>
                <w:bCs/>
                <w:color w:val="auto"/>
                <w:sz w:val="24"/>
              </w:rPr>
              <w:t>建设内容</w:t>
            </w:r>
            <w:r>
              <w:rPr>
                <w:rFonts w:hint="eastAsia"/>
                <w:b/>
                <w:bCs/>
                <w:color w:val="auto"/>
                <w:sz w:val="24"/>
              </w:rPr>
              <w:t>一览表</w:t>
            </w:r>
          </w:p>
          <w:tbl>
            <w:tblPr>
              <w:tblStyle w:val="24"/>
              <w:tblW w:w="74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468"/>
              <w:gridCol w:w="1124"/>
              <w:gridCol w:w="3975"/>
              <w:gridCol w:w="1177"/>
            </w:tblGrid>
            <w:tr w14:paraId="76B28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673" w:type="dxa"/>
                  <w:vAlign w:val="center"/>
                </w:tcPr>
                <w:p w14:paraId="7F14F89C">
                  <w:p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工程分类</w:t>
                  </w:r>
                </w:p>
              </w:tc>
              <w:tc>
                <w:tcPr>
                  <w:tcW w:w="1592" w:type="dxa"/>
                  <w:gridSpan w:val="2"/>
                  <w:vAlign w:val="center"/>
                </w:tcPr>
                <w:p w14:paraId="4E86E4C2">
                  <w:p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项目名称</w:t>
                  </w:r>
                </w:p>
              </w:tc>
              <w:tc>
                <w:tcPr>
                  <w:tcW w:w="3975" w:type="dxa"/>
                  <w:vAlign w:val="center"/>
                </w:tcPr>
                <w:p w14:paraId="0506DB6E">
                  <w:p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rPr>
                    <w:t>建设内容</w:t>
                  </w:r>
                </w:p>
              </w:tc>
              <w:tc>
                <w:tcPr>
                  <w:tcW w:w="1177" w:type="dxa"/>
                  <w:vAlign w:val="center"/>
                </w:tcPr>
                <w:p w14:paraId="4C64C884">
                  <w:p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rPr>
                    <w:t>备注</w:t>
                  </w:r>
                </w:p>
              </w:tc>
            </w:tr>
            <w:tr w14:paraId="68686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673" w:type="dxa"/>
                  <w:vMerge w:val="restart"/>
                  <w:vAlign w:val="center"/>
                </w:tcPr>
                <w:p w14:paraId="1094EE85">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主体工程</w:t>
                  </w:r>
                </w:p>
              </w:tc>
              <w:tc>
                <w:tcPr>
                  <w:tcW w:w="1592" w:type="dxa"/>
                  <w:gridSpan w:val="2"/>
                  <w:vAlign w:val="center"/>
                </w:tcPr>
                <w:p w14:paraId="774B4B1B">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lang w:val="en-US" w:eastAsia="zh-CN"/>
                    </w:rPr>
                    <w:t>原料</w:t>
                  </w:r>
                  <w:r>
                    <w:rPr>
                      <w:rFonts w:hint="default" w:ascii="Times New Roman" w:hAnsi="Times New Roman" w:eastAsia="宋体" w:cs="Times New Roman"/>
                      <w:b w:val="0"/>
                      <w:bCs w:val="0"/>
                      <w:color w:val="auto"/>
                      <w:sz w:val="21"/>
                      <w:szCs w:val="21"/>
                      <w:lang w:eastAsia="zh-CN"/>
                    </w:rPr>
                    <w:t>预处理车间</w:t>
                  </w:r>
                </w:p>
              </w:tc>
              <w:tc>
                <w:tcPr>
                  <w:tcW w:w="3975" w:type="dxa"/>
                  <w:vAlign w:val="center"/>
                </w:tcPr>
                <w:p w14:paraId="4147F6E2">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位于项目区东侧，车间建筑面积</w:t>
                  </w:r>
                  <w:r>
                    <w:rPr>
                      <w:rFonts w:hint="default" w:ascii="Times New Roman" w:hAnsi="Times New Roman" w:eastAsia="宋体" w:cs="Times New Roman"/>
                      <w:b w:val="0"/>
                      <w:bCs w:val="0"/>
                      <w:color w:val="auto"/>
                      <w:sz w:val="21"/>
                      <w:szCs w:val="21"/>
                      <w:lang w:val="en-US" w:eastAsia="zh-CN"/>
                    </w:rPr>
                    <w:t>1500</w:t>
                  </w:r>
                  <w:r>
                    <w:rPr>
                      <w:rFonts w:hint="default" w:ascii="Times New Roman" w:hAnsi="Times New Roman" w:eastAsia="宋体" w:cs="Times New Roman"/>
                      <w:b w:val="0"/>
                      <w:bCs w:val="0"/>
                      <w:color w:val="auto"/>
                      <w:sz w:val="21"/>
                      <w:szCs w:val="21"/>
                    </w:rPr>
                    <w:t>m</w:t>
                  </w:r>
                  <w:r>
                    <w:rPr>
                      <w:rFonts w:hint="default" w:ascii="Times New Roman" w:hAnsi="Times New Roman" w:eastAsia="宋体" w:cs="Times New Roman"/>
                      <w:b w:val="0"/>
                      <w:bCs w:val="0"/>
                      <w:color w:val="auto"/>
                      <w:sz w:val="21"/>
                      <w:szCs w:val="21"/>
                      <w:vertAlign w:val="superscript"/>
                    </w:rPr>
                    <w:t>2</w:t>
                  </w:r>
                  <w:r>
                    <w:rPr>
                      <w:rFonts w:hint="default" w:ascii="Times New Roman" w:hAnsi="Times New Roman" w:eastAsia="宋体" w:cs="Times New Roman"/>
                      <w:b w:val="0"/>
                      <w:bCs w:val="0"/>
                      <w:color w:val="auto"/>
                      <w:sz w:val="21"/>
                      <w:szCs w:val="21"/>
                      <w:lang w:val="en-US" w:eastAsia="zh-CN"/>
                    </w:rPr>
                    <w:t>，顶棚为轻钢结构彩钢瓦的半封闭式车间，车间分为</w:t>
                  </w:r>
                  <w:r>
                    <w:rPr>
                      <w:rFonts w:hint="eastAsia" w:cs="Times New Roman"/>
                      <w:b w:val="0"/>
                      <w:bCs w:val="0"/>
                      <w:color w:val="auto"/>
                      <w:sz w:val="21"/>
                      <w:szCs w:val="21"/>
                      <w:lang w:val="en-US" w:eastAsia="zh-CN"/>
                    </w:rPr>
                    <w:t>原料库、筛分区</w:t>
                  </w:r>
                  <w:r>
                    <w:rPr>
                      <w:rFonts w:hint="default" w:ascii="Times New Roman" w:hAnsi="Times New Roman" w:eastAsia="宋体" w:cs="Times New Roman"/>
                      <w:b w:val="0"/>
                      <w:bCs w:val="0"/>
                      <w:color w:val="auto"/>
                      <w:sz w:val="21"/>
                      <w:szCs w:val="21"/>
                      <w:lang w:val="en-US" w:eastAsia="zh-CN"/>
                    </w:rPr>
                    <w:t>、粉碎区、烘干区、制棒区。</w:t>
                  </w:r>
                </w:p>
              </w:tc>
              <w:tc>
                <w:tcPr>
                  <w:tcW w:w="1177" w:type="dxa"/>
                  <w:vAlign w:val="center"/>
                </w:tcPr>
                <w:p w14:paraId="789A5960">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改造现有厂房</w:t>
                  </w:r>
                </w:p>
              </w:tc>
            </w:tr>
            <w:tr w14:paraId="0E8F6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673" w:type="dxa"/>
                  <w:vMerge w:val="continue"/>
                  <w:vAlign w:val="center"/>
                </w:tcPr>
                <w:p w14:paraId="072F416D">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1592" w:type="dxa"/>
                  <w:gridSpan w:val="2"/>
                  <w:vAlign w:val="center"/>
                </w:tcPr>
                <w:p w14:paraId="4AF3751B">
                  <w:pPr>
                    <w:tabs>
                      <w:tab w:val="center" w:pos="1507"/>
                    </w:tabs>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lang w:eastAsia="zh-CN"/>
                    </w:rPr>
                    <w:t>机制炭炭化车间</w:t>
                  </w:r>
                </w:p>
              </w:tc>
              <w:tc>
                <w:tcPr>
                  <w:tcW w:w="3975" w:type="dxa"/>
                  <w:vAlign w:val="center"/>
                </w:tcPr>
                <w:p w14:paraId="56C643B6">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位于项目区西侧，车间建筑面积</w:t>
                  </w:r>
                  <w:r>
                    <w:rPr>
                      <w:rFonts w:hint="default" w:ascii="Times New Roman" w:hAnsi="Times New Roman" w:eastAsia="宋体" w:cs="Times New Roman"/>
                      <w:b w:val="0"/>
                      <w:bCs w:val="0"/>
                      <w:color w:val="auto"/>
                      <w:sz w:val="21"/>
                      <w:szCs w:val="21"/>
                      <w:lang w:val="en-US" w:eastAsia="zh-CN"/>
                    </w:rPr>
                    <w:t>1000</w:t>
                  </w:r>
                  <w:r>
                    <w:rPr>
                      <w:rFonts w:hint="default" w:ascii="Times New Roman" w:hAnsi="Times New Roman" w:eastAsia="宋体" w:cs="Times New Roman"/>
                      <w:b w:val="0"/>
                      <w:bCs w:val="0"/>
                      <w:color w:val="auto"/>
                      <w:sz w:val="21"/>
                      <w:szCs w:val="21"/>
                    </w:rPr>
                    <w:t>m</w:t>
                  </w:r>
                  <w:r>
                    <w:rPr>
                      <w:rFonts w:hint="default" w:ascii="Times New Roman" w:hAnsi="Times New Roman" w:eastAsia="宋体" w:cs="Times New Roman"/>
                      <w:b w:val="0"/>
                      <w:bCs w:val="0"/>
                      <w:color w:val="auto"/>
                      <w:sz w:val="21"/>
                      <w:szCs w:val="21"/>
                      <w:vertAlign w:val="superscript"/>
                    </w:rPr>
                    <w:t>2</w:t>
                  </w:r>
                  <w:r>
                    <w:rPr>
                      <w:rFonts w:hint="default" w:ascii="Times New Roman" w:hAnsi="Times New Roman" w:eastAsia="宋体" w:cs="Times New Roman"/>
                      <w:b w:val="0"/>
                      <w:bCs w:val="0"/>
                      <w:color w:val="auto"/>
                      <w:sz w:val="21"/>
                      <w:szCs w:val="21"/>
                      <w:lang w:val="en-US" w:eastAsia="zh-CN"/>
                    </w:rPr>
                    <w:t>，顶棚为轻钢结构彩钢瓦的半封闭式车间，车间分为炭化区、冷却区、包装区，木醋液、木焦油暂存池。</w:t>
                  </w:r>
                </w:p>
              </w:tc>
              <w:tc>
                <w:tcPr>
                  <w:tcW w:w="1177" w:type="dxa"/>
                  <w:vAlign w:val="center"/>
                </w:tcPr>
                <w:p w14:paraId="684A4780">
                  <w:pPr>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新建</w:t>
                  </w:r>
                </w:p>
              </w:tc>
            </w:tr>
            <w:tr w14:paraId="03A52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673" w:type="dxa"/>
                  <w:vMerge w:val="restart"/>
                  <w:vAlign w:val="center"/>
                </w:tcPr>
                <w:p w14:paraId="0F688F5B">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辅助工程</w:t>
                  </w:r>
                </w:p>
              </w:tc>
              <w:tc>
                <w:tcPr>
                  <w:tcW w:w="1592" w:type="dxa"/>
                  <w:gridSpan w:val="2"/>
                  <w:vAlign w:val="center"/>
                </w:tcPr>
                <w:p w14:paraId="228C1E70">
                  <w:pPr>
                    <w:tabs>
                      <w:tab w:val="center" w:pos="1507"/>
                    </w:tabs>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原料库</w:t>
                  </w:r>
                </w:p>
              </w:tc>
              <w:tc>
                <w:tcPr>
                  <w:tcW w:w="3975" w:type="dxa"/>
                  <w:vAlign w:val="center"/>
                </w:tcPr>
                <w:p w14:paraId="7B707BBC">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eastAsia="zh-CN"/>
                    </w:rPr>
                    <w:t>位于项目</w:t>
                  </w:r>
                  <w:r>
                    <w:rPr>
                      <w:rFonts w:hint="eastAsia" w:cs="Times New Roman"/>
                      <w:b w:val="0"/>
                      <w:bCs w:val="0"/>
                      <w:color w:val="auto"/>
                      <w:sz w:val="21"/>
                      <w:szCs w:val="21"/>
                      <w:lang w:val="en-US" w:eastAsia="zh-CN"/>
                    </w:rPr>
                    <w:t>东</w:t>
                  </w:r>
                  <w:r>
                    <w:rPr>
                      <w:rFonts w:hint="default" w:ascii="Times New Roman" w:hAnsi="Times New Roman" w:eastAsia="宋体" w:cs="Times New Roman"/>
                      <w:b w:val="0"/>
                      <w:bCs w:val="0"/>
                      <w:color w:val="auto"/>
                      <w:sz w:val="21"/>
                      <w:szCs w:val="21"/>
                      <w:lang w:eastAsia="zh-CN"/>
                    </w:rPr>
                    <w:t>南侧，建筑面积</w:t>
                  </w:r>
                  <w:r>
                    <w:rPr>
                      <w:rFonts w:hint="default" w:ascii="Times New Roman" w:hAnsi="Times New Roman" w:eastAsia="宋体" w:cs="Times New Roman"/>
                      <w:b w:val="0"/>
                      <w:bCs w:val="0"/>
                      <w:color w:val="auto"/>
                      <w:sz w:val="21"/>
                      <w:szCs w:val="21"/>
                      <w:lang w:val="en-US" w:eastAsia="zh-CN"/>
                    </w:rPr>
                    <w:t>500</w:t>
                  </w:r>
                  <w:r>
                    <w:rPr>
                      <w:rFonts w:hint="default" w:ascii="Times New Roman" w:hAnsi="Times New Roman" w:eastAsia="宋体" w:cs="Times New Roman"/>
                      <w:b w:val="0"/>
                      <w:bCs w:val="0"/>
                      <w:color w:val="auto"/>
                      <w:sz w:val="21"/>
                      <w:szCs w:val="21"/>
                    </w:rPr>
                    <w:t>m</w:t>
                  </w:r>
                  <w:r>
                    <w:rPr>
                      <w:rFonts w:hint="default" w:ascii="Times New Roman" w:hAnsi="Times New Roman" w:eastAsia="宋体" w:cs="Times New Roman"/>
                      <w:b w:val="0"/>
                      <w:bCs w:val="0"/>
                      <w:color w:val="auto"/>
                      <w:sz w:val="21"/>
                      <w:szCs w:val="21"/>
                      <w:vertAlign w:val="superscript"/>
                    </w:rPr>
                    <w:t>2</w:t>
                  </w:r>
                  <w:r>
                    <w:rPr>
                      <w:rFonts w:hint="eastAsia" w:cs="Times New Roman"/>
                      <w:b w:val="0"/>
                      <w:bCs w:val="0"/>
                      <w:color w:val="auto"/>
                      <w:sz w:val="21"/>
                      <w:szCs w:val="21"/>
                      <w:lang w:val="en-US" w:eastAsia="zh-CN"/>
                    </w:rPr>
                    <w:t>，主要用于原料暂存</w:t>
                  </w:r>
                </w:p>
              </w:tc>
              <w:tc>
                <w:tcPr>
                  <w:tcW w:w="1177" w:type="dxa"/>
                  <w:vAlign w:val="center"/>
                </w:tcPr>
                <w:p w14:paraId="36CD9DBE">
                  <w:pPr>
                    <w:spacing w:line="240" w:lineRule="auto"/>
                    <w:jc w:val="center"/>
                    <w:rPr>
                      <w:rFonts w:hint="default" w:ascii="Times New Roman" w:hAnsi="Times New Roman" w:eastAsia="宋体" w:cs="Times New Roman"/>
                      <w:b w:val="0"/>
                      <w:bCs w:val="0"/>
                      <w:color w:val="auto"/>
                      <w:sz w:val="21"/>
                      <w:szCs w:val="21"/>
                      <w:lang w:eastAsia="zh-CN"/>
                    </w:rPr>
                  </w:pPr>
                </w:p>
              </w:tc>
            </w:tr>
            <w:tr w14:paraId="4C07A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673" w:type="dxa"/>
                  <w:vMerge w:val="continue"/>
                  <w:vAlign w:val="center"/>
                </w:tcPr>
                <w:p w14:paraId="6621FB96">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1592" w:type="dxa"/>
                  <w:gridSpan w:val="2"/>
                  <w:vAlign w:val="center"/>
                </w:tcPr>
                <w:p w14:paraId="5ADF79EF">
                  <w:pPr>
                    <w:tabs>
                      <w:tab w:val="center" w:pos="1507"/>
                    </w:tabs>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成品仓</w:t>
                  </w:r>
                </w:p>
              </w:tc>
              <w:tc>
                <w:tcPr>
                  <w:tcW w:w="3975" w:type="dxa"/>
                  <w:vAlign w:val="center"/>
                </w:tcPr>
                <w:p w14:paraId="2668A8C8">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eastAsia="zh-CN"/>
                    </w:rPr>
                    <w:t>位于项目西南侧，</w:t>
                  </w:r>
                  <w:r>
                    <w:rPr>
                      <w:rFonts w:hint="default" w:ascii="Times New Roman" w:hAnsi="Times New Roman" w:eastAsia="宋体" w:cs="Times New Roman"/>
                      <w:b w:val="0"/>
                      <w:bCs w:val="0"/>
                      <w:color w:val="auto"/>
                      <w:sz w:val="21"/>
                      <w:szCs w:val="21"/>
                    </w:rPr>
                    <w:t>建筑面积</w:t>
                  </w:r>
                  <w:r>
                    <w:rPr>
                      <w:rFonts w:hint="default" w:ascii="Times New Roman" w:hAnsi="Times New Roman" w:eastAsia="宋体" w:cs="Times New Roman"/>
                      <w:b w:val="0"/>
                      <w:bCs w:val="0"/>
                      <w:color w:val="auto"/>
                      <w:sz w:val="21"/>
                      <w:szCs w:val="21"/>
                      <w:lang w:val="en-US" w:eastAsia="zh-CN"/>
                    </w:rPr>
                    <w:t>500</w:t>
                  </w:r>
                  <w:r>
                    <w:rPr>
                      <w:rFonts w:hint="default" w:ascii="Times New Roman" w:hAnsi="Times New Roman" w:eastAsia="宋体" w:cs="Times New Roman"/>
                      <w:b w:val="0"/>
                      <w:bCs w:val="0"/>
                      <w:color w:val="auto"/>
                      <w:sz w:val="21"/>
                      <w:szCs w:val="21"/>
                    </w:rPr>
                    <w:t>m</w:t>
                  </w:r>
                  <w:r>
                    <w:rPr>
                      <w:rFonts w:hint="default" w:ascii="Times New Roman" w:hAnsi="Times New Roman" w:eastAsia="宋体" w:cs="Times New Roman"/>
                      <w:b w:val="0"/>
                      <w:bCs w:val="0"/>
                      <w:color w:val="auto"/>
                      <w:sz w:val="21"/>
                      <w:szCs w:val="21"/>
                      <w:vertAlign w:val="superscript"/>
                    </w:rPr>
                    <w:t>2</w:t>
                  </w:r>
                  <w:r>
                    <w:rPr>
                      <w:rFonts w:hint="default" w:ascii="Times New Roman" w:hAnsi="Times New Roman" w:eastAsia="宋体" w:cs="Times New Roman"/>
                      <w:b w:val="0"/>
                      <w:bCs w:val="0"/>
                      <w:color w:val="auto"/>
                      <w:sz w:val="21"/>
                      <w:szCs w:val="21"/>
                    </w:rPr>
                    <w:t>，</w:t>
                  </w:r>
                  <w:r>
                    <w:rPr>
                      <w:rFonts w:hint="eastAsia" w:cs="Times New Roman"/>
                      <w:b w:val="0"/>
                      <w:bCs w:val="0"/>
                      <w:color w:val="auto"/>
                      <w:sz w:val="21"/>
                      <w:szCs w:val="21"/>
                      <w:lang w:val="en-US" w:eastAsia="zh-CN"/>
                    </w:rPr>
                    <w:t>主要用于产品暂存</w:t>
                  </w:r>
                </w:p>
              </w:tc>
              <w:tc>
                <w:tcPr>
                  <w:tcW w:w="1177" w:type="dxa"/>
                  <w:vAlign w:val="center"/>
                </w:tcPr>
                <w:p w14:paraId="62B3B97A">
                  <w:pPr>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新建</w:t>
                  </w:r>
                </w:p>
              </w:tc>
            </w:tr>
            <w:tr w14:paraId="06516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673" w:type="dxa"/>
                  <w:vMerge w:val="continue"/>
                  <w:vAlign w:val="center"/>
                </w:tcPr>
                <w:p w14:paraId="20DDB46C">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1592" w:type="dxa"/>
                  <w:gridSpan w:val="2"/>
                  <w:vAlign w:val="center"/>
                </w:tcPr>
                <w:p w14:paraId="640598AB">
                  <w:pPr>
                    <w:tabs>
                      <w:tab w:val="center" w:pos="1507"/>
                    </w:tabs>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其他辅助设施</w:t>
                  </w:r>
                </w:p>
              </w:tc>
              <w:tc>
                <w:tcPr>
                  <w:tcW w:w="3975" w:type="dxa"/>
                  <w:vAlign w:val="center"/>
                </w:tcPr>
                <w:p w14:paraId="361980CF">
                  <w:pPr>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其他辅助设施为配电室、门卫室、机修室、杂物间等，建筑面积约60m</w:t>
                  </w:r>
                  <w:r>
                    <w:rPr>
                      <w:rFonts w:hint="default" w:ascii="Times New Roman" w:hAnsi="Times New Roman" w:eastAsia="宋体" w:cs="Times New Roman"/>
                      <w:b w:val="0"/>
                      <w:bCs w:val="0"/>
                      <w:color w:val="auto"/>
                      <w:sz w:val="21"/>
                      <w:szCs w:val="21"/>
                      <w:vertAlign w:val="superscript"/>
                    </w:rPr>
                    <w:t>2</w:t>
                  </w:r>
                </w:p>
              </w:tc>
              <w:tc>
                <w:tcPr>
                  <w:tcW w:w="1177" w:type="dxa"/>
                  <w:vAlign w:val="center"/>
                </w:tcPr>
                <w:p w14:paraId="4DBA5047">
                  <w:pPr>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新建</w:t>
                  </w:r>
                </w:p>
              </w:tc>
            </w:tr>
            <w:tr w14:paraId="72A60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673" w:type="dxa"/>
                  <w:vMerge w:val="continue"/>
                  <w:vAlign w:val="center"/>
                </w:tcPr>
                <w:p w14:paraId="7C1CED8C">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1592" w:type="dxa"/>
                  <w:gridSpan w:val="2"/>
                  <w:vAlign w:val="center"/>
                </w:tcPr>
                <w:p w14:paraId="1446256F">
                  <w:pPr>
                    <w:tabs>
                      <w:tab w:val="center" w:pos="1507"/>
                    </w:tabs>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危废间</w:t>
                  </w:r>
                </w:p>
              </w:tc>
              <w:tc>
                <w:tcPr>
                  <w:tcW w:w="3975" w:type="dxa"/>
                  <w:vAlign w:val="center"/>
                </w:tcPr>
                <w:p w14:paraId="1019DC02">
                  <w:pPr>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位于项目区西南侧</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sz w:val="21"/>
                      <w:szCs w:val="21"/>
                      <w:lang w:eastAsia="zh-CN"/>
                    </w:rPr>
                    <w:t>原料库旁，</w:t>
                  </w:r>
                  <w:r>
                    <w:rPr>
                      <w:rFonts w:hint="default" w:ascii="Times New Roman" w:hAnsi="Times New Roman" w:eastAsia="宋体" w:cs="Times New Roman"/>
                      <w:b w:val="0"/>
                      <w:bCs w:val="0"/>
                      <w:color w:val="auto"/>
                      <w:sz w:val="21"/>
                      <w:szCs w:val="21"/>
                    </w:rPr>
                    <w:t>建筑面积10m</w:t>
                  </w:r>
                  <w:r>
                    <w:rPr>
                      <w:rFonts w:hint="default" w:ascii="Times New Roman" w:hAnsi="Times New Roman" w:eastAsia="宋体" w:cs="Times New Roman"/>
                      <w:b w:val="0"/>
                      <w:bCs w:val="0"/>
                      <w:color w:val="auto"/>
                      <w:sz w:val="21"/>
                      <w:szCs w:val="21"/>
                      <w:vertAlign w:val="superscript"/>
                    </w:rPr>
                    <w:t>2</w:t>
                  </w:r>
                </w:p>
              </w:tc>
              <w:tc>
                <w:tcPr>
                  <w:tcW w:w="1177" w:type="dxa"/>
                  <w:vAlign w:val="center"/>
                </w:tcPr>
                <w:p w14:paraId="00F5264C">
                  <w:pPr>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新建</w:t>
                  </w:r>
                </w:p>
              </w:tc>
            </w:tr>
            <w:tr w14:paraId="290EA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673" w:type="dxa"/>
                  <w:vMerge w:val="restart"/>
                  <w:vAlign w:val="center"/>
                </w:tcPr>
                <w:p w14:paraId="1EF3BD48">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公用工程</w:t>
                  </w:r>
                </w:p>
              </w:tc>
              <w:tc>
                <w:tcPr>
                  <w:tcW w:w="1592" w:type="dxa"/>
                  <w:gridSpan w:val="2"/>
                  <w:vAlign w:val="center"/>
                </w:tcPr>
                <w:p w14:paraId="69957519">
                  <w:pPr>
                    <w:tabs>
                      <w:tab w:val="center" w:pos="1507"/>
                    </w:tabs>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给水系统</w:t>
                  </w:r>
                </w:p>
              </w:tc>
              <w:tc>
                <w:tcPr>
                  <w:tcW w:w="3975" w:type="dxa"/>
                  <w:vAlign w:val="center"/>
                </w:tcPr>
                <w:p w14:paraId="14BF791E">
                  <w:pPr>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依托已有供水系统，取自附近村庄的供水管网，可以满足生产生活需求</w:t>
                  </w:r>
                </w:p>
              </w:tc>
              <w:tc>
                <w:tcPr>
                  <w:tcW w:w="1177" w:type="dxa"/>
                  <w:vAlign w:val="center"/>
                </w:tcPr>
                <w:p w14:paraId="0CB0663D">
                  <w:pPr>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沿用</w:t>
                  </w:r>
                </w:p>
              </w:tc>
            </w:tr>
            <w:tr w14:paraId="7994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673" w:type="dxa"/>
                  <w:vMerge w:val="continue"/>
                  <w:vAlign w:val="center"/>
                </w:tcPr>
                <w:p w14:paraId="087347C6">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1592" w:type="dxa"/>
                  <w:gridSpan w:val="2"/>
                  <w:vAlign w:val="center"/>
                </w:tcPr>
                <w:p w14:paraId="520AE0D3">
                  <w:pPr>
                    <w:tabs>
                      <w:tab w:val="center" w:pos="1507"/>
                    </w:tabs>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排水系统</w:t>
                  </w:r>
                </w:p>
              </w:tc>
              <w:tc>
                <w:tcPr>
                  <w:tcW w:w="3975" w:type="dxa"/>
                  <w:vAlign w:val="center"/>
                </w:tcPr>
                <w:p w14:paraId="39F30D15">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采用雨污分流；生活污水经隔油池、三级化粪池处理后用于农田、果园、林地等</w:t>
                  </w:r>
                  <w:r>
                    <w:rPr>
                      <w:rFonts w:hint="eastAsia" w:cs="Times New Roman"/>
                      <w:b w:val="0"/>
                      <w:bCs w:val="0"/>
                      <w:color w:val="auto"/>
                      <w:sz w:val="21"/>
                      <w:szCs w:val="21"/>
                      <w:lang w:val="en-US" w:eastAsia="zh-CN"/>
                    </w:rPr>
                    <w:t>做农肥</w:t>
                  </w:r>
                </w:p>
              </w:tc>
              <w:tc>
                <w:tcPr>
                  <w:tcW w:w="1177" w:type="dxa"/>
                  <w:vAlign w:val="center"/>
                </w:tcPr>
                <w:p w14:paraId="34A0EC72">
                  <w:pPr>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依托改造</w:t>
                  </w:r>
                </w:p>
              </w:tc>
            </w:tr>
            <w:tr w14:paraId="180BB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673" w:type="dxa"/>
                  <w:vMerge w:val="continue"/>
                  <w:vAlign w:val="center"/>
                </w:tcPr>
                <w:p w14:paraId="3D0E1501">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1592" w:type="dxa"/>
                  <w:gridSpan w:val="2"/>
                  <w:vAlign w:val="center"/>
                </w:tcPr>
                <w:p w14:paraId="73AE3203">
                  <w:pPr>
                    <w:tabs>
                      <w:tab w:val="center" w:pos="1507"/>
                    </w:tabs>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供电系统</w:t>
                  </w:r>
                </w:p>
              </w:tc>
              <w:tc>
                <w:tcPr>
                  <w:tcW w:w="3975" w:type="dxa"/>
                  <w:vAlign w:val="center"/>
                </w:tcPr>
                <w:p w14:paraId="45D6ED9A">
                  <w:pPr>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由当地的供电网统一供电</w:t>
                  </w:r>
                </w:p>
              </w:tc>
              <w:tc>
                <w:tcPr>
                  <w:tcW w:w="1177" w:type="dxa"/>
                  <w:vAlign w:val="center"/>
                </w:tcPr>
                <w:p w14:paraId="540D6780">
                  <w:pPr>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沿用</w:t>
                  </w:r>
                </w:p>
              </w:tc>
            </w:tr>
            <w:tr w14:paraId="363C8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673" w:type="dxa"/>
                  <w:vMerge w:val="restart"/>
                  <w:vAlign w:val="center"/>
                </w:tcPr>
                <w:p w14:paraId="46DA73DC">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环保工程</w:t>
                  </w:r>
                </w:p>
              </w:tc>
              <w:tc>
                <w:tcPr>
                  <w:tcW w:w="468" w:type="dxa"/>
                  <w:vMerge w:val="restart"/>
                  <w:vAlign w:val="center"/>
                </w:tcPr>
                <w:p w14:paraId="0E33F974">
                  <w:pPr>
                    <w:tabs>
                      <w:tab w:val="center" w:pos="1507"/>
                    </w:tabs>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废水</w:t>
                  </w:r>
                </w:p>
              </w:tc>
              <w:tc>
                <w:tcPr>
                  <w:tcW w:w="1124" w:type="dxa"/>
                  <w:vAlign w:val="center"/>
                </w:tcPr>
                <w:p w14:paraId="6DC99F4D">
                  <w:pPr>
                    <w:tabs>
                      <w:tab w:val="center" w:pos="1507"/>
                    </w:tabs>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雨污分流</w:t>
                  </w:r>
                </w:p>
              </w:tc>
              <w:tc>
                <w:tcPr>
                  <w:tcW w:w="3975" w:type="dxa"/>
                  <w:vAlign w:val="center"/>
                </w:tcPr>
                <w:p w14:paraId="112CF58A">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采用雨污分流，雨水经收集后排入周边水体，生活污水经三级化粪池处理后用于农田、果园、林地等</w:t>
                  </w:r>
                  <w:r>
                    <w:rPr>
                      <w:rFonts w:hint="eastAsia" w:cs="Times New Roman"/>
                      <w:b w:val="0"/>
                      <w:bCs w:val="0"/>
                      <w:color w:val="auto"/>
                      <w:sz w:val="21"/>
                      <w:szCs w:val="21"/>
                      <w:lang w:val="en-US" w:eastAsia="zh-CN"/>
                    </w:rPr>
                    <w:t>做农肥</w:t>
                  </w:r>
                </w:p>
              </w:tc>
              <w:tc>
                <w:tcPr>
                  <w:tcW w:w="1177" w:type="dxa"/>
                  <w:vAlign w:val="center"/>
                </w:tcPr>
                <w:p w14:paraId="1C9C488C">
                  <w:pPr>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环评提出</w:t>
                  </w:r>
                </w:p>
              </w:tc>
            </w:tr>
            <w:tr w14:paraId="60FFA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673" w:type="dxa"/>
                  <w:vMerge w:val="continue"/>
                  <w:vAlign w:val="center"/>
                </w:tcPr>
                <w:p w14:paraId="34DC3727">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468" w:type="dxa"/>
                  <w:vMerge w:val="continue"/>
                  <w:vAlign w:val="center"/>
                </w:tcPr>
                <w:p w14:paraId="65401C73">
                  <w:pPr>
                    <w:tabs>
                      <w:tab w:val="center" w:pos="1507"/>
                    </w:tabs>
                    <w:spacing w:line="240" w:lineRule="auto"/>
                    <w:jc w:val="center"/>
                    <w:rPr>
                      <w:rFonts w:hint="default" w:ascii="Times New Roman" w:hAnsi="Times New Roman" w:eastAsia="宋体" w:cs="Times New Roman"/>
                      <w:b w:val="0"/>
                      <w:bCs w:val="0"/>
                      <w:color w:val="auto"/>
                      <w:sz w:val="21"/>
                      <w:szCs w:val="21"/>
                      <w:lang w:eastAsia="zh-CN"/>
                    </w:rPr>
                  </w:pPr>
                </w:p>
              </w:tc>
              <w:tc>
                <w:tcPr>
                  <w:tcW w:w="1124" w:type="dxa"/>
                  <w:vAlign w:val="center"/>
                </w:tcPr>
                <w:p w14:paraId="681A3767">
                  <w:pPr>
                    <w:tabs>
                      <w:tab w:val="center" w:pos="1507"/>
                    </w:tabs>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办公区</w:t>
                  </w:r>
                </w:p>
              </w:tc>
              <w:tc>
                <w:tcPr>
                  <w:tcW w:w="3975" w:type="dxa"/>
                  <w:vAlign w:val="center"/>
                </w:tcPr>
                <w:p w14:paraId="6808ECC3">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eastAsia="zh-CN"/>
                    </w:rPr>
                    <w:t>办公区污水经化粪池处理后清掏</w:t>
                  </w:r>
                  <w:r>
                    <w:rPr>
                      <w:rFonts w:hint="eastAsia" w:cs="Times New Roman"/>
                      <w:b w:val="0"/>
                      <w:bCs w:val="0"/>
                      <w:color w:val="auto"/>
                      <w:sz w:val="21"/>
                      <w:szCs w:val="21"/>
                      <w:lang w:val="en-US" w:eastAsia="zh-CN"/>
                    </w:rPr>
                    <w:t>做农肥</w:t>
                  </w:r>
                </w:p>
              </w:tc>
              <w:tc>
                <w:tcPr>
                  <w:tcW w:w="1177" w:type="dxa"/>
                  <w:vAlign w:val="center"/>
                </w:tcPr>
                <w:p w14:paraId="2EE6CA5C">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环评提出</w:t>
                  </w:r>
                </w:p>
              </w:tc>
            </w:tr>
            <w:tr w14:paraId="53165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673" w:type="dxa"/>
                  <w:vMerge w:val="continue"/>
                  <w:vAlign w:val="center"/>
                </w:tcPr>
                <w:p w14:paraId="589BAE63">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468" w:type="dxa"/>
                  <w:vMerge w:val="restart"/>
                  <w:vAlign w:val="center"/>
                </w:tcPr>
                <w:p w14:paraId="50A2DE42">
                  <w:pPr>
                    <w:tabs>
                      <w:tab w:val="center" w:pos="1507"/>
                    </w:tabs>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废气</w:t>
                  </w:r>
                </w:p>
              </w:tc>
              <w:tc>
                <w:tcPr>
                  <w:tcW w:w="1124" w:type="dxa"/>
                  <w:vAlign w:val="center"/>
                </w:tcPr>
                <w:p w14:paraId="564C99A8">
                  <w:pPr>
                    <w:adjustRightInd w:val="0"/>
                    <w:snapToGrid w:val="0"/>
                    <w:jc w:val="center"/>
                    <w:rPr>
                      <w:rFonts w:hint="eastAsia" w:ascii="宋体" w:hAnsi="宋体" w:eastAsia="宋体" w:cs="宋体"/>
                      <w:b w:val="0"/>
                      <w:bCs w:val="0"/>
                      <w:color w:val="auto"/>
                      <w:sz w:val="21"/>
                      <w:szCs w:val="21"/>
                    </w:rPr>
                  </w:pPr>
                  <w:r>
                    <w:rPr>
                      <w:rFonts w:hint="eastAsia"/>
                      <w:color w:val="auto"/>
                      <w:szCs w:val="21"/>
                    </w:rPr>
                    <w:t>上料、筛分废气</w:t>
                  </w:r>
                </w:p>
              </w:tc>
              <w:tc>
                <w:tcPr>
                  <w:tcW w:w="3975" w:type="dxa"/>
                  <w:vAlign w:val="center"/>
                </w:tcPr>
                <w:p w14:paraId="56BF35B7">
                  <w:pPr>
                    <w:adjustRightInd w:val="0"/>
                    <w:snapToGrid w:val="0"/>
                    <w:jc w:val="center"/>
                    <w:rPr>
                      <w:rFonts w:hint="eastAsia" w:ascii="宋体" w:hAnsi="宋体" w:eastAsia="宋体" w:cs="宋体"/>
                      <w:b w:val="0"/>
                      <w:bCs w:val="0"/>
                      <w:color w:val="auto"/>
                      <w:sz w:val="21"/>
                      <w:szCs w:val="21"/>
                    </w:rPr>
                  </w:pPr>
                  <w:r>
                    <w:rPr>
                      <w:rFonts w:hint="eastAsia"/>
                      <w:color w:val="auto"/>
                      <w:szCs w:val="21"/>
                    </w:rPr>
                    <w:t>设置绞龙进行上料，设置筛分滚筒机，将筛分后的物料直接进入烘干机，筛分固废作为燃料使用，上料、筛分物料水分高，设置在半封闭生产车间内，少量筛分废气以无组织形式外排</w:t>
                  </w:r>
                </w:p>
              </w:tc>
              <w:tc>
                <w:tcPr>
                  <w:tcW w:w="1177" w:type="dxa"/>
                  <w:vAlign w:val="center"/>
                </w:tcPr>
                <w:p w14:paraId="39DC7C46">
                  <w:pPr>
                    <w:adjustRightInd w:val="0"/>
                    <w:snapToGrid w:val="0"/>
                    <w:jc w:val="center"/>
                    <w:rPr>
                      <w:rFonts w:hint="eastAsia" w:ascii="宋体" w:hAnsi="宋体" w:eastAsia="宋体" w:cs="宋体"/>
                      <w:b w:val="0"/>
                      <w:bCs w:val="0"/>
                      <w:color w:val="auto"/>
                      <w:sz w:val="21"/>
                      <w:szCs w:val="21"/>
                    </w:rPr>
                  </w:pPr>
                  <w:r>
                    <w:rPr>
                      <w:rFonts w:hint="eastAsia"/>
                      <w:color w:val="auto"/>
                      <w:szCs w:val="21"/>
                    </w:rPr>
                    <w:t>环评提出</w:t>
                  </w:r>
                </w:p>
              </w:tc>
            </w:tr>
            <w:tr w14:paraId="5A63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673" w:type="dxa"/>
                  <w:vMerge w:val="continue"/>
                  <w:vAlign w:val="center"/>
                </w:tcPr>
                <w:p w14:paraId="0A3288DF">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468" w:type="dxa"/>
                  <w:vMerge w:val="continue"/>
                  <w:vAlign w:val="center"/>
                </w:tcPr>
                <w:p w14:paraId="52D0AD3B">
                  <w:pPr>
                    <w:tabs>
                      <w:tab w:val="center" w:pos="1507"/>
                    </w:tabs>
                    <w:spacing w:line="240" w:lineRule="auto"/>
                    <w:jc w:val="center"/>
                    <w:rPr>
                      <w:rFonts w:hint="default" w:ascii="Times New Roman" w:hAnsi="Times New Roman" w:eastAsia="宋体" w:cs="Times New Roman"/>
                      <w:b w:val="0"/>
                      <w:bCs w:val="0"/>
                      <w:color w:val="auto"/>
                      <w:sz w:val="21"/>
                      <w:szCs w:val="21"/>
                      <w:lang w:eastAsia="zh-CN"/>
                    </w:rPr>
                  </w:pPr>
                </w:p>
              </w:tc>
              <w:tc>
                <w:tcPr>
                  <w:tcW w:w="1124" w:type="dxa"/>
                  <w:vAlign w:val="center"/>
                </w:tcPr>
                <w:p w14:paraId="6DD79FEE">
                  <w:pPr>
                    <w:tabs>
                      <w:tab w:val="center" w:pos="1507"/>
                    </w:tabs>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烘干、制棒</w:t>
                  </w:r>
                  <w:r>
                    <w:rPr>
                      <w:rFonts w:hint="default" w:ascii="Times New Roman" w:hAnsi="Times New Roman" w:eastAsia="宋体" w:cs="Times New Roman"/>
                      <w:b w:val="0"/>
                      <w:bCs w:val="0"/>
                      <w:color w:val="auto"/>
                      <w:sz w:val="21"/>
                      <w:szCs w:val="21"/>
                    </w:rPr>
                    <w:t>废气</w:t>
                  </w:r>
                </w:p>
              </w:tc>
              <w:tc>
                <w:tcPr>
                  <w:tcW w:w="3975" w:type="dxa"/>
                  <w:vAlign w:val="top"/>
                </w:tcPr>
                <w:p w14:paraId="07C16C4D">
                  <w:pPr>
                    <w:spacing w:line="240" w:lineRule="auto"/>
                    <w:jc w:val="both"/>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制棒</w:t>
                  </w:r>
                  <w:r>
                    <w:rPr>
                      <w:rFonts w:hint="default" w:ascii="Times New Roman" w:hAnsi="Times New Roman" w:eastAsia="宋体" w:cs="Times New Roman"/>
                      <w:b w:val="0"/>
                      <w:bCs w:val="0"/>
                      <w:color w:val="auto"/>
                      <w:sz w:val="21"/>
                      <w:szCs w:val="21"/>
                    </w:rPr>
                    <w:t>废气经管道收集后</w:t>
                  </w:r>
                  <w:r>
                    <w:rPr>
                      <w:rFonts w:hint="default" w:ascii="Times New Roman" w:hAnsi="Times New Roman" w:eastAsia="宋体" w:cs="Times New Roman"/>
                      <w:b w:val="0"/>
                      <w:bCs w:val="0"/>
                      <w:color w:val="auto"/>
                      <w:sz w:val="21"/>
                      <w:szCs w:val="21"/>
                      <w:lang w:eastAsia="zh-CN"/>
                    </w:rPr>
                    <w:t>引入热风炉燃烧，同烘干废气一起</w:t>
                  </w:r>
                  <w:r>
                    <w:rPr>
                      <w:rFonts w:hint="default" w:ascii="Times New Roman" w:hAnsi="Times New Roman" w:eastAsia="宋体" w:cs="Times New Roman"/>
                      <w:b w:val="0"/>
                      <w:bCs w:val="0"/>
                      <w:color w:val="auto"/>
                      <w:sz w:val="21"/>
                      <w:szCs w:val="21"/>
                    </w:rPr>
                    <w:t>进入</w:t>
                  </w:r>
                  <w:r>
                    <w:rPr>
                      <w:rFonts w:hint="default" w:ascii="Times New Roman" w:hAnsi="Times New Roman" w:eastAsia="宋体" w:cs="Times New Roman"/>
                      <w:b w:val="0"/>
                      <w:bCs w:val="0"/>
                      <w:color w:val="auto"/>
                      <w:sz w:val="21"/>
                      <w:szCs w:val="21"/>
                      <w:lang w:eastAsia="zh-CN"/>
                    </w:rPr>
                    <w:t>“袋式除尘器”</w:t>
                  </w:r>
                  <w:r>
                    <w:rPr>
                      <w:rFonts w:hint="default" w:ascii="Times New Roman" w:hAnsi="Times New Roman" w:eastAsia="宋体" w:cs="Times New Roman"/>
                      <w:b w:val="0"/>
                      <w:bCs w:val="0"/>
                      <w:color w:val="auto"/>
                      <w:sz w:val="21"/>
                      <w:szCs w:val="21"/>
                    </w:rPr>
                    <w:t>处理后，通过</w:t>
                  </w:r>
                  <w:r>
                    <w:rPr>
                      <w:rFonts w:hint="default" w:ascii="Times New Roman" w:hAnsi="Times New Roman" w:eastAsia="宋体" w:cs="Times New Roman"/>
                      <w:b w:val="0"/>
                      <w:bCs w:val="0"/>
                      <w:color w:val="auto"/>
                      <w:sz w:val="21"/>
                      <w:szCs w:val="21"/>
                      <w:lang w:val="en-US" w:eastAsia="zh-CN"/>
                    </w:rPr>
                    <w:t>1</w:t>
                  </w:r>
                  <w:r>
                    <w:rPr>
                      <w:rFonts w:hint="default" w:ascii="Times New Roman" w:hAnsi="Times New Roman" w:eastAsia="宋体" w:cs="Times New Roman"/>
                      <w:b w:val="0"/>
                      <w:bCs w:val="0"/>
                      <w:color w:val="auto"/>
                      <w:sz w:val="21"/>
                      <w:szCs w:val="21"/>
                    </w:rPr>
                    <w:t>根15m高排气筒</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DA001</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排放</w:t>
                  </w:r>
                  <w:r>
                    <w:rPr>
                      <w:rFonts w:hint="default" w:ascii="Times New Roman" w:hAnsi="Times New Roman" w:eastAsia="宋体" w:cs="Times New Roman"/>
                      <w:b w:val="0"/>
                      <w:bCs w:val="0"/>
                      <w:color w:val="auto"/>
                      <w:sz w:val="21"/>
                      <w:szCs w:val="21"/>
                      <w:lang w:eastAsia="zh-CN"/>
                    </w:rPr>
                    <w:t>。</w:t>
                  </w:r>
                </w:p>
              </w:tc>
              <w:tc>
                <w:tcPr>
                  <w:tcW w:w="1177" w:type="dxa"/>
                  <w:vAlign w:val="center"/>
                </w:tcPr>
                <w:p w14:paraId="0C43A841">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环评提出</w:t>
                  </w:r>
                </w:p>
              </w:tc>
            </w:tr>
            <w:tr w14:paraId="3FA04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vMerge w:val="continue"/>
                  <w:vAlign w:val="center"/>
                </w:tcPr>
                <w:p w14:paraId="5DF5632D">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468" w:type="dxa"/>
                  <w:vMerge w:val="continue"/>
                  <w:vAlign w:val="center"/>
                </w:tcPr>
                <w:p w14:paraId="43B95876">
                  <w:pPr>
                    <w:tabs>
                      <w:tab w:val="center" w:pos="1507"/>
                    </w:tabs>
                    <w:spacing w:line="240" w:lineRule="auto"/>
                    <w:jc w:val="center"/>
                    <w:rPr>
                      <w:rFonts w:hint="default" w:ascii="Times New Roman" w:hAnsi="Times New Roman" w:eastAsia="宋体" w:cs="Times New Roman"/>
                      <w:b w:val="0"/>
                      <w:bCs w:val="0"/>
                      <w:color w:val="auto"/>
                      <w:sz w:val="21"/>
                      <w:szCs w:val="21"/>
                      <w:lang w:eastAsia="zh-CN"/>
                    </w:rPr>
                  </w:pPr>
                </w:p>
              </w:tc>
              <w:tc>
                <w:tcPr>
                  <w:tcW w:w="1124" w:type="dxa"/>
                  <w:vAlign w:val="center"/>
                </w:tcPr>
                <w:p w14:paraId="6BB1AC84">
                  <w:pPr>
                    <w:tabs>
                      <w:tab w:val="center" w:pos="1507"/>
                    </w:tabs>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炭化废气</w:t>
                  </w:r>
                </w:p>
              </w:tc>
              <w:tc>
                <w:tcPr>
                  <w:tcW w:w="3975" w:type="dxa"/>
                  <w:vAlign w:val="top"/>
                </w:tcPr>
                <w:p w14:paraId="181BE823">
                  <w:pPr>
                    <w:pStyle w:val="12"/>
                    <w:widowControl w:val="0"/>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color w:val="FF0000"/>
                      <w:sz w:val="21"/>
                      <w:szCs w:val="21"/>
                      <w:lang w:val="en-US" w:eastAsia="zh-CN"/>
                    </w:rPr>
                    <w:t>项</w:t>
                  </w:r>
                  <w:r>
                    <w:rPr>
                      <w:rFonts w:hint="default" w:ascii="Times New Roman" w:hAnsi="Times New Roman" w:eastAsia="宋体" w:cs="Times New Roman"/>
                      <w:color w:val="FF0000"/>
                      <w:sz w:val="21"/>
                      <w:szCs w:val="21"/>
                    </w:rPr>
                    <w:t>目24小时持续运行</w:t>
                  </w:r>
                  <w:r>
                    <w:rPr>
                      <w:rFonts w:hint="default" w:ascii="Times New Roman" w:hAnsi="Times New Roman" w:eastAsia="宋体" w:cs="Times New Roman"/>
                      <w:color w:val="FF0000"/>
                      <w:sz w:val="21"/>
                      <w:szCs w:val="21"/>
                      <w:lang w:eastAsia="zh-CN"/>
                    </w:rPr>
                    <w:t>，</w:t>
                  </w:r>
                  <w:r>
                    <w:rPr>
                      <w:rFonts w:hint="default" w:ascii="Times New Roman" w:hAnsi="Times New Roman" w:eastAsia="宋体" w:cs="Times New Roman"/>
                      <w:color w:val="FF0000"/>
                      <w:sz w:val="21"/>
                      <w:szCs w:val="21"/>
                      <w:lang w:val="en-US" w:eastAsia="zh-CN"/>
                    </w:rPr>
                    <w:t>制棒废气引入热风炉燃烧处理，炭化窑废气统一经一根直径350mm的不锈钢管道引入热风炉进行燃烧</w:t>
                  </w:r>
                  <w:r>
                    <w:rPr>
                      <w:rFonts w:hint="default" w:ascii="Times New Roman" w:hAnsi="Times New Roman" w:eastAsia="宋体" w:cs="Times New Roman"/>
                      <w:color w:val="FF0000"/>
                      <w:sz w:val="21"/>
                      <w:szCs w:val="21"/>
                    </w:rPr>
                    <w:t>（燃烧法）非甲烷总烃总去除效率70%</w:t>
                  </w:r>
                  <w:r>
                    <w:rPr>
                      <w:rFonts w:hint="default" w:ascii="Times New Roman" w:hAnsi="Times New Roman" w:eastAsia="宋体" w:cs="Times New Roman"/>
                      <w:color w:val="FF0000"/>
                      <w:sz w:val="21"/>
                      <w:szCs w:val="21"/>
                      <w:lang w:val="en-US" w:eastAsia="zh-CN"/>
                    </w:rPr>
                    <w:t>，管道经炭化窑引出约8m处设置1个容积21m</w:t>
                  </w:r>
                  <w:r>
                    <w:rPr>
                      <w:rFonts w:hint="default" w:ascii="Times New Roman" w:hAnsi="Times New Roman" w:eastAsia="宋体" w:cs="Times New Roman"/>
                      <w:color w:val="FF0000"/>
                      <w:sz w:val="21"/>
                      <w:szCs w:val="21"/>
                      <w:vertAlign w:val="superscript"/>
                      <w:lang w:val="en-US" w:eastAsia="zh-CN"/>
                    </w:rPr>
                    <w:t>3</w:t>
                  </w:r>
                  <w:r>
                    <w:rPr>
                      <w:rFonts w:hint="default" w:ascii="Times New Roman" w:hAnsi="Times New Roman" w:eastAsia="宋体" w:cs="Times New Roman"/>
                      <w:color w:val="FF0000"/>
                      <w:sz w:val="21"/>
                      <w:szCs w:val="21"/>
                      <w:lang w:val="en-US" w:eastAsia="zh-CN"/>
                    </w:rPr>
                    <w:t>的木醋液、木焦油收集池，用于暂存多余或者非正常工况产生的木醋液和木焦油，在热量不够的情况下经1根直径20mm的不锈钢管道泵入热风炉作为燃料补充，炭</w:t>
                  </w:r>
                  <w:r>
                    <w:rPr>
                      <w:rFonts w:hint="default" w:ascii="Times New Roman" w:hAnsi="Times New Roman" w:eastAsia="宋体" w:cs="Times New Roman"/>
                      <w:b w:val="0"/>
                      <w:bCs w:val="0"/>
                      <w:color w:val="FF0000"/>
                      <w:sz w:val="21"/>
                      <w:szCs w:val="21"/>
                      <w:lang w:val="en-US" w:eastAsia="zh-CN"/>
                    </w:rPr>
                    <w:t>化废气同烘干、制棒废气一并经</w:t>
                  </w:r>
                  <w:r>
                    <w:rPr>
                      <w:rFonts w:hint="default" w:ascii="Times New Roman" w:hAnsi="Times New Roman" w:eastAsia="宋体" w:cs="Times New Roman"/>
                      <w:b w:val="0"/>
                      <w:bCs w:val="0"/>
                      <w:color w:val="FF0000"/>
                      <w:sz w:val="21"/>
                      <w:szCs w:val="21"/>
                      <w:lang w:eastAsia="zh-CN"/>
                    </w:rPr>
                    <w:t>“袋式除尘器”（</w:t>
                  </w:r>
                  <w:r>
                    <w:rPr>
                      <w:rFonts w:hint="default" w:ascii="Times New Roman" w:hAnsi="Times New Roman" w:eastAsia="宋体" w:cs="Times New Roman"/>
                      <w:b w:val="0"/>
                      <w:bCs w:val="0"/>
                      <w:color w:val="FF0000"/>
                      <w:sz w:val="21"/>
                      <w:szCs w:val="21"/>
                      <w:lang w:val="en-US" w:eastAsia="zh-CN"/>
                    </w:rPr>
                    <w:t>去除效率95%）</w:t>
                  </w:r>
                  <w:r>
                    <w:rPr>
                      <w:rFonts w:hint="default" w:ascii="Times New Roman" w:hAnsi="Times New Roman" w:eastAsia="宋体" w:cs="Times New Roman"/>
                      <w:b w:val="0"/>
                      <w:bCs w:val="0"/>
                      <w:color w:val="FF0000"/>
                      <w:sz w:val="21"/>
                      <w:szCs w:val="21"/>
                    </w:rPr>
                    <w:t>处理</w:t>
                  </w:r>
                  <w:r>
                    <w:rPr>
                      <w:rFonts w:hint="default" w:ascii="Times New Roman" w:hAnsi="Times New Roman" w:eastAsia="宋体" w:cs="Times New Roman"/>
                      <w:b w:val="0"/>
                      <w:bCs w:val="0"/>
                      <w:color w:val="FF0000"/>
                      <w:sz w:val="21"/>
                      <w:szCs w:val="21"/>
                      <w:lang w:val="en-US" w:eastAsia="zh-CN"/>
                    </w:rPr>
                    <w:t>后达标外排，</w:t>
                  </w:r>
                  <w:r>
                    <w:rPr>
                      <w:rFonts w:hint="default" w:ascii="Times New Roman" w:hAnsi="Times New Roman" w:eastAsia="宋体" w:cs="Times New Roman"/>
                      <w:b w:val="0"/>
                      <w:bCs w:val="0"/>
                      <w:color w:val="FF0000"/>
                      <w:sz w:val="21"/>
                      <w:szCs w:val="21"/>
                      <w:highlight w:val="none"/>
                      <w:lang w:eastAsia="zh-CN"/>
                    </w:rPr>
                    <w:t>设置一套</w:t>
                  </w:r>
                  <w:r>
                    <w:rPr>
                      <w:rFonts w:hint="default" w:ascii="Times New Roman" w:hAnsi="Times New Roman" w:eastAsia="宋体" w:cs="Times New Roman"/>
                      <w:b w:val="0"/>
                      <w:bCs w:val="0"/>
                      <w:color w:val="FF0000"/>
                      <w:sz w:val="21"/>
                      <w:szCs w:val="21"/>
                      <w:highlight w:val="none"/>
                      <w:lang w:val="en-US" w:eastAsia="zh-CN"/>
                    </w:rPr>
                    <w:t>烟气</w:t>
                  </w:r>
                  <w:r>
                    <w:rPr>
                      <w:rFonts w:hint="default" w:ascii="Times New Roman" w:hAnsi="Times New Roman" w:eastAsia="宋体" w:cs="Times New Roman"/>
                      <w:b w:val="0"/>
                      <w:bCs w:val="0"/>
                      <w:color w:val="FF0000"/>
                      <w:sz w:val="21"/>
                      <w:szCs w:val="21"/>
                      <w:highlight w:val="none"/>
                      <w:lang w:eastAsia="zh-CN"/>
                    </w:rPr>
                    <w:t>在线监测设备，对外排颗粒物、</w:t>
                  </w:r>
                  <w:r>
                    <w:rPr>
                      <w:rFonts w:hint="default" w:ascii="Times New Roman" w:hAnsi="Times New Roman" w:eastAsia="宋体" w:cs="Times New Roman"/>
                      <w:b w:val="0"/>
                      <w:bCs w:val="0"/>
                      <w:color w:val="FF0000"/>
                      <w:sz w:val="21"/>
                      <w:szCs w:val="21"/>
                      <w:highlight w:val="none"/>
                      <w:lang w:val="en-US" w:eastAsia="zh-CN"/>
                    </w:rPr>
                    <w:t>SO</w:t>
                  </w:r>
                  <w:r>
                    <w:rPr>
                      <w:rFonts w:hint="default" w:ascii="Times New Roman" w:hAnsi="Times New Roman" w:eastAsia="宋体" w:cs="Times New Roman"/>
                      <w:b w:val="0"/>
                      <w:bCs w:val="0"/>
                      <w:color w:val="FF0000"/>
                      <w:sz w:val="21"/>
                      <w:szCs w:val="21"/>
                      <w:highlight w:val="none"/>
                      <w:vertAlign w:val="subscript"/>
                      <w:lang w:val="en-US" w:eastAsia="zh-CN"/>
                    </w:rPr>
                    <w:t>2</w:t>
                  </w:r>
                  <w:r>
                    <w:rPr>
                      <w:rFonts w:hint="default" w:ascii="Times New Roman" w:hAnsi="Times New Roman" w:eastAsia="宋体" w:cs="Times New Roman"/>
                      <w:b w:val="0"/>
                      <w:bCs w:val="0"/>
                      <w:color w:val="FF0000"/>
                      <w:sz w:val="21"/>
                      <w:szCs w:val="21"/>
                      <w:highlight w:val="none"/>
                      <w:vertAlign w:val="baseline"/>
                      <w:lang w:val="en-US" w:eastAsia="zh-CN"/>
                    </w:rPr>
                    <w:t>、N0</w:t>
                  </w:r>
                  <w:r>
                    <w:rPr>
                      <w:rFonts w:hint="default" w:ascii="Times New Roman" w:hAnsi="Times New Roman" w:eastAsia="宋体" w:cs="Times New Roman"/>
                      <w:b w:val="0"/>
                      <w:bCs w:val="0"/>
                      <w:color w:val="FF0000"/>
                      <w:sz w:val="21"/>
                      <w:szCs w:val="21"/>
                      <w:highlight w:val="none"/>
                      <w:vertAlign w:val="subscript"/>
                      <w:lang w:val="en-US" w:eastAsia="zh-CN"/>
                    </w:rPr>
                    <w:t>X</w:t>
                  </w:r>
                  <w:r>
                    <w:rPr>
                      <w:rFonts w:hint="default" w:ascii="Times New Roman" w:hAnsi="Times New Roman" w:eastAsia="宋体" w:cs="Times New Roman"/>
                      <w:b w:val="0"/>
                      <w:bCs w:val="0"/>
                      <w:color w:val="FF0000"/>
                      <w:sz w:val="21"/>
                      <w:szCs w:val="21"/>
                      <w:highlight w:val="none"/>
                      <w:vertAlign w:val="baseline"/>
                      <w:lang w:val="en-US" w:eastAsia="zh-CN"/>
                    </w:rPr>
                    <w:t>、进行实时监控</w:t>
                  </w:r>
                </w:p>
              </w:tc>
              <w:tc>
                <w:tcPr>
                  <w:tcW w:w="1177" w:type="dxa"/>
                  <w:vAlign w:val="center"/>
                </w:tcPr>
                <w:p w14:paraId="06E64312">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环评提出</w:t>
                  </w:r>
                </w:p>
              </w:tc>
            </w:tr>
            <w:tr w14:paraId="6C7C2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vMerge w:val="continue"/>
                  <w:vAlign w:val="center"/>
                </w:tcPr>
                <w:p w14:paraId="5E02DA68">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468" w:type="dxa"/>
                  <w:vMerge w:val="continue"/>
                  <w:vAlign w:val="center"/>
                </w:tcPr>
                <w:p w14:paraId="416E7BCD">
                  <w:pPr>
                    <w:tabs>
                      <w:tab w:val="center" w:pos="1507"/>
                    </w:tabs>
                    <w:spacing w:line="240" w:lineRule="auto"/>
                    <w:jc w:val="center"/>
                    <w:rPr>
                      <w:rFonts w:hint="default" w:ascii="Times New Roman" w:hAnsi="Times New Roman" w:eastAsia="宋体" w:cs="Times New Roman"/>
                      <w:b w:val="0"/>
                      <w:bCs w:val="0"/>
                      <w:color w:val="auto"/>
                      <w:sz w:val="21"/>
                      <w:szCs w:val="21"/>
                      <w:lang w:eastAsia="zh-CN"/>
                    </w:rPr>
                  </w:pPr>
                </w:p>
              </w:tc>
              <w:tc>
                <w:tcPr>
                  <w:tcW w:w="1124" w:type="dxa"/>
                  <w:vAlign w:val="center"/>
                </w:tcPr>
                <w:p w14:paraId="4B90FEAF">
                  <w:pPr>
                    <w:adjustRightInd w:val="0"/>
                    <w:snapToGrid w:val="0"/>
                    <w:rPr>
                      <w:rFonts w:hint="default" w:ascii="Times New Roman" w:hAnsi="Times New Roman" w:eastAsia="宋体" w:cs="Times New Roman"/>
                      <w:b w:val="0"/>
                      <w:bCs w:val="0"/>
                      <w:color w:val="auto"/>
                      <w:sz w:val="21"/>
                      <w:szCs w:val="21"/>
                      <w:lang w:eastAsia="zh-CN"/>
                    </w:rPr>
                  </w:pPr>
                  <w:r>
                    <w:rPr>
                      <w:rFonts w:hint="eastAsia"/>
                      <w:color w:val="auto"/>
                      <w:szCs w:val="21"/>
                    </w:rPr>
                    <w:t>粉碎废气</w:t>
                  </w:r>
                </w:p>
              </w:tc>
              <w:tc>
                <w:tcPr>
                  <w:tcW w:w="3975" w:type="dxa"/>
                  <w:vAlign w:val="center"/>
                </w:tcPr>
                <w:p w14:paraId="285F72AD">
                  <w:pPr>
                    <w:adjustRightInd w:val="0"/>
                    <w:snapToGrid w:val="0"/>
                    <w:jc w:val="center"/>
                    <w:rPr>
                      <w:rFonts w:hint="default" w:ascii="Times New Roman" w:hAnsi="Times New Roman" w:eastAsia="宋体" w:cs="Times New Roman"/>
                      <w:color w:val="auto"/>
                      <w:sz w:val="21"/>
                      <w:szCs w:val="21"/>
                    </w:rPr>
                  </w:pPr>
                  <w:r>
                    <w:rPr>
                      <w:rFonts w:hint="eastAsia"/>
                      <w:color w:val="auto"/>
                      <w:szCs w:val="21"/>
                    </w:rPr>
                    <w:t>设置1台粉碎机，将烘干后的大颗粒物料进行密闭粉碎，少量粉碎废气以无组织形式外排</w:t>
                  </w:r>
                </w:p>
              </w:tc>
              <w:tc>
                <w:tcPr>
                  <w:tcW w:w="1177" w:type="dxa"/>
                  <w:vAlign w:val="center"/>
                </w:tcPr>
                <w:p w14:paraId="20ADB61C">
                  <w:pPr>
                    <w:adjustRightInd w:val="0"/>
                    <w:snapToGrid w:val="0"/>
                    <w:jc w:val="center"/>
                    <w:rPr>
                      <w:rFonts w:hint="default" w:ascii="Times New Roman" w:hAnsi="Times New Roman" w:eastAsia="宋体" w:cs="Times New Roman"/>
                      <w:b w:val="0"/>
                      <w:bCs w:val="0"/>
                      <w:color w:val="auto"/>
                      <w:sz w:val="21"/>
                      <w:szCs w:val="21"/>
                    </w:rPr>
                  </w:pPr>
                  <w:r>
                    <w:rPr>
                      <w:rFonts w:hint="eastAsia"/>
                      <w:color w:val="auto"/>
                      <w:szCs w:val="21"/>
                    </w:rPr>
                    <w:t>设计提出</w:t>
                  </w:r>
                </w:p>
              </w:tc>
            </w:tr>
            <w:tr w14:paraId="5CA4D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673" w:type="dxa"/>
                  <w:vMerge w:val="continue"/>
                  <w:vAlign w:val="center"/>
                </w:tcPr>
                <w:p w14:paraId="44381CC0">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468" w:type="dxa"/>
                  <w:vMerge w:val="restart"/>
                  <w:vAlign w:val="center"/>
                </w:tcPr>
                <w:p w14:paraId="0BF56C74">
                  <w:pPr>
                    <w:tabs>
                      <w:tab w:val="center" w:pos="1507"/>
                    </w:tabs>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噪声</w:t>
                  </w:r>
                </w:p>
              </w:tc>
              <w:tc>
                <w:tcPr>
                  <w:tcW w:w="1124" w:type="dxa"/>
                  <w:vAlign w:val="center"/>
                </w:tcPr>
                <w:p w14:paraId="6EF0B197">
                  <w:pPr>
                    <w:tabs>
                      <w:tab w:val="center" w:pos="1507"/>
                    </w:tabs>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设备噪声</w:t>
                  </w:r>
                </w:p>
              </w:tc>
              <w:tc>
                <w:tcPr>
                  <w:tcW w:w="3975" w:type="dxa"/>
                  <w:vMerge w:val="restart"/>
                  <w:vAlign w:val="center"/>
                </w:tcPr>
                <w:p w14:paraId="450F1BD8">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设备固定，墙体隔声、距离衰减、加强管理，定期维修保养，避免设备故障运行，运输车辆减速慢行、控制载重量等</w:t>
                  </w:r>
                </w:p>
              </w:tc>
              <w:tc>
                <w:tcPr>
                  <w:tcW w:w="1177" w:type="dxa"/>
                  <w:vMerge w:val="restart"/>
                  <w:vAlign w:val="center"/>
                </w:tcPr>
                <w:p w14:paraId="6022F826">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环评提出</w:t>
                  </w:r>
                </w:p>
              </w:tc>
            </w:tr>
            <w:tr w14:paraId="6A7E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673" w:type="dxa"/>
                  <w:vMerge w:val="continue"/>
                  <w:vAlign w:val="center"/>
                </w:tcPr>
                <w:p w14:paraId="4F730860">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468" w:type="dxa"/>
                  <w:vMerge w:val="continue"/>
                  <w:vAlign w:val="center"/>
                </w:tcPr>
                <w:p w14:paraId="4730256A">
                  <w:pPr>
                    <w:tabs>
                      <w:tab w:val="center" w:pos="1507"/>
                    </w:tabs>
                    <w:spacing w:line="240" w:lineRule="auto"/>
                    <w:jc w:val="center"/>
                    <w:rPr>
                      <w:rFonts w:hint="default" w:ascii="Times New Roman" w:hAnsi="Times New Roman" w:eastAsia="宋体" w:cs="Times New Roman"/>
                      <w:b w:val="0"/>
                      <w:bCs w:val="0"/>
                      <w:color w:val="auto"/>
                      <w:sz w:val="21"/>
                      <w:szCs w:val="21"/>
                      <w:lang w:eastAsia="zh-CN"/>
                    </w:rPr>
                  </w:pPr>
                </w:p>
              </w:tc>
              <w:tc>
                <w:tcPr>
                  <w:tcW w:w="1124" w:type="dxa"/>
                  <w:vAlign w:val="center"/>
                </w:tcPr>
                <w:p w14:paraId="38E07A4A">
                  <w:pPr>
                    <w:tabs>
                      <w:tab w:val="center" w:pos="1507"/>
                    </w:tabs>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运输、装载车辆</w:t>
                  </w:r>
                </w:p>
              </w:tc>
              <w:tc>
                <w:tcPr>
                  <w:tcW w:w="3975" w:type="dxa"/>
                  <w:vMerge w:val="continue"/>
                  <w:vAlign w:val="center"/>
                </w:tcPr>
                <w:p w14:paraId="700B2499">
                  <w:pPr>
                    <w:spacing w:line="240" w:lineRule="auto"/>
                    <w:jc w:val="center"/>
                    <w:rPr>
                      <w:rFonts w:hint="default" w:ascii="Times New Roman" w:hAnsi="Times New Roman" w:eastAsia="宋体" w:cs="Times New Roman"/>
                      <w:b w:val="0"/>
                      <w:bCs w:val="0"/>
                      <w:color w:val="auto"/>
                      <w:sz w:val="21"/>
                      <w:szCs w:val="21"/>
                    </w:rPr>
                  </w:pPr>
                </w:p>
              </w:tc>
              <w:tc>
                <w:tcPr>
                  <w:tcW w:w="1177" w:type="dxa"/>
                  <w:vMerge w:val="continue"/>
                  <w:vAlign w:val="center"/>
                </w:tcPr>
                <w:p w14:paraId="767F36C3">
                  <w:pPr>
                    <w:spacing w:line="240" w:lineRule="auto"/>
                    <w:jc w:val="center"/>
                    <w:rPr>
                      <w:rFonts w:hint="default" w:ascii="Times New Roman" w:hAnsi="Times New Roman" w:eastAsia="宋体" w:cs="Times New Roman"/>
                      <w:b w:val="0"/>
                      <w:bCs w:val="0"/>
                      <w:color w:val="auto"/>
                      <w:sz w:val="21"/>
                      <w:szCs w:val="21"/>
                    </w:rPr>
                  </w:pPr>
                </w:p>
              </w:tc>
            </w:tr>
            <w:tr w14:paraId="41276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673" w:type="dxa"/>
                  <w:vMerge w:val="continue"/>
                  <w:vAlign w:val="center"/>
                </w:tcPr>
                <w:p w14:paraId="0B2E18EA">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468" w:type="dxa"/>
                  <w:vMerge w:val="restart"/>
                  <w:vAlign w:val="center"/>
                </w:tcPr>
                <w:p w14:paraId="4AD2F9F8">
                  <w:pPr>
                    <w:tabs>
                      <w:tab w:val="center" w:pos="1507"/>
                    </w:tabs>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固废</w:t>
                  </w:r>
                </w:p>
              </w:tc>
              <w:tc>
                <w:tcPr>
                  <w:tcW w:w="1124" w:type="dxa"/>
                  <w:vAlign w:val="center"/>
                </w:tcPr>
                <w:p w14:paraId="1E0FCF55">
                  <w:pPr>
                    <w:tabs>
                      <w:tab w:val="center" w:pos="1507"/>
                    </w:tabs>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筛分固废</w:t>
                  </w:r>
                </w:p>
              </w:tc>
              <w:tc>
                <w:tcPr>
                  <w:tcW w:w="3975" w:type="dxa"/>
                  <w:vAlign w:val="center"/>
                </w:tcPr>
                <w:p w14:paraId="05BF3EA0">
                  <w:pPr>
                    <w:adjustRightInd w:val="0"/>
                    <w:snapToGrid w:val="0"/>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暂存生产车间一角，严禁露天堆放，作为燃料使用</w:t>
                  </w:r>
                </w:p>
              </w:tc>
              <w:tc>
                <w:tcPr>
                  <w:tcW w:w="1177" w:type="dxa"/>
                  <w:vAlign w:val="center"/>
                </w:tcPr>
                <w:p w14:paraId="58650E21">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环评提出</w:t>
                  </w:r>
                </w:p>
              </w:tc>
            </w:tr>
            <w:tr w14:paraId="4E4D8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673" w:type="dxa"/>
                  <w:vMerge w:val="continue"/>
                  <w:vAlign w:val="center"/>
                </w:tcPr>
                <w:p w14:paraId="661C4242">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468" w:type="dxa"/>
                  <w:vMerge w:val="continue"/>
                  <w:vAlign w:val="center"/>
                </w:tcPr>
                <w:p w14:paraId="6663434F">
                  <w:pPr>
                    <w:tabs>
                      <w:tab w:val="center" w:pos="1507"/>
                    </w:tabs>
                    <w:spacing w:line="240" w:lineRule="auto"/>
                    <w:jc w:val="center"/>
                    <w:rPr>
                      <w:rFonts w:hint="default" w:ascii="Times New Roman" w:hAnsi="Times New Roman" w:eastAsia="宋体" w:cs="Times New Roman"/>
                      <w:b w:val="0"/>
                      <w:bCs w:val="0"/>
                      <w:color w:val="auto"/>
                      <w:sz w:val="21"/>
                      <w:szCs w:val="21"/>
                      <w:lang w:eastAsia="zh-CN"/>
                    </w:rPr>
                  </w:pPr>
                </w:p>
              </w:tc>
              <w:tc>
                <w:tcPr>
                  <w:tcW w:w="1124" w:type="dxa"/>
                  <w:vAlign w:val="center"/>
                </w:tcPr>
                <w:p w14:paraId="573A2344">
                  <w:pPr>
                    <w:adjustRightInd w:val="0"/>
                    <w:snapToGrid w:val="0"/>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不合格产品</w:t>
                  </w:r>
                </w:p>
              </w:tc>
              <w:tc>
                <w:tcPr>
                  <w:tcW w:w="3975" w:type="dxa"/>
                  <w:vAlign w:val="center"/>
                </w:tcPr>
                <w:p w14:paraId="2DCD0235">
                  <w:pPr>
                    <w:adjustRightInd w:val="0"/>
                    <w:snapToGrid w:val="0"/>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制</w:t>
                  </w:r>
                  <w:r>
                    <w:rPr>
                      <w:rFonts w:hint="default" w:ascii="Times New Roman" w:hAnsi="Times New Roman" w:eastAsia="宋体" w:cs="Times New Roman"/>
                      <w:b w:val="0"/>
                      <w:bCs w:val="0"/>
                      <w:color w:val="auto"/>
                      <w:sz w:val="21"/>
                      <w:szCs w:val="21"/>
                    </w:rPr>
                    <w:t>棒不合格产品回收至烘干工段再次利用；炭化不合格产品、废料外售</w:t>
                  </w:r>
                </w:p>
              </w:tc>
              <w:tc>
                <w:tcPr>
                  <w:tcW w:w="1177" w:type="dxa"/>
                  <w:vAlign w:val="center"/>
                </w:tcPr>
                <w:p w14:paraId="70C2E3E4">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环评提出</w:t>
                  </w:r>
                </w:p>
              </w:tc>
            </w:tr>
            <w:tr w14:paraId="40F0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673" w:type="dxa"/>
                  <w:vMerge w:val="continue"/>
                  <w:vAlign w:val="center"/>
                </w:tcPr>
                <w:p w14:paraId="16D1DA35">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468" w:type="dxa"/>
                  <w:vMerge w:val="continue"/>
                  <w:vAlign w:val="center"/>
                </w:tcPr>
                <w:p w14:paraId="7CF22CDC">
                  <w:pPr>
                    <w:tabs>
                      <w:tab w:val="center" w:pos="1507"/>
                    </w:tabs>
                    <w:spacing w:line="240" w:lineRule="auto"/>
                    <w:jc w:val="center"/>
                    <w:rPr>
                      <w:rFonts w:hint="default" w:ascii="Times New Roman" w:hAnsi="Times New Roman" w:eastAsia="宋体" w:cs="Times New Roman"/>
                      <w:b w:val="0"/>
                      <w:bCs w:val="0"/>
                      <w:color w:val="auto"/>
                      <w:sz w:val="21"/>
                      <w:szCs w:val="21"/>
                      <w:lang w:eastAsia="zh-CN"/>
                    </w:rPr>
                  </w:pPr>
                </w:p>
              </w:tc>
              <w:tc>
                <w:tcPr>
                  <w:tcW w:w="1124" w:type="dxa"/>
                  <w:vAlign w:val="center"/>
                </w:tcPr>
                <w:p w14:paraId="384F8303">
                  <w:pPr>
                    <w:adjustRightInd w:val="0"/>
                    <w:snapToGrid w:val="0"/>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布袋收集粉尘</w:t>
                  </w:r>
                </w:p>
              </w:tc>
              <w:tc>
                <w:tcPr>
                  <w:tcW w:w="3975" w:type="dxa"/>
                  <w:vAlign w:val="center"/>
                </w:tcPr>
                <w:p w14:paraId="776487D1">
                  <w:pPr>
                    <w:adjustRightInd w:val="0"/>
                    <w:snapToGrid w:val="0"/>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返回料仓作为生产原料使用</w:t>
                  </w:r>
                </w:p>
              </w:tc>
              <w:tc>
                <w:tcPr>
                  <w:tcW w:w="1177" w:type="dxa"/>
                  <w:vAlign w:val="center"/>
                </w:tcPr>
                <w:p w14:paraId="52544840">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环评提出</w:t>
                  </w:r>
                </w:p>
              </w:tc>
            </w:tr>
            <w:tr w14:paraId="0243E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673" w:type="dxa"/>
                  <w:vMerge w:val="continue"/>
                  <w:vAlign w:val="center"/>
                </w:tcPr>
                <w:p w14:paraId="4D64BA4A">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468" w:type="dxa"/>
                  <w:vMerge w:val="continue"/>
                  <w:vAlign w:val="center"/>
                </w:tcPr>
                <w:p w14:paraId="1994A551">
                  <w:pPr>
                    <w:tabs>
                      <w:tab w:val="center" w:pos="1507"/>
                    </w:tabs>
                    <w:spacing w:line="240" w:lineRule="auto"/>
                    <w:jc w:val="center"/>
                    <w:rPr>
                      <w:rFonts w:hint="default" w:ascii="Times New Roman" w:hAnsi="Times New Roman" w:eastAsia="宋体" w:cs="Times New Roman"/>
                      <w:b w:val="0"/>
                      <w:bCs w:val="0"/>
                      <w:color w:val="auto"/>
                      <w:sz w:val="21"/>
                      <w:szCs w:val="21"/>
                      <w:lang w:eastAsia="zh-CN"/>
                    </w:rPr>
                  </w:pPr>
                </w:p>
              </w:tc>
              <w:tc>
                <w:tcPr>
                  <w:tcW w:w="1124" w:type="dxa"/>
                  <w:vAlign w:val="center"/>
                </w:tcPr>
                <w:p w14:paraId="0A26E34B">
                  <w:pPr>
                    <w:adjustRightInd w:val="0"/>
                    <w:snapToGrid w:val="0"/>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炉渣</w:t>
                  </w:r>
                </w:p>
              </w:tc>
              <w:tc>
                <w:tcPr>
                  <w:tcW w:w="3975" w:type="dxa"/>
                  <w:vAlign w:val="center"/>
                </w:tcPr>
                <w:p w14:paraId="6040B624">
                  <w:pPr>
                    <w:adjustRightInd w:val="0"/>
                    <w:snapToGrid w:val="0"/>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炉渣统一暂存一般固废暂存间，定期委托周边村民清运至周边耕地做农肥，不外排。</w:t>
                  </w:r>
                </w:p>
              </w:tc>
              <w:tc>
                <w:tcPr>
                  <w:tcW w:w="1177" w:type="dxa"/>
                  <w:vAlign w:val="center"/>
                </w:tcPr>
                <w:p w14:paraId="227C1A82">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环评提出</w:t>
                  </w:r>
                </w:p>
              </w:tc>
            </w:tr>
            <w:tr w14:paraId="50FB0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673" w:type="dxa"/>
                  <w:vMerge w:val="continue"/>
                  <w:vAlign w:val="center"/>
                </w:tcPr>
                <w:p w14:paraId="0A225964">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468" w:type="dxa"/>
                  <w:vMerge w:val="continue"/>
                  <w:vAlign w:val="center"/>
                </w:tcPr>
                <w:p w14:paraId="38959E20">
                  <w:pPr>
                    <w:tabs>
                      <w:tab w:val="center" w:pos="1507"/>
                    </w:tabs>
                    <w:spacing w:line="240" w:lineRule="auto"/>
                    <w:jc w:val="center"/>
                    <w:rPr>
                      <w:rFonts w:hint="default" w:ascii="Times New Roman" w:hAnsi="Times New Roman" w:eastAsia="宋体" w:cs="Times New Roman"/>
                      <w:b w:val="0"/>
                      <w:bCs w:val="0"/>
                      <w:color w:val="auto"/>
                      <w:sz w:val="21"/>
                      <w:szCs w:val="21"/>
                      <w:lang w:eastAsia="zh-CN"/>
                    </w:rPr>
                  </w:pPr>
                </w:p>
              </w:tc>
              <w:tc>
                <w:tcPr>
                  <w:tcW w:w="1124" w:type="dxa"/>
                  <w:vAlign w:val="center"/>
                </w:tcPr>
                <w:p w14:paraId="7F6E4BCC">
                  <w:pPr>
                    <w:adjustRightInd w:val="0"/>
                    <w:snapToGrid w:val="0"/>
                    <w:spacing w:line="240" w:lineRule="auto"/>
                    <w:jc w:val="center"/>
                    <w:rPr>
                      <w:rFonts w:hint="eastAsia" w:ascii="Times New Roman" w:hAnsi="Times New Roman" w:eastAsia="宋体" w:cs="Times New Roman"/>
                      <w:b w:val="0"/>
                      <w:bCs w:val="0"/>
                      <w:color w:val="FF0000"/>
                      <w:sz w:val="21"/>
                      <w:szCs w:val="21"/>
                      <w:lang w:val="en-US" w:eastAsia="zh-CN"/>
                    </w:rPr>
                  </w:pPr>
                  <w:r>
                    <w:rPr>
                      <w:rFonts w:hint="default" w:ascii="Times New Roman" w:hAnsi="Times New Roman" w:eastAsia="宋体" w:cs="Times New Roman"/>
                      <w:b w:val="0"/>
                      <w:bCs w:val="0"/>
                      <w:color w:val="FF0000"/>
                      <w:sz w:val="21"/>
                      <w:szCs w:val="21"/>
                    </w:rPr>
                    <w:t>废机油</w:t>
                  </w:r>
                  <w:r>
                    <w:rPr>
                      <w:rFonts w:hint="eastAsia" w:cs="Times New Roman"/>
                      <w:b w:val="0"/>
                      <w:bCs w:val="0"/>
                      <w:color w:val="FF0000"/>
                      <w:sz w:val="21"/>
                      <w:szCs w:val="21"/>
                      <w:lang w:val="en-US" w:eastAsia="zh-CN"/>
                    </w:rPr>
                    <w:t>暂存间</w:t>
                  </w:r>
                </w:p>
              </w:tc>
              <w:tc>
                <w:tcPr>
                  <w:tcW w:w="3975" w:type="dxa"/>
                  <w:vAlign w:val="center"/>
                </w:tcPr>
                <w:p w14:paraId="5296D34F">
                  <w:pPr>
                    <w:adjustRightInd w:val="0"/>
                    <w:snapToGrid w:val="0"/>
                    <w:spacing w:line="240" w:lineRule="auto"/>
                    <w:jc w:val="center"/>
                    <w:rPr>
                      <w:rFonts w:hint="default" w:ascii="Times New Roman" w:hAnsi="Times New Roman" w:eastAsia="宋体" w:cs="Times New Roman"/>
                      <w:b w:val="0"/>
                      <w:bCs w:val="0"/>
                      <w:color w:val="FF0000"/>
                      <w:sz w:val="21"/>
                      <w:szCs w:val="21"/>
                    </w:rPr>
                  </w:pPr>
                  <w:r>
                    <w:rPr>
                      <w:rFonts w:hint="default" w:ascii="Times New Roman" w:hAnsi="Times New Roman" w:eastAsia="宋体" w:cs="Times New Roman"/>
                      <w:b w:val="0"/>
                      <w:bCs w:val="0"/>
                      <w:color w:val="FF0000"/>
                      <w:sz w:val="21"/>
                      <w:szCs w:val="21"/>
                    </w:rPr>
                    <w:t>在</w:t>
                  </w:r>
                  <w:r>
                    <w:rPr>
                      <w:rFonts w:hint="default" w:ascii="Times New Roman" w:hAnsi="Times New Roman" w:eastAsia="宋体" w:cs="Times New Roman"/>
                      <w:b w:val="0"/>
                      <w:bCs w:val="0"/>
                      <w:color w:val="FF0000"/>
                      <w:sz w:val="21"/>
                      <w:szCs w:val="21"/>
                      <w:lang w:eastAsia="zh-CN"/>
                    </w:rPr>
                    <w:t>项目西南侧</w:t>
                  </w:r>
                  <w:r>
                    <w:rPr>
                      <w:rFonts w:hint="default" w:ascii="Times New Roman" w:hAnsi="Times New Roman" w:eastAsia="宋体" w:cs="Times New Roman"/>
                      <w:b w:val="0"/>
                      <w:bCs w:val="0"/>
                      <w:color w:val="FF0000"/>
                      <w:sz w:val="21"/>
                      <w:szCs w:val="21"/>
                    </w:rPr>
                    <w:t>新建1间约</w:t>
                  </w:r>
                  <w:r>
                    <w:rPr>
                      <w:rFonts w:hint="default" w:ascii="Times New Roman" w:hAnsi="Times New Roman" w:eastAsia="宋体" w:cs="Times New Roman"/>
                      <w:b w:val="0"/>
                      <w:bCs w:val="0"/>
                      <w:color w:val="FF0000"/>
                      <w:sz w:val="21"/>
                      <w:szCs w:val="21"/>
                      <w:lang w:val="en-US" w:eastAsia="zh-CN"/>
                    </w:rPr>
                    <w:t>10</w:t>
                  </w:r>
                  <w:r>
                    <w:rPr>
                      <w:rFonts w:hint="default" w:ascii="Times New Roman" w:hAnsi="Times New Roman" w:eastAsia="宋体" w:cs="Times New Roman"/>
                      <w:b w:val="0"/>
                      <w:bCs w:val="0"/>
                      <w:color w:val="FF0000"/>
                      <w:sz w:val="21"/>
                      <w:szCs w:val="21"/>
                    </w:rPr>
                    <w:t>m</w:t>
                  </w:r>
                  <w:r>
                    <w:rPr>
                      <w:rFonts w:hint="default" w:ascii="Times New Roman" w:hAnsi="Times New Roman" w:eastAsia="宋体" w:cs="Times New Roman"/>
                      <w:b w:val="0"/>
                      <w:bCs w:val="0"/>
                      <w:color w:val="FF0000"/>
                      <w:sz w:val="21"/>
                      <w:szCs w:val="21"/>
                      <w:vertAlign w:val="superscript"/>
                    </w:rPr>
                    <w:t>2</w:t>
                  </w:r>
                  <w:r>
                    <w:rPr>
                      <w:rFonts w:hint="default" w:ascii="Times New Roman" w:hAnsi="Times New Roman" w:eastAsia="宋体" w:cs="Times New Roman"/>
                      <w:b w:val="0"/>
                      <w:bCs w:val="0"/>
                      <w:color w:val="FF0000"/>
                      <w:sz w:val="21"/>
                      <w:szCs w:val="21"/>
                    </w:rPr>
                    <w:t>的废机油暂存间，进行防雨、防漏、防渗等三防措施，并在门口张贴标识牌</w:t>
                  </w:r>
                </w:p>
              </w:tc>
              <w:tc>
                <w:tcPr>
                  <w:tcW w:w="1177" w:type="dxa"/>
                  <w:vAlign w:val="center"/>
                </w:tcPr>
                <w:p w14:paraId="7F4E93E3">
                  <w:pPr>
                    <w:spacing w:line="240" w:lineRule="auto"/>
                    <w:jc w:val="center"/>
                    <w:rPr>
                      <w:rFonts w:hint="default" w:ascii="Times New Roman" w:hAnsi="Times New Roman" w:eastAsia="宋体" w:cs="Times New Roman"/>
                      <w:b w:val="0"/>
                      <w:bCs w:val="0"/>
                      <w:color w:val="FF0000"/>
                      <w:sz w:val="21"/>
                      <w:szCs w:val="21"/>
                    </w:rPr>
                  </w:pPr>
                  <w:r>
                    <w:rPr>
                      <w:rFonts w:hint="default" w:ascii="Times New Roman" w:hAnsi="Times New Roman" w:eastAsia="宋体" w:cs="Times New Roman"/>
                      <w:b w:val="0"/>
                      <w:bCs w:val="0"/>
                      <w:color w:val="FF0000"/>
                      <w:sz w:val="21"/>
                      <w:szCs w:val="21"/>
                    </w:rPr>
                    <w:t>环评提出</w:t>
                  </w:r>
                </w:p>
              </w:tc>
            </w:tr>
            <w:tr w14:paraId="1C075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2" w:hRule="atLeast"/>
              </w:trPr>
              <w:tc>
                <w:tcPr>
                  <w:tcW w:w="673" w:type="dxa"/>
                  <w:vMerge w:val="continue"/>
                  <w:vAlign w:val="center"/>
                </w:tcPr>
                <w:p w14:paraId="746A2672">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468" w:type="dxa"/>
                  <w:vMerge w:val="continue"/>
                  <w:vAlign w:val="center"/>
                </w:tcPr>
                <w:p w14:paraId="4DFCD52B">
                  <w:pPr>
                    <w:tabs>
                      <w:tab w:val="center" w:pos="1507"/>
                    </w:tabs>
                    <w:spacing w:line="240" w:lineRule="auto"/>
                    <w:jc w:val="center"/>
                    <w:rPr>
                      <w:rFonts w:hint="default" w:ascii="Times New Roman" w:hAnsi="Times New Roman" w:eastAsia="宋体" w:cs="Times New Roman"/>
                      <w:b w:val="0"/>
                      <w:bCs w:val="0"/>
                      <w:color w:val="auto"/>
                      <w:sz w:val="21"/>
                      <w:szCs w:val="21"/>
                      <w:lang w:eastAsia="zh-CN"/>
                    </w:rPr>
                  </w:pPr>
                </w:p>
              </w:tc>
              <w:tc>
                <w:tcPr>
                  <w:tcW w:w="1124" w:type="dxa"/>
                  <w:vAlign w:val="center"/>
                </w:tcPr>
                <w:p w14:paraId="6FDACF32">
                  <w:pPr>
                    <w:adjustRightInd w:val="0"/>
                    <w:snapToGrid w:val="0"/>
                    <w:spacing w:line="240" w:lineRule="auto"/>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木醋液、</w:t>
                  </w:r>
                </w:p>
                <w:p w14:paraId="2A6ED528">
                  <w:pPr>
                    <w:adjustRightInd w:val="0"/>
                    <w:snapToGrid w:val="0"/>
                    <w:spacing w:line="240" w:lineRule="auto"/>
                    <w:jc w:val="center"/>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b w:val="0"/>
                      <w:bCs w:val="0"/>
                      <w:color w:val="auto"/>
                      <w:sz w:val="21"/>
                      <w:szCs w:val="21"/>
                      <w:highlight w:val="none"/>
                      <w:lang w:eastAsia="zh-CN"/>
                    </w:rPr>
                    <w:t>木焦油</w:t>
                  </w:r>
                  <w:r>
                    <w:rPr>
                      <w:rFonts w:hint="eastAsia" w:cs="Times New Roman"/>
                      <w:b w:val="0"/>
                      <w:bCs w:val="0"/>
                      <w:color w:val="auto"/>
                      <w:sz w:val="21"/>
                      <w:szCs w:val="21"/>
                      <w:highlight w:val="none"/>
                      <w:lang w:val="en-US" w:eastAsia="zh-CN"/>
                    </w:rPr>
                    <w:t>收集池</w:t>
                  </w:r>
                </w:p>
              </w:tc>
              <w:tc>
                <w:tcPr>
                  <w:tcW w:w="3975" w:type="dxa"/>
                  <w:vAlign w:val="center"/>
                </w:tcPr>
                <w:p w14:paraId="00F72A2D">
                  <w:pPr>
                    <w:adjustRightInd w:val="0"/>
                    <w:snapToGrid w:val="0"/>
                    <w:spacing w:line="240" w:lineRule="auto"/>
                    <w:jc w:val="center"/>
                    <w:rPr>
                      <w:rFonts w:hint="default" w:ascii="Times New Roman" w:hAnsi="Times New Roman" w:eastAsia="宋体" w:cs="Times New Roman"/>
                      <w:b w:val="0"/>
                      <w:bCs w:val="0"/>
                      <w:color w:val="FF0000"/>
                      <w:sz w:val="21"/>
                      <w:szCs w:val="21"/>
                      <w:highlight w:val="none"/>
                    </w:rPr>
                  </w:pPr>
                  <w:r>
                    <w:rPr>
                      <w:rFonts w:hint="eastAsia" w:cs="Times New Roman"/>
                      <w:b w:val="0"/>
                      <w:bCs w:val="0"/>
                      <w:color w:val="FF0000"/>
                      <w:sz w:val="21"/>
                      <w:szCs w:val="21"/>
                      <w:highlight w:val="none"/>
                      <w:lang w:val="en-US" w:eastAsia="zh-CN"/>
                    </w:rPr>
                    <w:t>容积约21m</w:t>
                  </w:r>
                  <w:r>
                    <w:rPr>
                      <w:rFonts w:hint="eastAsia" w:cs="Times New Roman"/>
                      <w:b w:val="0"/>
                      <w:bCs w:val="0"/>
                      <w:color w:val="FF0000"/>
                      <w:sz w:val="21"/>
                      <w:szCs w:val="21"/>
                      <w:highlight w:val="none"/>
                      <w:vertAlign w:val="superscript"/>
                      <w:lang w:val="en-US" w:eastAsia="zh-CN"/>
                    </w:rPr>
                    <w:t>3</w:t>
                  </w:r>
                  <w:r>
                    <w:rPr>
                      <w:rFonts w:hint="eastAsia" w:cs="Times New Roman"/>
                      <w:b w:val="0"/>
                      <w:bCs w:val="0"/>
                      <w:color w:val="FF0000"/>
                      <w:sz w:val="21"/>
                      <w:szCs w:val="21"/>
                      <w:highlight w:val="none"/>
                      <w:lang w:val="en-US" w:eastAsia="zh-CN"/>
                    </w:rPr>
                    <w:t>，</w:t>
                  </w:r>
                  <w:r>
                    <w:rPr>
                      <w:rFonts w:hint="default" w:ascii="Times New Roman" w:hAnsi="Times New Roman" w:eastAsia="宋体" w:cs="Times New Roman"/>
                      <w:b w:val="0"/>
                      <w:bCs w:val="0"/>
                      <w:color w:val="FF0000"/>
                      <w:sz w:val="21"/>
                      <w:szCs w:val="21"/>
                      <w:highlight w:val="none"/>
                      <w:lang w:val="en-US" w:eastAsia="zh-CN"/>
                    </w:rPr>
                    <w:t>暂存木醋液、木焦油收集池，暂存池相关防渗措施，</w:t>
                  </w:r>
                  <w:r>
                    <w:rPr>
                      <w:rFonts w:hint="default" w:ascii="Times New Roman" w:hAnsi="Times New Roman" w:eastAsia="宋体" w:cs="Times New Roman"/>
                      <w:b w:val="0"/>
                      <w:bCs w:val="0"/>
                      <w:color w:val="FF0000"/>
                      <w:sz w:val="21"/>
                      <w:szCs w:val="21"/>
                      <w:highlight w:val="none"/>
                      <w:lang w:eastAsia="zh-CN"/>
                    </w:rPr>
                    <w:t>地面</w:t>
                  </w:r>
                  <w:r>
                    <w:rPr>
                      <w:rFonts w:hint="default" w:ascii="Times New Roman" w:hAnsi="Times New Roman" w:eastAsia="宋体" w:cs="Times New Roman"/>
                      <w:b w:val="0"/>
                      <w:bCs w:val="0"/>
                      <w:color w:val="FF0000"/>
                      <w:sz w:val="21"/>
                      <w:szCs w:val="21"/>
                      <w:highlight w:val="none"/>
                    </w:rPr>
                    <w:t>按重点防渗要求建设，水泥+2mm厚HDPE+环氧树脂。或采用等效粘土防渗层厚度Mb≥6.0m，渗透系数K≤1×10</w:t>
                  </w:r>
                  <w:r>
                    <w:rPr>
                      <w:rFonts w:hint="default" w:ascii="Times New Roman" w:hAnsi="Times New Roman" w:eastAsia="宋体" w:cs="Times New Roman"/>
                      <w:b w:val="0"/>
                      <w:bCs w:val="0"/>
                      <w:color w:val="FF0000"/>
                      <w:sz w:val="21"/>
                      <w:szCs w:val="21"/>
                      <w:highlight w:val="none"/>
                      <w:vertAlign w:val="superscript"/>
                      <w:lang w:val="en-US" w:eastAsia="zh-CN"/>
                    </w:rPr>
                    <w:t>-10</w:t>
                  </w:r>
                  <w:r>
                    <w:rPr>
                      <w:rFonts w:hint="default" w:ascii="Times New Roman" w:hAnsi="Times New Roman" w:eastAsia="宋体" w:cs="Times New Roman"/>
                      <w:b w:val="0"/>
                      <w:bCs w:val="0"/>
                      <w:color w:val="FF0000"/>
                      <w:sz w:val="21"/>
                      <w:szCs w:val="21"/>
                      <w:highlight w:val="none"/>
                    </w:rPr>
                    <w:t>cm/s的其他防渗措施。</w:t>
                  </w:r>
                </w:p>
              </w:tc>
              <w:tc>
                <w:tcPr>
                  <w:tcW w:w="1177" w:type="dxa"/>
                  <w:vAlign w:val="center"/>
                </w:tcPr>
                <w:p w14:paraId="4C37394C">
                  <w:pPr>
                    <w:spacing w:line="240" w:lineRule="auto"/>
                    <w:jc w:val="center"/>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z w:val="21"/>
                      <w:szCs w:val="21"/>
                      <w:highlight w:val="none"/>
                    </w:rPr>
                    <w:t>环评提出</w:t>
                  </w:r>
                </w:p>
              </w:tc>
            </w:tr>
            <w:tr w14:paraId="0A525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0" w:hRule="atLeast"/>
              </w:trPr>
              <w:tc>
                <w:tcPr>
                  <w:tcW w:w="673" w:type="dxa"/>
                  <w:vMerge w:val="restart"/>
                  <w:vAlign w:val="center"/>
                </w:tcPr>
                <w:p w14:paraId="37FCA098">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储运工程</w:t>
                  </w:r>
                </w:p>
              </w:tc>
              <w:tc>
                <w:tcPr>
                  <w:tcW w:w="1592" w:type="dxa"/>
                  <w:gridSpan w:val="2"/>
                  <w:vAlign w:val="center"/>
                </w:tcPr>
                <w:p w14:paraId="3E994DDB">
                  <w:pPr>
                    <w:adjustRightInd w:val="0"/>
                    <w:snapToGrid w:val="0"/>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原料、成品储存系统</w:t>
                  </w:r>
                </w:p>
              </w:tc>
              <w:tc>
                <w:tcPr>
                  <w:tcW w:w="3975" w:type="dxa"/>
                  <w:vAlign w:val="center"/>
                </w:tcPr>
                <w:p w14:paraId="0BADA674">
                  <w:pPr>
                    <w:adjustRightInd w:val="0"/>
                    <w:snapToGrid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设置1间</w:t>
                  </w:r>
                  <w:r>
                    <w:rPr>
                      <w:rFonts w:hint="default" w:ascii="Times New Roman" w:hAnsi="Times New Roman" w:eastAsia="宋体" w:cs="Times New Roman"/>
                      <w:b w:val="0"/>
                      <w:bCs w:val="0"/>
                      <w:color w:val="auto"/>
                      <w:sz w:val="21"/>
                      <w:szCs w:val="21"/>
                      <w:lang w:val="en-US" w:eastAsia="zh-CN"/>
                    </w:rPr>
                    <w:t>500</w:t>
                  </w:r>
                  <w:r>
                    <w:rPr>
                      <w:rFonts w:hint="default" w:ascii="Times New Roman" w:hAnsi="Times New Roman" w:eastAsia="宋体" w:cs="Times New Roman"/>
                      <w:b w:val="0"/>
                      <w:bCs w:val="0"/>
                      <w:color w:val="auto"/>
                      <w:sz w:val="21"/>
                      <w:szCs w:val="21"/>
                    </w:rPr>
                    <w:t>m</w:t>
                  </w:r>
                  <w:r>
                    <w:rPr>
                      <w:rFonts w:hint="default" w:ascii="Times New Roman" w:hAnsi="Times New Roman" w:eastAsia="宋体" w:cs="Times New Roman"/>
                      <w:b w:val="0"/>
                      <w:bCs w:val="0"/>
                      <w:color w:val="auto"/>
                      <w:sz w:val="21"/>
                      <w:szCs w:val="21"/>
                      <w:vertAlign w:val="superscript"/>
                    </w:rPr>
                    <w:t>2</w:t>
                  </w:r>
                  <w:r>
                    <w:rPr>
                      <w:rFonts w:hint="default" w:ascii="Times New Roman" w:hAnsi="Times New Roman" w:eastAsia="宋体" w:cs="Times New Roman"/>
                      <w:b w:val="0"/>
                      <w:bCs w:val="0"/>
                      <w:color w:val="auto"/>
                      <w:sz w:val="21"/>
                      <w:szCs w:val="21"/>
                    </w:rPr>
                    <w:t>原料库，原料最大存储量约</w:t>
                  </w:r>
                  <w:r>
                    <w:rPr>
                      <w:rFonts w:hint="default" w:ascii="Times New Roman" w:hAnsi="Times New Roman" w:eastAsia="宋体" w:cs="Times New Roman"/>
                      <w:b w:val="0"/>
                      <w:bCs w:val="0"/>
                      <w:color w:val="auto"/>
                      <w:sz w:val="21"/>
                      <w:szCs w:val="21"/>
                      <w:lang w:val="en-US" w:eastAsia="zh-CN"/>
                    </w:rPr>
                    <w:t>300</w:t>
                  </w:r>
                  <w:r>
                    <w:rPr>
                      <w:rFonts w:hint="default" w:ascii="Times New Roman" w:hAnsi="Times New Roman" w:eastAsia="宋体" w:cs="Times New Roman"/>
                      <w:b w:val="0"/>
                      <w:bCs w:val="0"/>
                      <w:color w:val="auto"/>
                      <w:sz w:val="21"/>
                      <w:szCs w:val="21"/>
                    </w:rPr>
                    <w:t>t；设置1间</w:t>
                  </w:r>
                  <w:r>
                    <w:rPr>
                      <w:rFonts w:hint="default" w:ascii="Times New Roman" w:hAnsi="Times New Roman" w:eastAsia="宋体" w:cs="Times New Roman"/>
                      <w:b w:val="0"/>
                      <w:bCs w:val="0"/>
                      <w:color w:val="auto"/>
                      <w:sz w:val="21"/>
                      <w:szCs w:val="21"/>
                      <w:lang w:val="en-US" w:eastAsia="zh-CN"/>
                    </w:rPr>
                    <w:t>500</w:t>
                  </w:r>
                  <w:r>
                    <w:rPr>
                      <w:rFonts w:hint="default" w:ascii="Times New Roman" w:hAnsi="Times New Roman" w:eastAsia="宋体" w:cs="Times New Roman"/>
                      <w:b w:val="0"/>
                      <w:bCs w:val="0"/>
                      <w:color w:val="auto"/>
                      <w:sz w:val="21"/>
                      <w:szCs w:val="21"/>
                    </w:rPr>
                    <w:t>m</w:t>
                  </w:r>
                  <w:r>
                    <w:rPr>
                      <w:rFonts w:hint="default" w:ascii="Times New Roman" w:hAnsi="Times New Roman" w:eastAsia="宋体" w:cs="Times New Roman"/>
                      <w:b w:val="0"/>
                      <w:bCs w:val="0"/>
                      <w:color w:val="auto"/>
                      <w:sz w:val="21"/>
                      <w:szCs w:val="21"/>
                      <w:vertAlign w:val="superscript"/>
                    </w:rPr>
                    <w:t>2</w:t>
                  </w:r>
                  <w:r>
                    <w:rPr>
                      <w:rFonts w:hint="default" w:ascii="Times New Roman" w:hAnsi="Times New Roman" w:eastAsia="宋体" w:cs="Times New Roman"/>
                      <w:b w:val="0"/>
                      <w:bCs w:val="0"/>
                      <w:color w:val="auto"/>
                      <w:sz w:val="21"/>
                      <w:szCs w:val="21"/>
                    </w:rPr>
                    <w:t>成品库，产品最大储存量约</w:t>
                  </w:r>
                  <w:r>
                    <w:rPr>
                      <w:rFonts w:hint="default"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00t；热风炉旁设置1间30m</w:t>
                  </w:r>
                  <w:r>
                    <w:rPr>
                      <w:rFonts w:hint="default" w:ascii="Times New Roman" w:hAnsi="Times New Roman" w:eastAsia="宋体" w:cs="Times New Roman"/>
                      <w:b w:val="0"/>
                      <w:bCs w:val="0"/>
                      <w:color w:val="auto"/>
                      <w:sz w:val="21"/>
                      <w:szCs w:val="21"/>
                      <w:vertAlign w:val="superscript"/>
                    </w:rPr>
                    <w:t>2</w:t>
                  </w:r>
                  <w:r>
                    <w:rPr>
                      <w:rFonts w:hint="default" w:ascii="Times New Roman" w:hAnsi="Times New Roman" w:eastAsia="宋体" w:cs="Times New Roman"/>
                      <w:b w:val="0"/>
                      <w:bCs w:val="0"/>
                      <w:color w:val="auto"/>
                      <w:sz w:val="21"/>
                      <w:szCs w:val="21"/>
                    </w:rPr>
                    <w:t>一般固废暂存间，用于暂存炉渣等一般固废，最大储存量约10t</w:t>
                  </w:r>
                </w:p>
              </w:tc>
              <w:tc>
                <w:tcPr>
                  <w:tcW w:w="1177" w:type="dxa"/>
                  <w:vAlign w:val="center"/>
                </w:tcPr>
                <w:p w14:paraId="4F9E5104">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新建</w:t>
                  </w:r>
                </w:p>
              </w:tc>
            </w:tr>
            <w:tr w14:paraId="1F54E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673" w:type="dxa"/>
                  <w:vMerge w:val="continue"/>
                  <w:vAlign w:val="center"/>
                </w:tcPr>
                <w:p w14:paraId="036C22B6">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1592" w:type="dxa"/>
                  <w:gridSpan w:val="2"/>
                  <w:vAlign w:val="center"/>
                </w:tcPr>
                <w:p w14:paraId="58E37682">
                  <w:pPr>
                    <w:adjustRightInd w:val="0"/>
                    <w:snapToGrid w:val="0"/>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转运系统</w:t>
                  </w:r>
                </w:p>
              </w:tc>
              <w:tc>
                <w:tcPr>
                  <w:tcW w:w="3975" w:type="dxa"/>
                  <w:vAlign w:val="center"/>
                </w:tcPr>
                <w:p w14:paraId="5768194D">
                  <w:pPr>
                    <w:adjustRightInd w:val="0"/>
                    <w:snapToGrid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原料、产品采样汽车运输，场内采样装载机进行物料转载，</w:t>
                  </w:r>
                  <w:r>
                    <w:rPr>
                      <w:rFonts w:hint="default" w:ascii="Times New Roman" w:hAnsi="Times New Roman" w:eastAsia="宋体" w:cs="Times New Roman"/>
                      <w:b w:val="0"/>
                      <w:bCs w:val="0"/>
                      <w:color w:val="auto"/>
                      <w:sz w:val="21"/>
                      <w:szCs w:val="21"/>
                      <w:lang w:eastAsia="zh-CN"/>
                    </w:rPr>
                    <w:t>热风炉</w:t>
                  </w:r>
                  <w:r>
                    <w:rPr>
                      <w:rFonts w:hint="default" w:ascii="Times New Roman" w:hAnsi="Times New Roman" w:eastAsia="宋体" w:cs="Times New Roman"/>
                      <w:b w:val="0"/>
                      <w:bCs w:val="0"/>
                      <w:color w:val="auto"/>
                      <w:sz w:val="21"/>
                      <w:szCs w:val="21"/>
                    </w:rPr>
                    <w:t>上料设置输送机进行上料</w:t>
                  </w:r>
                </w:p>
              </w:tc>
              <w:tc>
                <w:tcPr>
                  <w:tcW w:w="1177" w:type="dxa"/>
                  <w:vAlign w:val="center"/>
                </w:tcPr>
                <w:p w14:paraId="5FB6E39B">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新建</w:t>
                  </w:r>
                </w:p>
              </w:tc>
            </w:tr>
            <w:tr w14:paraId="0A7D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673" w:type="dxa"/>
                  <w:vMerge w:val="restart"/>
                  <w:vAlign w:val="center"/>
                </w:tcPr>
                <w:p w14:paraId="5EC236FF">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依托工程</w:t>
                  </w:r>
                </w:p>
              </w:tc>
              <w:tc>
                <w:tcPr>
                  <w:tcW w:w="1592" w:type="dxa"/>
                  <w:gridSpan w:val="2"/>
                  <w:vAlign w:val="center"/>
                </w:tcPr>
                <w:p w14:paraId="296AFA1D">
                  <w:pPr>
                    <w:tabs>
                      <w:tab w:val="center" w:pos="1507"/>
                    </w:tabs>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eastAsia="zh-CN"/>
                    </w:rPr>
                    <w:t>办公生活区</w:t>
                  </w:r>
                </w:p>
              </w:tc>
              <w:tc>
                <w:tcPr>
                  <w:tcW w:w="3975" w:type="dxa"/>
                  <w:vAlign w:val="center"/>
                </w:tcPr>
                <w:p w14:paraId="5F8B88C7">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eastAsia="zh-CN"/>
                    </w:rPr>
                    <w:t>租用项目区南侧闲置民房，建筑面积</w:t>
                  </w:r>
                  <w:r>
                    <w:rPr>
                      <w:rFonts w:hint="default" w:ascii="Times New Roman" w:hAnsi="Times New Roman" w:eastAsia="宋体" w:cs="Times New Roman"/>
                      <w:b w:val="0"/>
                      <w:bCs w:val="0"/>
                      <w:color w:val="auto"/>
                      <w:sz w:val="21"/>
                      <w:szCs w:val="21"/>
                      <w:lang w:val="en-US" w:eastAsia="zh-CN"/>
                    </w:rPr>
                    <w:t>400m</w:t>
                  </w:r>
                  <w:r>
                    <w:rPr>
                      <w:rFonts w:hint="default" w:ascii="Times New Roman" w:hAnsi="Times New Roman" w:eastAsia="宋体" w:cs="Times New Roman"/>
                      <w:b w:val="0"/>
                      <w:bCs w:val="0"/>
                      <w:color w:val="auto"/>
                      <w:sz w:val="21"/>
                      <w:szCs w:val="21"/>
                      <w:vertAlign w:val="superscript"/>
                      <w:lang w:val="en-US" w:eastAsia="zh-CN"/>
                    </w:rPr>
                    <w:t>2</w:t>
                  </w:r>
                </w:p>
              </w:tc>
              <w:tc>
                <w:tcPr>
                  <w:tcW w:w="1177" w:type="dxa"/>
                  <w:vAlign w:val="center"/>
                </w:tcPr>
                <w:p w14:paraId="39EBBA68">
                  <w:pPr>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依托改造</w:t>
                  </w:r>
                </w:p>
              </w:tc>
            </w:tr>
            <w:tr w14:paraId="2F943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673" w:type="dxa"/>
                  <w:vMerge w:val="continue"/>
                  <w:vAlign w:val="center"/>
                </w:tcPr>
                <w:p w14:paraId="3355DDBA">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1592" w:type="dxa"/>
                  <w:gridSpan w:val="2"/>
                  <w:vAlign w:val="center"/>
                </w:tcPr>
                <w:p w14:paraId="60F1A9F5">
                  <w:pPr>
                    <w:tabs>
                      <w:tab w:val="center" w:pos="1507"/>
                    </w:tabs>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职工</w:t>
                  </w:r>
                  <w:r>
                    <w:rPr>
                      <w:rFonts w:hint="default" w:ascii="Times New Roman" w:hAnsi="Times New Roman" w:eastAsia="宋体" w:cs="Times New Roman"/>
                      <w:b w:val="0"/>
                      <w:bCs w:val="0"/>
                      <w:color w:val="auto"/>
                      <w:sz w:val="21"/>
                      <w:szCs w:val="21"/>
                    </w:rPr>
                    <w:t>宿舍</w:t>
                  </w:r>
                </w:p>
              </w:tc>
              <w:tc>
                <w:tcPr>
                  <w:tcW w:w="3975" w:type="dxa"/>
                  <w:vAlign w:val="center"/>
                </w:tcPr>
                <w:p w14:paraId="3B16F7FB">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租用项目区附近闲置民房</w:t>
                  </w:r>
                </w:p>
              </w:tc>
              <w:tc>
                <w:tcPr>
                  <w:tcW w:w="1177" w:type="dxa"/>
                  <w:vAlign w:val="center"/>
                </w:tcPr>
                <w:p w14:paraId="7EEA90B6">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依托改造</w:t>
                  </w:r>
                </w:p>
              </w:tc>
            </w:tr>
            <w:tr w14:paraId="218EA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673" w:type="dxa"/>
                  <w:vMerge w:val="continue"/>
                  <w:vAlign w:val="center"/>
                </w:tcPr>
                <w:p w14:paraId="07C8DC78">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1592" w:type="dxa"/>
                  <w:gridSpan w:val="2"/>
                  <w:vAlign w:val="center"/>
                </w:tcPr>
                <w:p w14:paraId="303F078B">
                  <w:pPr>
                    <w:tabs>
                      <w:tab w:val="center" w:pos="1507"/>
                    </w:tabs>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食堂油烟</w:t>
                  </w:r>
                </w:p>
              </w:tc>
              <w:tc>
                <w:tcPr>
                  <w:tcW w:w="3975" w:type="dxa"/>
                  <w:vAlign w:val="center"/>
                </w:tcPr>
                <w:p w14:paraId="028DFB11">
                  <w:pPr>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租用附近民房，</w:t>
                  </w:r>
                  <w:r>
                    <w:rPr>
                      <w:rFonts w:hint="default" w:ascii="Times New Roman" w:hAnsi="Times New Roman" w:eastAsia="宋体" w:cs="Times New Roman"/>
                      <w:b w:val="0"/>
                      <w:bCs w:val="0"/>
                      <w:color w:val="auto"/>
                      <w:sz w:val="21"/>
                      <w:szCs w:val="21"/>
                    </w:rPr>
                    <w:t>食堂设置一套油烟净化装置（净化效率不低于60%）处理后外排</w:t>
                  </w:r>
                </w:p>
              </w:tc>
              <w:tc>
                <w:tcPr>
                  <w:tcW w:w="1177" w:type="dxa"/>
                  <w:vAlign w:val="center"/>
                </w:tcPr>
                <w:p w14:paraId="459C70E0">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依托改造</w:t>
                  </w:r>
                </w:p>
              </w:tc>
            </w:tr>
            <w:tr w14:paraId="10BB2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673" w:type="dxa"/>
                  <w:vMerge w:val="continue"/>
                  <w:vAlign w:val="center"/>
                </w:tcPr>
                <w:p w14:paraId="2DFC8550">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1592" w:type="dxa"/>
                  <w:gridSpan w:val="2"/>
                  <w:vAlign w:val="center"/>
                </w:tcPr>
                <w:p w14:paraId="06A62445">
                  <w:pPr>
                    <w:adjustRightInd w:val="0"/>
                    <w:snapToGrid w:val="0"/>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生活污水</w:t>
                  </w:r>
                </w:p>
                <w:p w14:paraId="192730C3">
                  <w:pPr>
                    <w:tabs>
                      <w:tab w:val="center" w:pos="1507"/>
                    </w:tabs>
                    <w:spacing w:line="240" w:lineRule="auto"/>
                    <w:jc w:val="center"/>
                    <w:rPr>
                      <w:rFonts w:hint="default" w:ascii="Times New Roman" w:hAnsi="Times New Roman" w:eastAsia="宋体" w:cs="Times New Roman"/>
                      <w:b w:val="0"/>
                      <w:bCs w:val="0"/>
                      <w:color w:val="auto"/>
                      <w:sz w:val="21"/>
                      <w:szCs w:val="21"/>
                    </w:rPr>
                  </w:pPr>
                </w:p>
              </w:tc>
              <w:tc>
                <w:tcPr>
                  <w:tcW w:w="3975" w:type="dxa"/>
                  <w:vAlign w:val="center"/>
                </w:tcPr>
                <w:p w14:paraId="4CE9A978">
                  <w:pPr>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租用附近民房，</w:t>
                  </w:r>
                  <w:r>
                    <w:rPr>
                      <w:rFonts w:hint="default" w:ascii="Times New Roman" w:hAnsi="Times New Roman" w:eastAsia="宋体" w:cs="Times New Roman"/>
                      <w:b w:val="0"/>
                      <w:bCs w:val="0"/>
                      <w:color w:val="auto"/>
                      <w:sz w:val="21"/>
                      <w:szCs w:val="21"/>
                    </w:rPr>
                    <w:t>餐饮废水经</w:t>
                  </w:r>
                  <w:r>
                    <w:rPr>
                      <w:rFonts w:hint="default" w:ascii="Times New Roman" w:hAnsi="Times New Roman" w:eastAsia="宋体" w:cs="Times New Roman"/>
                      <w:b w:val="0"/>
                      <w:bCs w:val="0"/>
                      <w:color w:val="auto"/>
                      <w:sz w:val="21"/>
                      <w:szCs w:val="21"/>
                      <w:lang w:eastAsia="zh-CN"/>
                    </w:rPr>
                    <w:t>油水分离池</w:t>
                  </w:r>
                  <w:r>
                    <w:rPr>
                      <w:rFonts w:hint="default" w:ascii="Times New Roman" w:hAnsi="Times New Roman" w:eastAsia="宋体" w:cs="Times New Roman"/>
                      <w:b w:val="0"/>
                      <w:bCs w:val="0"/>
                      <w:color w:val="auto"/>
                      <w:sz w:val="21"/>
                      <w:szCs w:val="21"/>
                    </w:rPr>
                    <w:t>处理后排入卫浴间三级化粪池处理后用于农田、耕地、果园等</w:t>
                  </w:r>
                  <w:r>
                    <w:rPr>
                      <w:rFonts w:hint="default" w:ascii="Times New Roman" w:hAnsi="Times New Roman" w:eastAsia="宋体" w:cs="Times New Roman"/>
                      <w:b w:val="0"/>
                      <w:bCs w:val="0"/>
                      <w:color w:val="auto"/>
                      <w:sz w:val="21"/>
                      <w:szCs w:val="21"/>
                      <w:lang w:eastAsia="zh-CN"/>
                    </w:rPr>
                    <w:t>做农肥</w:t>
                  </w:r>
                </w:p>
              </w:tc>
              <w:tc>
                <w:tcPr>
                  <w:tcW w:w="1177" w:type="dxa"/>
                  <w:vAlign w:val="center"/>
                </w:tcPr>
                <w:p w14:paraId="25FBBD47">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依托改造</w:t>
                  </w:r>
                </w:p>
              </w:tc>
            </w:tr>
            <w:tr w14:paraId="16E9E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673" w:type="dxa"/>
                  <w:vMerge w:val="continue"/>
                  <w:vAlign w:val="center"/>
                </w:tcPr>
                <w:p w14:paraId="054C77EE">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6744" w:type="dxa"/>
                  <w:gridSpan w:val="4"/>
                  <w:vAlign w:val="center"/>
                </w:tcPr>
                <w:p w14:paraId="0AB0B066">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依托原有项目供电、供水等其他所有工程内容</w:t>
                  </w:r>
                </w:p>
              </w:tc>
            </w:tr>
          </w:tbl>
          <w:p w14:paraId="2DBF62FF">
            <w:pPr>
              <w:spacing w:line="360" w:lineRule="auto"/>
              <w:ind w:firstLine="480"/>
              <w:rPr>
                <w:rFonts w:hint="default" w:ascii="Times New Roman" w:hAnsi="Times New Roman" w:eastAsia="宋体" w:cs="Times New Roman"/>
                <w:color w:val="auto"/>
                <w:sz w:val="24"/>
                <w:szCs w:val="24"/>
                <w:highlight w:val="none"/>
                <w:lang w:val="en-US" w:eastAsia="zh-CN"/>
              </w:rPr>
            </w:pPr>
          </w:p>
          <w:p w14:paraId="5935F31B">
            <w:pPr>
              <w:pStyle w:val="5"/>
              <w:numPr>
                <w:ilvl w:val="0"/>
                <w:numId w:val="0"/>
              </w:numPr>
              <w:spacing w:line="360" w:lineRule="auto"/>
              <w:ind w:left="0" w:leftChars="0" w:firstLine="0" w:firstLineChars="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b/>
                <w:bCs/>
                <w:color w:val="auto"/>
                <w:kern w:val="2"/>
                <w:sz w:val="24"/>
                <w:szCs w:val="24"/>
                <w:lang w:val="en-US" w:eastAsia="zh-CN" w:bidi="ar-SA"/>
              </w:rPr>
              <w:t>3.</w:t>
            </w:r>
            <w:r>
              <w:rPr>
                <w:rFonts w:hint="default" w:ascii="Times New Roman" w:hAnsi="Times New Roman" w:cs="Times New Roman" w:eastAsiaTheme="minorEastAsia"/>
                <w:color w:val="auto"/>
                <w:sz w:val="24"/>
                <w:szCs w:val="24"/>
                <w:lang w:val="en-US" w:eastAsia="zh-CN"/>
              </w:rPr>
              <w:t>主要产品及产能</w:t>
            </w:r>
          </w:p>
          <w:p w14:paraId="041E8E44">
            <w:pPr>
              <w:spacing w:line="360" w:lineRule="auto"/>
              <w:ind w:firstLine="540" w:firstLineChars="225"/>
              <w:rPr>
                <w:rFonts w:hint="default" w:ascii="Times New Roman" w:hAnsi="Times New Roman" w:cs="Times New Roman" w:eastAsiaTheme="minorEastAsia"/>
                <w:snapToGrid w:val="0"/>
                <w:color w:val="auto"/>
                <w:sz w:val="24"/>
                <w:szCs w:val="24"/>
                <w:shd w:val="clear" w:fill="00B050"/>
              </w:rPr>
            </w:pPr>
            <w:r>
              <w:rPr>
                <w:rFonts w:hint="default" w:ascii="Times New Roman" w:hAnsi="Times New Roman" w:cs="Times New Roman" w:eastAsiaTheme="minorEastAsia"/>
                <w:color w:val="auto"/>
                <w:sz w:val="24"/>
                <w:szCs w:val="24"/>
              </w:rPr>
              <w:t>项目主要产品为机制炭，</w:t>
            </w:r>
            <w:r>
              <w:rPr>
                <w:rFonts w:hint="default" w:ascii="Times New Roman" w:hAnsi="Times New Roman" w:cs="Times New Roman" w:eastAsiaTheme="minorEastAsia"/>
                <w:color w:val="auto"/>
                <w:kern w:val="0"/>
                <w:sz w:val="24"/>
                <w:szCs w:val="24"/>
                <w:lang w:bidi="ar"/>
              </w:rPr>
              <w:t>结合市场对环保型机制炭需求，</w:t>
            </w:r>
            <w:r>
              <w:rPr>
                <w:rFonts w:hint="default" w:ascii="Times New Roman" w:hAnsi="Times New Roman" w:cs="Times New Roman" w:eastAsiaTheme="minorEastAsia"/>
                <w:color w:val="auto"/>
                <w:sz w:val="24"/>
                <w:szCs w:val="24"/>
                <w:shd w:val="clear"/>
              </w:rPr>
              <w:t>项目产量</w:t>
            </w:r>
            <w:r>
              <w:rPr>
                <w:rFonts w:hint="eastAsia" w:ascii="Times New Roman" w:hAnsi="Times New Roman" w:cs="Times New Roman" w:eastAsiaTheme="minorEastAsia"/>
                <w:color w:val="auto"/>
                <w:sz w:val="24"/>
                <w:szCs w:val="24"/>
                <w:shd w:val="clear"/>
                <w:lang w:eastAsia="zh-CN"/>
              </w:rPr>
              <w:t>为</w:t>
            </w:r>
            <w:r>
              <w:rPr>
                <w:rFonts w:hint="eastAsia" w:ascii="Times New Roman" w:hAnsi="Times New Roman" w:cs="Times New Roman" w:eastAsiaTheme="minorEastAsia"/>
                <w:color w:val="auto"/>
                <w:sz w:val="24"/>
                <w:szCs w:val="24"/>
                <w:shd w:val="clear"/>
                <w:lang w:val="en-US" w:eastAsia="zh-CN"/>
              </w:rPr>
              <w:t>9600t</w:t>
            </w:r>
            <w:r>
              <w:rPr>
                <w:rFonts w:hint="default" w:ascii="Times New Roman" w:hAnsi="Times New Roman" w:cs="Times New Roman" w:eastAsiaTheme="minorEastAsia"/>
                <w:color w:val="auto"/>
                <w:sz w:val="24"/>
                <w:szCs w:val="24"/>
                <w:shd w:val="clear"/>
              </w:rPr>
              <w:t>，产生的</w:t>
            </w:r>
            <w:r>
              <w:rPr>
                <w:rFonts w:hint="default" w:ascii="Times New Roman" w:hAnsi="Times New Roman" w:cs="Times New Roman" w:eastAsiaTheme="minorEastAsia"/>
                <w:color w:val="auto"/>
                <w:spacing w:val="3"/>
                <w:sz w:val="24"/>
                <w:szCs w:val="24"/>
                <w:shd w:val="clear"/>
              </w:rPr>
              <w:t>木焦油、木醋液</w:t>
            </w:r>
            <w:r>
              <w:rPr>
                <w:rFonts w:hint="eastAsia" w:ascii="Times New Roman" w:hAnsi="Times New Roman" w:cs="Times New Roman" w:eastAsiaTheme="minorEastAsia"/>
                <w:color w:val="auto"/>
                <w:spacing w:val="3"/>
                <w:sz w:val="24"/>
                <w:szCs w:val="24"/>
                <w:shd w:val="clear"/>
                <w:lang w:eastAsia="zh-CN"/>
              </w:rPr>
              <w:t>经</w:t>
            </w:r>
            <w:r>
              <w:rPr>
                <w:rFonts w:hint="eastAsia" w:cs="Times New Roman"/>
                <w:b w:val="0"/>
                <w:bCs w:val="0"/>
                <w:color w:val="auto"/>
                <w:sz w:val="24"/>
                <w:szCs w:val="24"/>
                <w:lang w:val="en-US" w:eastAsia="zh-CN"/>
              </w:rPr>
              <w:t>木醋液、木焦油收集</w:t>
            </w:r>
            <w:r>
              <w:rPr>
                <w:rFonts w:hint="eastAsia" w:ascii="Times New Roman" w:hAnsi="Times New Roman" w:cs="Times New Roman" w:eastAsiaTheme="minorEastAsia"/>
                <w:color w:val="auto"/>
                <w:spacing w:val="3"/>
                <w:sz w:val="24"/>
                <w:szCs w:val="24"/>
                <w:shd w:val="clear"/>
                <w:lang w:eastAsia="zh-CN"/>
              </w:rPr>
              <w:t>池后</w:t>
            </w:r>
            <w:r>
              <w:rPr>
                <w:rFonts w:hint="eastAsia" w:cs="Times New Roman" w:eastAsiaTheme="minorEastAsia"/>
                <w:color w:val="auto"/>
                <w:spacing w:val="3"/>
                <w:sz w:val="24"/>
                <w:szCs w:val="24"/>
                <w:shd w:val="clear"/>
                <w:lang w:eastAsia="zh-CN"/>
              </w:rPr>
              <w:t>引</w:t>
            </w:r>
            <w:r>
              <w:rPr>
                <w:rFonts w:hint="eastAsia" w:ascii="Times New Roman" w:hAnsi="Times New Roman" w:cs="Times New Roman" w:eastAsiaTheme="minorEastAsia"/>
                <w:color w:val="auto"/>
                <w:spacing w:val="3"/>
                <w:sz w:val="24"/>
                <w:szCs w:val="24"/>
                <w:shd w:val="clear"/>
                <w:lang w:eastAsia="zh-CN"/>
              </w:rPr>
              <w:t>入烘干热风炉</w:t>
            </w:r>
            <w:r>
              <w:rPr>
                <w:rFonts w:hint="eastAsia" w:cs="Times New Roman" w:eastAsiaTheme="minorEastAsia"/>
                <w:color w:val="auto"/>
                <w:spacing w:val="3"/>
                <w:sz w:val="24"/>
                <w:szCs w:val="24"/>
                <w:shd w:val="clear"/>
                <w:lang w:eastAsia="zh-CN"/>
              </w:rPr>
              <w:t>燃烧</w:t>
            </w:r>
            <w:r>
              <w:rPr>
                <w:rFonts w:hint="eastAsia" w:ascii="Times New Roman" w:hAnsi="Times New Roman" w:cs="Times New Roman" w:eastAsiaTheme="minorEastAsia"/>
                <w:color w:val="auto"/>
                <w:spacing w:val="3"/>
                <w:sz w:val="24"/>
                <w:szCs w:val="24"/>
                <w:shd w:val="clear"/>
                <w:lang w:eastAsia="zh-CN"/>
              </w:rPr>
              <w:t>，</w:t>
            </w:r>
            <w:r>
              <w:rPr>
                <w:rFonts w:hint="default" w:ascii="Times New Roman" w:hAnsi="Times New Roman" w:cs="Times New Roman" w:eastAsiaTheme="minorEastAsia"/>
                <w:color w:val="auto"/>
                <w:sz w:val="24"/>
                <w:szCs w:val="24"/>
                <w:shd w:val="clear"/>
              </w:rPr>
              <w:t>无副产品产生，具体</w:t>
            </w:r>
            <w:r>
              <w:rPr>
                <w:rFonts w:hint="default" w:ascii="Times New Roman" w:hAnsi="Times New Roman" w:cs="Times New Roman" w:eastAsiaTheme="minorEastAsia"/>
                <w:color w:val="auto"/>
                <w:sz w:val="24"/>
                <w:szCs w:val="24"/>
                <w:shd w:val="clear"/>
                <w:lang w:val="zh-CN"/>
              </w:rPr>
              <w:t>产品方案见表</w:t>
            </w:r>
            <w:r>
              <w:rPr>
                <w:rFonts w:hint="default" w:ascii="Times New Roman" w:hAnsi="Times New Roman" w:cs="Times New Roman" w:eastAsiaTheme="minorEastAsia"/>
                <w:snapToGrid w:val="0"/>
                <w:color w:val="auto"/>
                <w:sz w:val="24"/>
                <w:szCs w:val="24"/>
                <w:shd w:val="clear"/>
              </w:rPr>
              <w:t>2-2。</w:t>
            </w:r>
          </w:p>
          <w:p w14:paraId="7F917BED">
            <w:pPr>
              <w:spacing w:line="360" w:lineRule="auto"/>
              <w:jc w:val="center"/>
              <w:rPr>
                <w:rFonts w:hint="default" w:ascii="Times New Roman" w:hAnsi="Times New Roman" w:cs="Times New Roman" w:eastAsiaTheme="minorEastAsia"/>
                <w:b/>
                <w:bCs/>
                <w:snapToGrid w:val="0"/>
                <w:color w:val="auto"/>
                <w:sz w:val="24"/>
                <w:szCs w:val="24"/>
              </w:rPr>
            </w:pPr>
            <w:r>
              <w:rPr>
                <w:rFonts w:hint="default" w:ascii="Times New Roman" w:hAnsi="Times New Roman" w:cs="Times New Roman" w:eastAsiaTheme="minorEastAsia"/>
                <w:b/>
                <w:bCs/>
                <w:snapToGrid w:val="0"/>
                <w:color w:val="auto"/>
                <w:sz w:val="24"/>
                <w:szCs w:val="24"/>
              </w:rPr>
              <w:t>表2-2   产品产量方案一览表</w:t>
            </w:r>
          </w:p>
          <w:tbl>
            <w:tblPr>
              <w:tblStyle w:val="23"/>
              <w:tblW w:w="71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6"/>
              <w:gridCol w:w="2197"/>
              <w:gridCol w:w="3856"/>
            </w:tblGrid>
            <w:tr w14:paraId="2C3CF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jc w:val="center"/>
              </w:trPr>
              <w:tc>
                <w:tcPr>
                  <w:tcW w:w="784" w:type="pct"/>
                  <w:noWrap w:val="0"/>
                  <w:vAlign w:val="center"/>
                </w:tcPr>
                <w:p w14:paraId="5BDDAAFD">
                  <w:pPr>
                    <w:widowControl/>
                    <w:spacing w:line="36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名称</w:t>
                  </w:r>
                </w:p>
              </w:tc>
              <w:tc>
                <w:tcPr>
                  <w:tcW w:w="1530" w:type="pct"/>
                  <w:tcBorders>
                    <w:right w:val="single" w:color="auto" w:sz="4" w:space="0"/>
                  </w:tcBorders>
                  <w:noWrap w:val="0"/>
                  <w:vAlign w:val="center"/>
                </w:tcPr>
                <w:p w14:paraId="740FDC5D">
                  <w:pPr>
                    <w:widowControl/>
                    <w:spacing w:line="36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产量（t/a）</w:t>
                  </w:r>
                </w:p>
              </w:tc>
              <w:tc>
                <w:tcPr>
                  <w:tcW w:w="2685" w:type="pct"/>
                  <w:tcBorders>
                    <w:left w:val="single" w:color="auto" w:sz="4" w:space="0"/>
                  </w:tcBorders>
                  <w:noWrap w:val="0"/>
                  <w:vAlign w:val="center"/>
                </w:tcPr>
                <w:p w14:paraId="24BBEE55">
                  <w:pPr>
                    <w:widowControl/>
                    <w:spacing w:line="36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规格尺寸</w:t>
                  </w:r>
                </w:p>
              </w:tc>
            </w:tr>
            <w:tr w14:paraId="57739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6" w:hRule="atLeast"/>
                <w:jc w:val="center"/>
              </w:trPr>
              <w:tc>
                <w:tcPr>
                  <w:tcW w:w="784" w:type="pct"/>
                  <w:noWrap w:val="0"/>
                  <w:vAlign w:val="center"/>
                </w:tcPr>
                <w:p w14:paraId="50878074">
                  <w:pPr>
                    <w:pStyle w:val="12"/>
                    <w:spacing w:line="36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机制炭</w:t>
                  </w:r>
                </w:p>
              </w:tc>
              <w:tc>
                <w:tcPr>
                  <w:tcW w:w="1530" w:type="pct"/>
                  <w:noWrap w:val="0"/>
                  <w:vAlign w:val="center"/>
                </w:tcPr>
                <w:p w14:paraId="07C43535">
                  <w:pPr>
                    <w:pStyle w:val="12"/>
                    <w:spacing w:line="36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9600</w:t>
                  </w:r>
                </w:p>
              </w:tc>
              <w:tc>
                <w:tcPr>
                  <w:tcW w:w="2685" w:type="pct"/>
                  <w:tcBorders>
                    <w:right w:val="single" w:color="auto" w:sz="4" w:space="0"/>
                  </w:tcBorders>
                  <w:noWrap w:val="0"/>
                  <w:vAlign w:val="center"/>
                </w:tcPr>
                <w:p w14:paraId="5F2F38C9">
                  <w:pPr>
                    <w:pStyle w:val="12"/>
                    <w:numPr>
                      <w:ilvl w:val="0"/>
                      <w:numId w:val="5"/>
                    </w:numPr>
                    <w:spacing w:line="36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-40cm，20kg /箱，50×28×32cm</w:t>
                  </w:r>
                </w:p>
              </w:tc>
            </w:tr>
          </w:tbl>
          <w:p w14:paraId="271455F3">
            <w:pPr>
              <w:pStyle w:val="5"/>
              <w:numPr>
                <w:ilvl w:val="0"/>
                <w:numId w:val="0"/>
              </w:numPr>
              <w:spacing w:line="360" w:lineRule="auto"/>
              <w:rPr>
                <w:rFonts w:hint="default" w:ascii="Times New Roman" w:hAnsi="Times New Roman" w:cs="Times New Roman" w:eastAsiaTheme="minorEastAsia"/>
                <w:color w:val="auto"/>
                <w:sz w:val="21"/>
                <w:szCs w:val="21"/>
                <w:lang w:val="en-US" w:eastAsia="zh-CN"/>
              </w:rPr>
            </w:pPr>
          </w:p>
          <w:p w14:paraId="79350346">
            <w:pPr>
              <w:numPr>
                <w:ilvl w:val="0"/>
                <w:numId w:val="0"/>
              </w:numPr>
              <w:spacing w:line="360" w:lineRule="auto"/>
              <w:ind w:left="0" w:leftChars="0" w:firstLine="0" w:firstLineChars="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b/>
                <w:bCs/>
                <w:color w:val="auto"/>
                <w:kern w:val="2"/>
                <w:sz w:val="24"/>
                <w:szCs w:val="24"/>
                <w:lang w:val="en-US" w:eastAsia="zh-CN" w:bidi="ar-SA"/>
              </w:rPr>
              <w:t>4.</w:t>
            </w:r>
            <w:r>
              <w:rPr>
                <w:rFonts w:hint="default" w:ascii="Times New Roman" w:hAnsi="Times New Roman" w:cs="Times New Roman" w:eastAsiaTheme="minorEastAsia"/>
                <w:b/>
                <w:bCs/>
                <w:color w:val="auto"/>
                <w:sz w:val="24"/>
                <w:szCs w:val="24"/>
              </w:rPr>
              <w:t>项目原辅料及能源消耗</w:t>
            </w:r>
          </w:p>
          <w:p w14:paraId="52B43847">
            <w:pPr>
              <w:spacing w:line="360" w:lineRule="auto"/>
              <w:ind w:firstLine="480" w:firstLineChars="200"/>
              <w:rPr>
                <w:rFonts w:hint="default" w:ascii="Times New Roman" w:hAnsi="Times New Roman" w:cs="Times New Roman" w:eastAsiaTheme="minorEastAsia"/>
                <w:b/>
                <w:color w:val="auto"/>
                <w:sz w:val="24"/>
                <w:szCs w:val="24"/>
                <w:highlight w:val="none"/>
              </w:rPr>
            </w:pPr>
            <w:r>
              <w:rPr>
                <w:rFonts w:hint="default" w:ascii="Times New Roman" w:hAnsi="Times New Roman" w:cs="Times New Roman" w:eastAsiaTheme="minorEastAsia"/>
                <w:bCs/>
                <w:color w:val="auto"/>
                <w:sz w:val="24"/>
                <w:szCs w:val="24"/>
                <w:highlight w:val="none"/>
              </w:rPr>
              <w:t>根据</w:t>
            </w:r>
            <w:r>
              <w:rPr>
                <w:rFonts w:hint="default" w:ascii="Times New Roman" w:hAnsi="Times New Roman" w:cs="Times New Roman" w:eastAsiaTheme="minorEastAsia"/>
                <w:bCs/>
                <w:color w:val="auto"/>
                <w:sz w:val="24"/>
                <w:szCs w:val="24"/>
                <w:highlight w:val="none"/>
                <w:lang w:val="en-US" w:eastAsia="zh-CN"/>
              </w:rPr>
              <w:t>建设单位提供资料，项目原料</w:t>
            </w:r>
            <w:r>
              <w:rPr>
                <w:rFonts w:hint="eastAsia" w:cs="Times New Roman" w:eastAsiaTheme="minorEastAsia"/>
                <w:bCs/>
                <w:color w:val="auto"/>
                <w:sz w:val="24"/>
                <w:szCs w:val="24"/>
                <w:highlight w:val="none"/>
                <w:lang w:val="en-US" w:eastAsia="zh-CN"/>
              </w:rPr>
              <w:t>为</w:t>
            </w:r>
            <w:r>
              <w:rPr>
                <w:rFonts w:hint="eastAsia" w:ascii="Times New Roman" w:hAnsi="Times New Roman" w:eastAsia="宋体" w:cs="Times New Roman"/>
                <w:color w:val="auto"/>
                <w:sz w:val="24"/>
                <w:szCs w:val="24"/>
                <w:highlight w:val="none"/>
                <w:vertAlign w:val="baseline"/>
                <w:lang w:val="en-US" w:eastAsia="zh-CN"/>
              </w:rPr>
              <w:t>木屑、刨花及破碎后的作物</w:t>
            </w:r>
            <w:r>
              <w:rPr>
                <w:rFonts w:hint="default" w:ascii="Times New Roman" w:hAnsi="Times New Roman" w:eastAsia="宋体" w:cs="Times New Roman"/>
                <w:color w:val="auto"/>
                <w:sz w:val="24"/>
                <w:szCs w:val="24"/>
                <w:highlight w:val="none"/>
                <w:vertAlign w:val="baseline"/>
                <w:lang w:val="en-US" w:eastAsia="zh-CN"/>
              </w:rPr>
              <w:t>废弃物</w:t>
            </w:r>
            <w:r>
              <w:rPr>
                <w:rFonts w:hint="eastAsia" w:cs="Times New Roman"/>
                <w:color w:val="auto"/>
                <w:sz w:val="24"/>
                <w:szCs w:val="24"/>
                <w:highlight w:val="none"/>
                <w:vertAlign w:val="baseline"/>
                <w:lang w:val="en-US" w:eastAsia="zh-CN"/>
              </w:rPr>
              <w:t>，</w:t>
            </w:r>
            <w:r>
              <w:rPr>
                <w:rFonts w:hint="eastAsia" w:cs="Times New Roman"/>
                <w:color w:val="FF0000"/>
                <w:sz w:val="24"/>
                <w:szCs w:val="24"/>
                <w:highlight w:val="none"/>
                <w:vertAlign w:val="baseline"/>
                <w:lang w:val="en-US" w:eastAsia="zh-CN"/>
              </w:rPr>
              <w:t>环评要求严禁采购原木作为原料，建设单位部分原料收购合同详见附件14；项目</w:t>
            </w:r>
            <w:r>
              <w:rPr>
                <w:rFonts w:hint="default" w:ascii="Times New Roman" w:hAnsi="Times New Roman" w:cs="Times New Roman" w:eastAsiaTheme="minorEastAsia"/>
                <w:color w:val="auto"/>
                <w:sz w:val="24"/>
                <w:szCs w:val="24"/>
              </w:rPr>
              <w:t>主要原辅料及能源消耗</w:t>
            </w:r>
            <w:r>
              <w:rPr>
                <w:rFonts w:hint="default" w:ascii="Times New Roman" w:hAnsi="Times New Roman" w:cs="Times New Roman" w:eastAsiaTheme="minorEastAsia"/>
                <w:color w:val="auto"/>
                <w:sz w:val="24"/>
                <w:szCs w:val="24"/>
                <w:lang w:val="en-US" w:eastAsia="zh-CN"/>
              </w:rPr>
              <w:t>详见下表2-3</w:t>
            </w:r>
            <w:r>
              <w:rPr>
                <w:rFonts w:hint="default" w:ascii="Times New Roman" w:hAnsi="Times New Roman" w:cs="Times New Roman" w:eastAsiaTheme="minorEastAsia"/>
                <w:color w:val="auto"/>
                <w:sz w:val="24"/>
                <w:szCs w:val="24"/>
              </w:rPr>
              <w:t>。</w:t>
            </w:r>
          </w:p>
          <w:p w14:paraId="1B867B6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inorEastAsia"/>
                <w:b/>
                <w:color w:val="auto"/>
                <w:sz w:val="24"/>
                <w:szCs w:val="24"/>
                <w:highlight w:val="none"/>
                <w:lang w:val="en-US" w:eastAsia="zh-CN"/>
              </w:rPr>
            </w:pPr>
            <w:r>
              <w:rPr>
                <w:rFonts w:hint="default" w:ascii="Times New Roman" w:hAnsi="Times New Roman" w:cs="Times New Roman" w:eastAsiaTheme="minorEastAsia"/>
                <w:b/>
                <w:color w:val="auto"/>
                <w:sz w:val="24"/>
                <w:szCs w:val="24"/>
                <w:highlight w:val="none"/>
              </w:rPr>
              <w:t>表</w:t>
            </w:r>
            <w:r>
              <w:rPr>
                <w:rFonts w:hint="default" w:ascii="Times New Roman" w:hAnsi="Times New Roman" w:cs="Times New Roman" w:eastAsiaTheme="minorEastAsia"/>
                <w:b/>
                <w:color w:val="auto"/>
                <w:sz w:val="24"/>
                <w:szCs w:val="24"/>
                <w:highlight w:val="none"/>
                <w:lang w:val="en-US" w:eastAsia="zh-CN"/>
              </w:rPr>
              <w:t>2-3</w:t>
            </w:r>
            <w:r>
              <w:rPr>
                <w:rFonts w:hint="default" w:ascii="Times New Roman" w:hAnsi="Times New Roman" w:cs="Times New Roman" w:eastAsiaTheme="minorEastAsia"/>
                <w:b/>
                <w:color w:val="auto"/>
                <w:sz w:val="24"/>
                <w:szCs w:val="24"/>
                <w:highlight w:val="none"/>
              </w:rPr>
              <w:t xml:space="preserve">  项目原辅料用量表</w:t>
            </w:r>
            <w:r>
              <w:rPr>
                <w:rFonts w:hint="default" w:ascii="Times New Roman" w:hAnsi="Times New Roman" w:cs="Times New Roman" w:eastAsiaTheme="minorEastAsia"/>
                <w:b/>
                <w:color w:val="auto"/>
                <w:sz w:val="24"/>
                <w:szCs w:val="24"/>
                <w:highlight w:val="none"/>
                <w:lang w:val="en-US" w:eastAsia="zh-CN"/>
              </w:rPr>
              <w:t xml:space="preserve"> </w:t>
            </w:r>
          </w:p>
          <w:tbl>
            <w:tblPr>
              <w:tblStyle w:val="23"/>
              <w:tblW w:w="7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784"/>
              <w:gridCol w:w="880"/>
              <w:gridCol w:w="753"/>
              <w:gridCol w:w="3247"/>
            </w:tblGrid>
            <w:tr w14:paraId="44CA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694" w:type="dxa"/>
                  <w:noWrap w:val="0"/>
                  <w:vAlign w:val="center"/>
                </w:tcPr>
                <w:p w14:paraId="1F9F8D83">
                  <w:pPr>
                    <w:spacing w:line="240" w:lineRule="auto"/>
                    <w:jc w:val="center"/>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序号</w:t>
                  </w:r>
                </w:p>
              </w:tc>
              <w:tc>
                <w:tcPr>
                  <w:tcW w:w="1784" w:type="dxa"/>
                  <w:noWrap w:val="0"/>
                  <w:vAlign w:val="center"/>
                </w:tcPr>
                <w:p w14:paraId="29D4C0A9">
                  <w:pPr>
                    <w:spacing w:line="240" w:lineRule="auto"/>
                    <w:jc w:val="center"/>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名称</w:t>
                  </w:r>
                </w:p>
              </w:tc>
              <w:tc>
                <w:tcPr>
                  <w:tcW w:w="880" w:type="dxa"/>
                  <w:noWrap w:val="0"/>
                  <w:vAlign w:val="center"/>
                </w:tcPr>
                <w:p w14:paraId="0ACEA51C">
                  <w:pPr>
                    <w:spacing w:line="240" w:lineRule="auto"/>
                    <w:jc w:val="center"/>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单位</w:t>
                  </w:r>
                </w:p>
              </w:tc>
              <w:tc>
                <w:tcPr>
                  <w:tcW w:w="753" w:type="dxa"/>
                  <w:noWrap w:val="0"/>
                  <w:vAlign w:val="center"/>
                </w:tcPr>
                <w:p w14:paraId="1943BB95">
                  <w:pPr>
                    <w:spacing w:line="240" w:lineRule="auto"/>
                    <w:jc w:val="center"/>
                    <w:rPr>
                      <w:rFonts w:hint="default" w:ascii="Times New Roman" w:hAnsi="Times New Roman" w:cs="Times New Roman" w:eastAsiaTheme="minorEastAsia"/>
                      <w:b/>
                      <w:color w:val="auto"/>
                      <w:sz w:val="21"/>
                      <w:szCs w:val="21"/>
                      <w:highlight w:val="none"/>
                      <w:lang w:val="en-US" w:eastAsia="zh-CN"/>
                    </w:rPr>
                  </w:pPr>
                  <w:r>
                    <w:rPr>
                      <w:rFonts w:hint="default" w:ascii="Times New Roman" w:hAnsi="Times New Roman" w:cs="Times New Roman" w:eastAsiaTheme="minorEastAsia"/>
                      <w:b/>
                      <w:color w:val="auto"/>
                      <w:sz w:val="21"/>
                      <w:szCs w:val="21"/>
                      <w:highlight w:val="none"/>
                      <w:lang w:val="en-US" w:eastAsia="zh-CN"/>
                    </w:rPr>
                    <w:t>消耗量</w:t>
                  </w:r>
                </w:p>
              </w:tc>
              <w:tc>
                <w:tcPr>
                  <w:tcW w:w="3247" w:type="dxa"/>
                  <w:noWrap w:val="0"/>
                  <w:vAlign w:val="center"/>
                </w:tcPr>
                <w:p w14:paraId="54EA2D6B">
                  <w:pPr>
                    <w:spacing w:line="240" w:lineRule="auto"/>
                    <w:jc w:val="center"/>
                    <w:rPr>
                      <w:rFonts w:hint="default" w:ascii="Times New Roman" w:hAnsi="Times New Roman" w:cs="Times New Roman" w:eastAsiaTheme="minorEastAsia"/>
                      <w:b/>
                      <w:color w:val="auto"/>
                      <w:sz w:val="21"/>
                      <w:szCs w:val="21"/>
                      <w:highlight w:val="none"/>
                      <w:lang w:val="en-US" w:eastAsia="zh-CN"/>
                    </w:rPr>
                  </w:pPr>
                  <w:r>
                    <w:rPr>
                      <w:rFonts w:hint="default" w:ascii="Times New Roman" w:hAnsi="Times New Roman" w:cs="Times New Roman" w:eastAsiaTheme="minorEastAsia"/>
                      <w:b/>
                      <w:color w:val="auto"/>
                      <w:sz w:val="21"/>
                      <w:szCs w:val="21"/>
                      <w:highlight w:val="none"/>
                      <w:lang w:val="en-US" w:eastAsia="zh-CN"/>
                    </w:rPr>
                    <w:t>备注</w:t>
                  </w:r>
                </w:p>
              </w:tc>
            </w:tr>
            <w:tr w14:paraId="62C07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694" w:type="dxa"/>
                  <w:noWrap w:val="0"/>
                  <w:vAlign w:val="center"/>
                </w:tcPr>
                <w:p w14:paraId="74DC6F58">
                  <w:pPr>
                    <w:spacing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w:t>
                  </w:r>
                </w:p>
              </w:tc>
              <w:tc>
                <w:tcPr>
                  <w:tcW w:w="1784" w:type="dxa"/>
                  <w:noWrap w:val="0"/>
                  <w:vAlign w:val="center"/>
                </w:tcPr>
                <w:p w14:paraId="62A9246D">
                  <w:pPr>
                    <w:autoSpaceDE w:val="0"/>
                    <w:autoSpaceDN w:val="0"/>
                    <w:adjustRightInd w:val="0"/>
                    <w:spacing w:line="240" w:lineRule="auto"/>
                    <w:jc w:val="center"/>
                    <w:rPr>
                      <w:rFonts w:hint="default" w:ascii="Times New Roman" w:hAnsi="Times New Roman" w:cs="Times New Roman" w:eastAsiaTheme="minorEastAsia"/>
                      <w:color w:val="FF0000"/>
                      <w:kern w:val="0"/>
                      <w:sz w:val="21"/>
                      <w:szCs w:val="21"/>
                      <w:highlight w:val="none"/>
                      <w:lang w:val="en-US" w:eastAsia="zh-CN" w:bidi="ar-SA"/>
                    </w:rPr>
                  </w:pPr>
                  <w:r>
                    <w:rPr>
                      <w:rFonts w:hint="eastAsia" w:ascii="Times New Roman" w:hAnsi="Times New Roman" w:eastAsia="宋体" w:cs="Times New Roman"/>
                      <w:color w:val="FF0000"/>
                      <w:sz w:val="21"/>
                      <w:szCs w:val="21"/>
                      <w:highlight w:val="none"/>
                      <w:vertAlign w:val="baseline"/>
                      <w:lang w:val="en-US" w:eastAsia="zh-CN"/>
                    </w:rPr>
                    <w:t>木屑、刨花及破碎后的作物</w:t>
                  </w:r>
                  <w:r>
                    <w:rPr>
                      <w:rFonts w:hint="default" w:ascii="Times New Roman" w:hAnsi="Times New Roman" w:eastAsia="宋体" w:cs="Times New Roman"/>
                      <w:color w:val="FF0000"/>
                      <w:sz w:val="21"/>
                      <w:szCs w:val="21"/>
                      <w:highlight w:val="none"/>
                      <w:vertAlign w:val="baseline"/>
                      <w:lang w:val="en-US" w:eastAsia="zh-CN"/>
                    </w:rPr>
                    <w:t>废弃物</w:t>
                  </w:r>
                </w:p>
              </w:tc>
              <w:tc>
                <w:tcPr>
                  <w:tcW w:w="880" w:type="dxa"/>
                  <w:noWrap w:val="0"/>
                  <w:vAlign w:val="center"/>
                </w:tcPr>
                <w:p w14:paraId="56ACB8B0">
                  <w:pPr>
                    <w:spacing w:line="240" w:lineRule="auto"/>
                    <w:jc w:val="center"/>
                    <w:rPr>
                      <w:rFonts w:hint="default" w:ascii="Times New Roman" w:hAnsi="Times New Roman" w:cs="Times New Roman" w:eastAsiaTheme="minorEastAsia"/>
                      <w:color w:val="FF0000"/>
                      <w:sz w:val="21"/>
                      <w:szCs w:val="21"/>
                      <w:highlight w:val="none"/>
                      <w:lang w:val="en-US" w:eastAsia="zh-CN"/>
                    </w:rPr>
                  </w:pPr>
                  <w:r>
                    <w:rPr>
                      <w:rFonts w:hint="default" w:ascii="Times New Roman" w:hAnsi="Times New Roman" w:cs="Times New Roman" w:eastAsiaTheme="minorEastAsia"/>
                      <w:color w:val="FF0000"/>
                      <w:sz w:val="21"/>
                      <w:szCs w:val="21"/>
                      <w:highlight w:val="none"/>
                      <w:lang w:val="en-US" w:eastAsia="zh-CN"/>
                    </w:rPr>
                    <w:t>t/a</w:t>
                  </w:r>
                </w:p>
              </w:tc>
              <w:tc>
                <w:tcPr>
                  <w:tcW w:w="753" w:type="dxa"/>
                  <w:noWrap w:val="0"/>
                  <w:vAlign w:val="center"/>
                </w:tcPr>
                <w:p w14:paraId="46E71445">
                  <w:pPr>
                    <w:spacing w:line="240" w:lineRule="auto"/>
                    <w:jc w:val="center"/>
                    <w:rPr>
                      <w:rFonts w:hint="default" w:ascii="Times New Roman" w:hAnsi="Times New Roman" w:cs="Times New Roman" w:eastAsiaTheme="minorEastAsia"/>
                      <w:color w:val="FF0000"/>
                      <w:kern w:val="2"/>
                      <w:sz w:val="21"/>
                      <w:szCs w:val="21"/>
                      <w:highlight w:val="none"/>
                      <w:lang w:val="en-US" w:eastAsia="zh-CN" w:bidi="ar-SA"/>
                    </w:rPr>
                  </w:pPr>
                  <w:r>
                    <w:rPr>
                      <w:rFonts w:hint="eastAsia" w:cs="Times New Roman" w:eastAsiaTheme="minorEastAsia"/>
                      <w:color w:val="FF0000"/>
                      <w:kern w:val="2"/>
                      <w:sz w:val="21"/>
                      <w:szCs w:val="21"/>
                      <w:highlight w:val="none"/>
                      <w:lang w:val="en-US" w:eastAsia="zh-CN" w:bidi="ar-SA"/>
                    </w:rPr>
                    <w:t>30000</w:t>
                  </w:r>
                </w:p>
              </w:tc>
              <w:tc>
                <w:tcPr>
                  <w:tcW w:w="3247" w:type="dxa"/>
                  <w:noWrap w:val="0"/>
                  <w:vAlign w:val="center"/>
                </w:tcPr>
                <w:p w14:paraId="6A946147">
                  <w:pPr>
                    <w:spacing w:line="240" w:lineRule="auto"/>
                    <w:jc w:val="both"/>
                    <w:rPr>
                      <w:rFonts w:hint="eastAsia" w:ascii="Times New Roman" w:hAnsi="Times New Roman" w:eastAsia="宋体" w:cs="Times New Roman"/>
                      <w:color w:val="FF0000"/>
                      <w:sz w:val="21"/>
                      <w:szCs w:val="21"/>
                      <w:highlight w:val="none"/>
                      <w:lang w:val="en-US" w:eastAsia="zh-CN"/>
                    </w:rPr>
                  </w:pPr>
                  <w:r>
                    <w:rPr>
                      <w:rFonts w:hint="eastAsia"/>
                      <w:color w:val="FF0000"/>
                      <w:sz w:val="21"/>
                      <w:szCs w:val="21"/>
                      <w:highlight w:val="none"/>
                      <w:lang w:val="en-US" w:eastAsia="zh-CN"/>
                    </w:rPr>
                    <w:t>外购，不在项目区进行破碎处理</w:t>
                  </w:r>
                  <w:r>
                    <w:rPr>
                      <w:rFonts w:hint="eastAsia"/>
                      <w:color w:val="FF0000"/>
                      <w:sz w:val="21"/>
                      <w:szCs w:val="21"/>
                      <w:highlight w:val="none"/>
                      <w:lang w:eastAsia="zh-CN"/>
                    </w:rPr>
                    <w:t>，</w:t>
                  </w:r>
                  <w:r>
                    <w:rPr>
                      <w:rFonts w:hint="eastAsia"/>
                      <w:color w:val="FF0000"/>
                      <w:sz w:val="21"/>
                      <w:szCs w:val="21"/>
                      <w:highlight w:val="none"/>
                    </w:rPr>
                    <w:t>原料与产品比约为：</w:t>
                  </w:r>
                  <w:r>
                    <w:rPr>
                      <w:rFonts w:hint="eastAsia"/>
                      <w:color w:val="FF0000"/>
                      <w:sz w:val="21"/>
                      <w:szCs w:val="21"/>
                      <w:highlight w:val="none"/>
                      <w:lang w:val="en-US" w:eastAsia="zh-CN"/>
                    </w:rPr>
                    <w:t>3.125</w:t>
                  </w:r>
                  <w:r>
                    <w:rPr>
                      <w:rFonts w:hint="eastAsia"/>
                      <w:color w:val="FF0000"/>
                      <w:sz w:val="21"/>
                      <w:szCs w:val="21"/>
                      <w:highlight w:val="none"/>
                    </w:rPr>
                    <w:t>：1</w:t>
                  </w:r>
                </w:p>
              </w:tc>
            </w:tr>
            <w:tr w14:paraId="0651C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694" w:type="dxa"/>
                  <w:noWrap w:val="0"/>
                  <w:vAlign w:val="center"/>
                </w:tcPr>
                <w:p w14:paraId="404DCF32">
                  <w:pPr>
                    <w:spacing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w:t>
                  </w:r>
                </w:p>
              </w:tc>
              <w:tc>
                <w:tcPr>
                  <w:tcW w:w="1784" w:type="dxa"/>
                  <w:noWrap w:val="0"/>
                  <w:vAlign w:val="center"/>
                </w:tcPr>
                <w:p w14:paraId="0B8A97F7">
                  <w:pPr>
                    <w:autoSpaceDE w:val="0"/>
                    <w:autoSpaceDN w:val="0"/>
                    <w:adjustRightInd w:val="0"/>
                    <w:spacing w:line="240" w:lineRule="auto"/>
                    <w:jc w:val="center"/>
                    <w:rPr>
                      <w:rFonts w:hint="default" w:ascii="Times New Roman" w:hAnsi="Times New Roman" w:cs="Times New Roman" w:eastAsiaTheme="minorEastAsia"/>
                      <w:color w:val="auto"/>
                      <w:kern w:val="0"/>
                      <w:sz w:val="21"/>
                      <w:szCs w:val="21"/>
                      <w:highlight w:val="yellow"/>
                      <w:lang w:val="en-US" w:eastAsia="zh-CN" w:bidi="ar-SA"/>
                    </w:rPr>
                  </w:pPr>
                  <w:r>
                    <w:rPr>
                      <w:rFonts w:hint="eastAsia" w:cs="Times New Roman" w:eastAsiaTheme="minorEastAsia"/>
                      <w:color w:val="auto"/>
                      <w:kern w:val="0"/>
                      <w:sz w:val="21"/>
                      <w:szCs w:val="21"/>
                      <w:lang w:val="en-US" w:eastAsia="zh-CN" w:bidi="ar-SA"/>
                    </w:rPr>
                    <w:t>生物质燃料</w:t>
                  </w:r>
                </w:p>
              </w:tc>
              <w:tc>
                <w:tcPr>
                  <w:tcW w:w="880" w:type="dxa"/>
                  <w:noWrap w:val="0"/>
                  <w:vAlign w:val="center"/>
                </w:tcPr>
                <w:p w14:paraId="43EBB3F2">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t/a</w:t>
                  </w:r>
                </w:p>
              </w:tc>
              <w:tc>
                <w:tcPr>
                  <w:tcW w:w="753" w:type="dxa"/>
                  <w:noWrap w:val="0"/>
                  <w:vAlign w:val="center"/>
                </w:tcPr>
                <w:p w14:paraId="5F5E9560">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1920</w:t>
                  </w:r>
                </w:p>
              </w:tc>
              <w:tc>
                <w:tcPr>
                  <w:tcW w:w="3247" w:type="dxa"/>
                  <w:noWrap w:val="0"/>
                  <w:vAlign w:val="center"/>
                </w:tcPr>
                <w:p w14:paraId="690D46DE">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olor w:val="auto"/>
                      <w:sz w:val="21"/>
                      <w:szCs w:val="21"/>
                    </w:rPr>
                    <w:t>制棒、炭化烟气做燃料使用，生物质燃料用量少</w:t>
                  </w:r>
                </w:p>
              </w:tc>
            </w:tr>
            <w:tr w14:paraId="3A6C6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694" w:type="dxa"/>
                  <w:noWrap w:val="0"/>
                  <w:vAlign w:val="center"/>
                </w:tcPr>
                <w:p w14:paraId="20E1A5C1">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w:t>
                  </w:r>
                </w:p>
              </w:tc>
              <w:tc>
                <w:tcPr>
                  <w:tcW w:w="1784" w:type="dxa"/>
                  <w:noWrap w:val="0"/>
                  <w:vAlign w:val="center"/>
                </w:tcPr>
                <w:p w14:paraId="2D78EB9E">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水</w:t>
                  </w:r>
                </w:p>
              </w:tc>
              <w:tc>
                <w:tcPr>
                  <w:tcW w:w="880" w:type="dxa"/>
                  <w:noWrap w:val="0"/>
                  <w:vAlign w:val="center"/>
                </w:tcPr>
                <w:p w14:paraId="46F3BB9F">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m</w:t>
                  </w:r>
                  <w:r>
                    <w:rPr>
                      <w:rFonts w:hint="default" w:ascii="Times New Roman" w:hAnsi="Times New Roman" w:cs="Times New Roman" w:eastAsiaTheme="minorEastAsia"/>
                      <w:color w:val="auto"/>
                      <w:sz w:val="21"/>
                      <w:szCs w:val="21"/>
                      <w:highlight w:val="none"/>
                      <w:vertAlign w:val="superscript"/>
                      <w:lang w:val="en-US" w:eastAsia="zh-CN"/>
                    </w:rPr>
                    <w:t>3</w:t>
                  </w:r>
                  <w:r>
                    <w:rPr>
                      <w:rFonts w:hint="default" w:ascii="Times New Roman" w:hAnsi="Times New Roman" w:cs="Times New Roman" w:eastAsiaTheme="minorEastAsia"/>
                      <w:color w:val="auto"/>
                      <w:sz w:val="21"/>
                      <w:szCs w:val="21"/>
                      <w:highlight w:val="none"/>
                      <w:lang w:val="en-US" w:eastAsia="zh-CN"/>
                    </w:rPr>
                    <w:t>/a</w:t>
                  </w:r>
                </w:p>
              </w:tc>
              <w:tc>
                <w:tcPr>
                  <w:tcW w:w="753" w:type="dxa"/>
                  <w:noWrap w:val="0"/>
                  <w:vAlign w:val="center"/>
                </w:tcPr>
                <w:p w14:paraId="1C14A387">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3072</w:t>
                  </w:r>
                </w:p>
              </w:tc>
              <w:tc>
                <w:tcPr>
                  <w:tcW w:w="3247" w:type="dxa"/>
                  <w:noWrap w:val="0"/>
                  <w:vAlign w:val="center"/>
                </w:tcPr>
                <w:p w14:paraId="66E3A3F4">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乡村水管网接入</w:t>
                  </w:r>
                </w:p>
              </w:tc>
            </w:tr>
            <w:tr w14:paraId="7AB85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694" w:type="dxa"/>
                  <w:noWrap w:val="0"/>
                  <w:vAlign w:val="center"/>
                </w:tcPr>
                <w:p w14:paraId="612D91DF">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w:t>
                  </w:r>
                </w:p>
              </w:tc>
              <w:tc>
                <w:tcPr>
                  <w:tcW w:w="1784" w:type="dxa"/>
                  <w:noWrap w:val="0"/>
                  <w:vAlign w:val="center"/>
                </w:tcPr>
                <w:p w14:paraId="2E21C6CF">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电</w:t>
                  </w:r>
                </w:p>
              </w:tc>
              <w:tc>
                <w:tcPr>
                  <w:tcW w:w="880" w:type="dxa"/>
                  <w:noWrap w:val="0"/>
                  <w:vAlign w:val="center"/>
                </w:tcPr>
                <w:p w14:paraId="533D81C3">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kW·h/a</w:t>
                  </w:r>
                </w:p>
              </w:tc>
              <w:tc>
                <w:tcPr>
                  <w:tcW w:w="753" w:type="dxa"/>
                  <w:noWrap w:val="0"/>
                  <w:vAlign w:val="center"/>
                </w:tcPr>
                <w:p w14:paraId="71F381BE">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200万</w:t>
                  </w:r>
                </w:p>
              </w:tc>
              <w:tc>
                <w:tcPr>
                  <w:tcW w:w="3247" w:type="dxa"/>
                  <w:noWrap w:val="0"/>
                  <w:vAlign w:val="center"/>
                </w:tcPr>
                <w:p w14:paraId="0D93B4EB">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 w:val="21"/>
                      <w:szCs w:val="21"/>
                    </w:rPr>
                    <w:t>周边电网接入</w:t>
                  </w:r>
                </w:p>
              </w:tc>
            </w:tr>
            <w:tr w14:paraId="2B468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94" w:type="dxa"/>
                  <w:noWrap w:val="0"/>
                  <w:vAlign w:val="center"/>
                </w:tcPr>
                <w:p w14:paraId="2895DF46">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w:t>
                  </w:r>
                </w:p>
              </w:tc>
              <w:tc>
                <w:tcPr>
                  <w:tcW w:w="1784" w:type="dxa"/>
                  <w:noWrap w:val="0"/>
                  <w:vAlign w:val="center"/>
                </w:tcPr>
                <w:p w14:paraId="6C870997">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纸箱</w:t>
                  </w:r>
                </w:p>
              </w:tc>
              <w:tc>
                <w:tcPr>
                  <w:tcW w:w="880" w:type="dxa"/>
                  <w:noWrap w:val="0"/>
                  <w:vAlign w:val="center"/>
                </w:tcPr>
                <w:p w14:paraId="0897128F">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个</w:t>
                  </w:r>
                </w:p>
              </w:tc>
              <w:tc>
                <w:tcPr>
                  <w:tcW w:w="753" w:type="dxa"/>
                  <w:noWrap w:val="0"/>
                  <w:vAlign w:val="center"/>
                </w:tcPr>
                <w:p w14:paraId="20EF7CCB">
                  <w:pPr>
                    <w:spacing w:line="240" w:lineRule="auto"/>
                    <w:jc w:val="center"/>
                    <w:rPr>
                      <w:rFonts w:hint="default"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48万</w:t>
                  </w:r>
                </w:p>
              </w:tc>
              <w:tc>
                <w:tcPr>
                  <w:tcW w:w="3247" w:type="dxa"/>
                  <w:noWrap w:val="0"/>
                  <w:vAlign w:val="center"/>
                </w:tcPr>
                <w:p w14:paraId="1D27CE84">
                  <w:pPr>
                    <w:spacing w:line="240" w:lineRule="auto"/>
                    <w:jc w:val="center"/>
                    <w:rPr>
                      <w:rFonts w:hint="eastAsia"/>
                      <w:color w:val="auto"/>
                      <w:sz w:val="21"/>
                      <w:szCs w:val="21"/>
                    </w:rPr>
                  </w:pPr>
                  <w:r>
                    <w:rPr>
                      <w:rFonts w:hint="eastAsia"/>
                      <w:color w:val="auto"/>
                      <w:sz w:val="21"/>
                      <w:szCs w:val="21"/>
                    </w:rPr>
                    <w:t>箱装（20kg/袋）</w:t>
                  </w:r>
                  <w:r>
                    <w:rPr>
                      <w:color w:val="auto"/>
                      <w:sz w:val="21"/>
                      <w:szCs w:val="21"/>
                    </w:rPr>
                    <w:t>市场购入</w:t>
                  </w:r>
                </w:p>
              </w:tc>
            </w:tr>
          </w:tbl>
          <w:p w14:paraId="32EA988C">
            <w:pPr>
              <w:numPr>
                <w:ilvl w:val="0"/>
                <w:numId w:val="0"/>
              </w:numPr>
              <w:spacing w:line="360" w:lineRule="auto"/>
              <w:ind w:leftChars="0"/>
              <w:rPr>
                <w:rFonts w:hint="default" w:ascii="Times New Roman" w:hAnsi="Times New Roman" w:cs="Times New Roman" w:eastAsiaTheme="minorEastAsia"/>
                <w:color w:val="auto"/>
                <w:sz w:val="24"/>
                <w:szCs w:val="24"/>
                <w:lang w:val="en-US" w:eastAsia="zh-CN"/>
              </w:rPr>
            </w:pPr>
          </w:p>
          <w:p w14:paraId="21402C2D">
            <w:pPr>
              <w:pStyle w:val="11"/>
              <w:numPr>
                <w:ilvl w:val="0"/>
                <w:numId w:val="0"/>
              </w:numPr>
              <w:spacing w:line="360" w:lineRule="auto"/>
              <w:ind w:left="0" w:leftChars="0" w:right="113" w:rightChars="0" w:firstLine="0" w:firstLineChars="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b/>
                <w:bCs/>
                <w:color w:val="auto"/>
                <w:kern w:val="0"/>
                <w:sz w:val="24"/>
                <w:szCs w:val="24"/>
                <w:lang w:val="en-US" w:eastAsia="zh-CN" w:bidi="ar-SA"/>
              </w:rPr>
              <w:t>5.</w:t>
            </w:r>
            <w:r>
              <w:rPr>
                <w:rFonts w:hint="default" w:ascii="Times New Roman" w:hAnsi="Times New Roman" w:cs="Times New Roman" w:eastAsiaTheme="minorEastAsia"/>
                <w:b/>
                <w:bCs/>
                <w:color w:val="auto"/>
                <w:sz w:val="24"/>
                <w:szCs w:val="24"/>
                <w:lang w:val="en-US" w:eastAsia="zh-CN"/>
              </w:rPr>
              <w:t>主要生产单元及生产工艺</w:t>
            </w:r>
          </w:p>
          <w:p w14:paraId="6F36EDD5">
            <w:pPr>
              <w:pStyle w:val="29"/>
              <w:spacing w:line="360" w:lineRule="auto"/>
              <w:ind w:left="0" w:leftChars="0" w:firstLine="0" w:firstLineChars="0"/>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根据建设单位提供资料，主要生产单元及生产工艺见下表2-4。</w:t>
            </w:r>
          </w:p>
          <w:p w14:paraId="6DCB5D9E">
            <w:pPr>
              <w:widowControl/>
              <w:spacing w:line="360" w:lineRule="auto"/>
              <w:ind w:firstLine="1928" w:firstLineChars="800"/>
              <w:rPr>
                <w:rFonts w:hint="default" w:ascii="Times New Roman" w:hAnsi="Times New Roman" w:cs="Times New Roman" w:eastAsiaTheme="minorEastAsia"/>
                <w:b/>
                <w:bCs/>
                <w:color w:val="auto"/>
                <w:kern w:val="0"/>
                <w:sz w:val="24"/>
                <w:szCs w:val="24"/>
              </w:rPr>
            </w:pPr>
            <w:r>
              <w:rPr>
                <w:rFonts w:hint="default" w:ascii="Times New Roman" w:hAnsi="Times New Roman" w:cs="Times New Roman" w:eastAsiaTheme="minorEastAsia"/>
                <w:b/>
                <w:bCs/>
                <w:color w:val="auto"/>
                <w:kern w:val="0"/>
                <w:sz w:val="24"/>
                <w:szCs w:val="24"/>
              </w:rPr>
              <w:t>表2-</w:t>
            </w:r>
            <w:r>
              <w:rPr>
                <w:rFonts w:hint="default" w:ascii="Times New Roman" w:hAnsi="Times New Roman" w:cs="Times New Roman" w:eastAsiaTheme="minorEastAsia"/>
                <w:b/>
                <w:bCs/>
                <w:color w:val="auto"/>
                <w:kern w:val="0"/>
                <w:sz w:val="24"/>
                <w:szCs w:val="24"/>
                <w:lang w:val="en-US" w:eastAsia="zh-CN"/>
              </w:rPr>
              <w:t>4</w:t>
            </w:r>
            <w:r>
              <w:rPr>
                <w:rFonts w:hint="default" w:ascii="Times New Roman" w:hAnsi="Times New Roman" w:cs="Times New Roman" w:eastAsiaTheme="minorEastAsia"/>
                <w:b/>
                <w:bCs/>
                <w:color w:val="auto"/>
                <w:kern w:val="0"/>
                <w:sz w:val="24"/>
                <w:szCs w:val="24"/>
              </w:rPr>
              <w:t xml:space="preserve">   主要生产单元及生产工艺</w:t>
            </w:r>
          </w:p>
          <w:tbl>
            <w:tblPr>
              <w:tblStyle w:val="23"/>
              <w:tblW w:w="4990" w:type="pct"/>
              <w:jc w:val="center"/>
              <w:tblLayout w:type="fixed"/>
              <w:tblCellMar>
                <w:top w:w="0" w:type="dxa"/>
                <w:left w:w="108" w:type="dxa"/>
                <w:bottom w:w="0" w:type="dxa"/>
                <w:right w:w="108" w:type="dxa"/>
              </w:tblCellMar>
            </w:tblPr>
            <w:tblGrid>
              <w:gridCol w:w="746"/>
              <w:gridCol w:w="2041"/>
              <w:gridCol w:w="4612"/>
            </w:tblGrid>
            <w:tr w14:paraId="61D8B8FF">
              <w:tblPrEx>
                <w:tblCellMar>
                  <w:top w:w="0" w:type="dxa"/>
                  <w:left w:w="108" w:type="dxa"/>
                  <w:bottom w:w="0" w:type="dxa"/>
                  <w:right w:w="108" w:type="dxa"/>
                </w:tblCellMar>
              </w:tblPrEx>
              <w:trPr>
                <w:trHeight w:val="341" w:hRule="atLeast"/>
                <w:jc w:val="center"/>
              </w:trPr>
              <w:tc>
                <w:tcPr>
                  <w:tcW w:w="504" w:type="pct"/>
                  <w:tcBorders>
                    <w:top w:val="single" w:color="000000" w:sz="4" w:space="0"/>
                    <w:left w:val="single" w:color="000000" w:sz="4" w:space="0"/>
                    <w:bottom w:val="single" w:color="000000" w:sz="4" w:space="0"/>
                    <w:right w:val="single" w:color="000000" w:sz="4" w:space="0"/>
                  </w:tcBorders>
                  <w:noWrap w:val="0"/>
                  <w:vAlign w:val="center"/>
                </w:tcPr>
                <w:p w14:paraId="03C042FF">
                  <w:pPr>
                    <w:widowControl/>
                    <w:spacing w:line="240" w:lineRule="auto"/>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序号</w:t>
                  </w:r>
                </w:p>
              </w:tc>
              <w:tc>
                <w:tcPr>
                  <w:tcW w:w="1379" w:type="pct"/>
                  <w:tcBorders>
                    <w:top w:val="single" w:color="000000" w:sz="4" w:space="0"/>
                    <w:left w:val="nil"/>
                    <w:bottom w:val="single" w:color="000000" w:sz="4" w:space="0"/>
                    <w:right w:val="single" w:color="000000" w:sz="4" w:space="0"/>
                  </w:tcBorders>
                  <w:noWrap w:val="0"/>
                  <w:vAlign w:val="center"/>
                </w:tcPr>
                <w:p w14:paraId="2E4FD920">
                  <w:pPr>
                    <w:widowControl/>
                    <w:spacing w:line="240" w:lineRule="auto"/>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生产单元</w:t>
                  </w:r>
                </w:p>
              </w:tc>
              <w:tc>
                <w:tcPr>
                  <w:tcW w:w="3116" w:type="pct"/>
                  <w:tcBorders>
                    <w:top w:val="single" w:color="000000" w:sz="4" w:space="0"/>
                    <w:left w:val="nil"/>
                    <w:bottom w:val="single" w:color="000000" w:sz="4" w:space="0"/>
                    <w:right w:val="single" w:color="000000" w:sz="4" w:space="0"/>
                  </w:tcBorders>
                  <w:noWrap w:val="0"/>
                  <w:vAlign w:val="center"/>
                </w:tcPr>
                <w:p w14:paraId="5833B273">
                  <w:pPr>
                    <w:widowControl/>
                    <w:spacing w:line="240" w:lineRule="auto"/>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主要工艺</w:t>
                  </w:r>
                </w:p>
              </w:tc>
            </w:tr>
            <w:tr w14:paraId="7AF89A9A">
              <w:tblPrEx>
                <w:tblCellMar>
                  <w:top w:w="0" w:type="dxa"/>
                  <w:left w:w="108" w:type="dxa"/>
                  <w:bottom w:w="0" w:type="dxa"/>
                  <w:right w:w="108" w:type="dxa"/>
                </w:tblCellMar>
              </w:tblPrEx>
              <w:trPr>
                <w:trHeight w:val="346" w:hRule="atLeast"/>
                <w:jc w:val="center"/>
              </w:trPr>
              <w:tc>
                <w:tcPr>
                  <w:tcW w:w="504" w:type="pct"/>
                  <w:tcBorders>
                    <w:top w:val="single" w:color="000000" w:sz="4" w:space="0"/>
                    <w:left w:val="single" w:color="000000" w:sz="4" w:space="0"/>
                    <w:bottom w:val="single" w:color="000000" w:sz="4" w:space="0"/>
                    <w:right w:val="single" w:color="000000" w:sz="4" w:space="0"/>
                  </w:tcBorders>
                  <w:noWrap w:val="0"/>
                  <w:vAlign w:val="center"/>
                </w:tcPr>
                <w:p w14:paraId="0CFC048C">
                  <w:pPr>
                    <w:widowControl/>
                    <w:spacing w:line="240" w:lineRule="auto"/>
                    <w:jc w:val="center"/>
                    <w:rPr>
                      <w:rFonts w:hint="default" w:ascii="Times New Roman" w:hAnsi="Times New Roman" w:cs="Times New Roman" w:eastAsiaTheme="minorEastAsia"/>
                      <w:color w:val="FF0000"/>
                      <w:kern w:val="0"/>
                      <w:sz w:val="21"/>
                      <w:szCs w:val="21"/>
                    </w:rPr>
                  </w:pPr>
                  <w:r>
                    <w:rPr>
                      <w:rFonts w:hint="default" w:ascii="Times New Roman" w:hAnsi="Times New Roman" w:cs="Times New Roman" w:eastAsiaTheme="minorEastAsia"/>
                      <w:color w:val="FF0000"/>
                      <w:kern w:val="0"/>
                      <w:sz w:val="21"/>
                      <w:szCs w:val="21"/>
                    </w:rPr>
                    <w:t>1</w:t>
                  </w:r>
                </w:p>
              </w:tc>
              <w:tc>
                <w:tcPr>
                  <w:tcW w:w="1379" w:type="pct"/>
                  <w:tcBorders>
                    <w:top w:val="single" w:color="000000" w:sz="4" w:space="0"/>
                    <w:left w:val="nil"/>
                    <w:bottom w:val="single" w:color="000000" w:sz="4" w:space="0"/>
                    <w:right w:val="single" w:color="000000" w:sz="4" w:space="0"/>
                  </w:tcBorders>
                  <w:noWrap w:val="0"/>
                  <w:vAlign w:val="center"/>
                </w:tcPr>
                <w:p w14:paraId="2FC837E8">
                  <w:pPr>
                    <w:widowControl/>
                    <w:spacing w:line="240" w:lineRule="auto"/>
                    <w:jc w:val="center"/>
                    <w:rPr>
                      <w:rFonts w:hint="default" w:ascii="Times New Roman" w:hAnsi="Times New Roman" w:cs="Times New Roman" w:eastAsiaTheme="minorEastAsia"/>
                      <w:color w:val="FF0000"/>
                      <w:kern w:val="0"/>
                      <w:sz w:val="21"/>
                      <w:szCs w:val="21"/>
                    </w:rPr>
                  </w:pPr>
                  <w:r>
                    <w:rPr>
                      <w:rFonts w:hint="default" w:ascii="Times New Roman" w:hAnsi="Times New Roman" w:cs="Times New Roman" w:eastAsiaTheme="minorEastAsia"/>
                      <w:color w:val="FF0000"/>
                      <w:kern w:val="0"/>
                      <w:sz w:val="21"/>
                      <w:szCs w:val="21"/>
                    </w:rPr>
                    <w:t>原料预处理单元</w:t>
                  </w:r>
                </w:p>
              </w:tc>
              <w:tc>
                <w:tcPr>
                  <w:tcW w:w="3116" w:type="pct"/>
                  <w:tcBorders>
                    <w:top w:val="single" w:color="000000" w:sz="4" w:space="0"/>
                    <w:left w:val="nil"/>
                    <w:bottom w:val="single" w:color="000000" w:sz="4" w:space="0"/>
                    <w:right w:val="single" w:color="000000" w:sz="4" w:space="0"/>
                  </w:tcBorders>
                  <w:noWrap w:val="0"/>
                  <w:vAlign w:val="center"/>
                </w:tcPr>
                <w:p w14:paraId="260E168D">
                  <w:pPr>
                    <w:widowControl/>
                    <w:spacing w:line="240" w:lineRule="auto"/>
                    <w:jc w:val="center"/>
                    <w:rPr>
                      <w:rFonts w:hint="default" w:ascii="Times New Roman" w:hAnsi="Times New Roman" w:cs="Times New Roman" w:eastAsiaTheme="minorEastAsia"/>
                      <w:color w:val="FF0000"/>
                      <w:kern w:val="0"/>
                      <w:sz w:val="21"/>
                      <w:szCs w:val="21"/>
                    </w:rPr>
                  </w:pPr>
                  <w:r>
                    <w:rPr>
                      <w:rFonts w:hint="default" w:ascii="Times New Roman" w:hAnsi="Times New Roman" w:cs="Times New Roman" w:eastAsiaTheme="minorEastAsia"/>
                      <w:color w:val="FF0000"/>
                      <w:kern w:val="0"/>
                      <w:sz w:val="21"/>
                      <w:szCs w:val="21"/>
                    </w:rPr>
                    <w:t>筛分、烘干、</w:t>
                  </w:r>
                  <w:r>
                    <w:rPr>
                      <w:rFonts w:hint="eastAsia" w:cs="Times New Roman" w:eastAsiaTheme="minorEastAsia"/>
                      <w:color w:val="FF0000"/>
                      <w:kern w:val="0"/>
                      <w:sz w:val="21"/>
                      <w:szCs w:val="21"/>
                      <w:lang w:val="en-US" w:eastAsia="zh-CN"/>
                    </w:rPr>
                    <w:t>密闭</w:t>
                  </w:r>
                  <w:r>
                    <w:rPr>
                      <w:rFonts w:hint="eastAsia" w:cs="Times New Roman" w:eastAsiaTheme="minorEastAsia"/>
                      <w:color w:val="FF0000"/>
                      <w:kern w:val="0"/>
                      <w:sz w:val="21"/>
                      <w:szCs w:val="21"/>
                      <w:lang w:eastAsia="zh-CN"/>
                    </w:rPr>
                    <w:t>粉碎、</w:t>
                  </w:r>
                  <w:r>
                    <w:rPr>
                      <w:rFonts w:hint="default" w:ascii="Times New Roman" w:hAnsi="Times New Roman" w:cs="Times New Roman" w:eastAsiaTheme="minorEastAsia"/>
                      <w:color w:val="FF0000"/>
                      <w:kern w:val="0"/>
                      <w:sz w:val="21"/>
                      <w:szCs w:val="21"/>
                    </w:rPr>
                    <w:t>制棒</w:t>
                  </w:r>
                </w:p>
              </w:tc>
            </w:tr>
            <w:tr w14:paraId="5E63712B">
              <w:tblPrEx>
                <w:tblCellMar>
                  <w:top w:w="0" w:type="dxa"/>
                  <w:left w:w="108" w:type="dxa"/>
                  <w:bottom w:w="0" w:type="dxa"/>
                  <w:right w:w="108" w:type="dxa"/>
                </w:tblCellMar>
              </w:tblPrEx>
              <w:trPr>
                <w:trHeight w:val="346" w:hRule="atLeast"/>
                <w:jc w:val="center"/>
              </w:trPr>
              <w:tc>
                <w:tcPr>
                  <w:tcW w:w="504" w:type="pct"/>
                  <w:tcBorders>
                    <w:top w:val="single" w:color="000000" w:sz="4" w:space="0"/>
                    <w:left w:val="single" w:color="000000" w:sz="4" w:space="0"/>
                    <w:bottom w:val="single" w:color="000000" w:sz="4" w:space="0"/>
                    <w:right w:val="single" w:color="000000" w:sz="4" w:space="0"/>
                  </w:tcBorders>
                  <w:noWrap w:val="0"/>
                  <w:vAlign w:val="center"/>
                </w:tcPr>
                <w:p w14:paraId="3CC1530F">
                  <w:pPr>
                    <w:widowControl/>
                    <w:spacing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w:t>
                  </w:r>
                </w:p>
              </w:tc>
              <w:tc>
                <w:tcPr>
                  <w:tcW w:w="1379" w:type="pct"/>
                  <w:tcBorders>
                    <w:top w:val="single" w:color="000000" w:sz="4" w:space="0"/>
                    <w:left w:val="nil"/>
                    <w:bottom w:val="single" w:color="000000" w:sz="4" w:space="0"/>
                    <w:right w:val="single" w:color="000000" w:sz="4" w:space="0"/>
                  </w:tcBorders>
                  <w:noWrap w:val="0"/>
                  <w:vAlign w:val="center"/>
                </w:tcPr>
                <w:p w14:paraId="4983C3C9">
                  <w:pPr>
                    <w:widowControl/>
                    <w:spacing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生产、反应单元</w:t>
                  </w:r>
                </w:p>
              </w:tc>
              <w:tc>
                <w:tcPr>
                  <w:tcW w:w="3116" w:type="pct"/>
                  <w:tcBorders>
                    <w:top w:val="single" w:color="000000" w:sz="4" w:space="0"/>
                    <w:left w:val="nil"/>
                    <w:bottom w:val="single" w:color="000000" w:sz="4" w:space="0"/>
                    <w:right w:val="single" w:color="000000" w:sz="4" w:space="0"/>
                  </w:tcBorders>
                  <w:noWrap w:val="0"/>
                  <w:vAlign w:val="center"/>
                </w:tcPr>
                <w:p w14:paraId="396C04F7">
                  <w:pPr>
                    <w:widowControl/>
                    <w:spacing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炭化、闭火</w:t>
                  </w:r>
                </w:p>
              </w:tc>
            </w:tr>
            <w:tr w14:paraId="01A5585E">
              <w:tblPrEx>
                <w:tblCellMar>
                  <w:top w:w="0" w:type="dxa"/>
                  <w:left w:w="108" w:type="dxa"/>
                  <w:bottom w:w="0" w:type="dxa"/>
                  <w:right w:w="108" w:type="dxa"/>
                </w:tblCellMar>
              </w:tblPrEx>
              <w:trPr>
                <w:trHeight w:val="346" w:hRule="atLeast"/>
                <w:jc w:val="center"/>
              </w:trPr>
              <w:tc>
                <w:tcPr>
                  <w:tcW w:w="504" w:type="pct"/>
                  <w:tcBorders>
                    <w:top w:val="single" w:color="000000" w:sz="4" w:space="0"/>
                    <w:left w:val="single" w:color="000000" w:sz="4" w:space="0"/>
                    <w:bottom w:val="single" w:color="000000" w:sz="4" w:space="0"/>
                    <w:right w:val="single" w:color="000000" w:sz="4" w:space="0"/>
                  </w:tcBorders>
                  <w:noWrap w:val="0"/>
                  <w:vAlign w:val="center"/>
                </w:tcPr>
                <w:p w14:paraId="509A921C">
                  <w:pPr>
                    <w:widowControl/>
                    <w:spacing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w:t>
                  </w:r>
                </w:p>
              </w:tc>
              <w:tc>
                <w:tcPr>
                  <w:tcW w:w="1379" w:type="pct"/>
                  <w:tcBorders>
                    <w:top w:val="single" w:color="000000" w:sz="4" w:space="0"/>
                    <w:left w:val="nil"/>
                    <w:bottom w:val="single" w:color="000000" w:sz="4" w:space="0"/>
                    <w:right w:val="single" w:color="000000" w:sz="4" w:space="0"/>
                  </w:tcBorders>
                  <w:noWrap w:val="0"/>
                  <w:vAlign w:val="center"/>
                </w:tcPr>
                <w:p w14:paraId="18AC2BA7">
                  <w:pPr>
                    <w:widowControl/>
                    <w:spacing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成品单元</w:t>
                  </w:r>
                </w:p>
              </w:tc>
              <w:tc>
                <w:tcPr>
                  <w:tcW w:w="3116" w:type="pct"/>
                  <w:tcBorders>
                    <w:top w:val="single" w:color="000000" w:sz="4" w:space="0"/>
                    <w:left w:val="nil"/>
                    <w:bottom w:val="single" w:color="000000" w:sz="4" w:space="0"/>
                    <w:right w:val="single" w:color="000000" w:sz="4" w:space="0"/>
                  </w:tcBorders>
                  <w:noWrap w:val="0"/>
                  <w:vAlign w:val="center"/>
                </w:tcPr>
                <w:p w14:paraId="08B68A1D">
                  <w:pPr>
                    <w:widowControl/>
                    <w:spacing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冷却、包装</w:t>
                  </w:r>
                </w:p>
              </w:tc>
            </w:tr>
            <w:tr w14:paraId="162CB1CC">
              <w:tblPrEx>
                <w:tblCellMar>
                  <w:top w:w="0" w:type="dxa"/>
                  <w:left w:w="108" w:type="dxa"/>
                  <w:bottom w:w="0" w:type="dxa"/>
                  <w:right w:w="108" w:type="dxa"/>
                </w:tblCellMar>
              </w:tblPrEx>
              <w:trPr>
                <w:trHeight w:val="346" w:hRule="atLeast"/>
                <w:jc w:val="center"/>
              </w:trPr>
              <w:tc>
                <w:tcPr>
                  <w:tcW w:w="504" w:type="pct"/>
                  <w:tcBorders>
                    <w:top w:val="single" w:color="000000" w:sz="4" w:space="0"/>
                    <w:left w:val="single" w:color="000000" w:sz="4" w:space="0"/>
                    <w:bottom w:val="single" w:color="000000" w:sz="4" w:space="0"/>
                    <w:right w:val="single" w:color="000000" w:sz="4" w:space="0"/>
                  </w:tcBorders>
                  <w:noWrap w:val="0"/>
                  <w:vAlign w:val="center"/>
                </w:tcPr>
                <w:p w14:paraId="0A5F82F8">
                  <w:pPr>
                    <w:widowControl/>
                    <w:spacing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4</w:t>
                  </w:r>
                </w:p>
              </w:tc>
              <w:tc>
                <w:tcPr>
                  <w:tcW w:w="1379" w:type="pct"/>
                  <w:tcBorders>
                    <w:top w:val="single" w:color="000000" w:sz="4" w:space="0"/>
                    <w:left w:val="nil"/>
                    <w:bottom w:val="single" w:color="000000" w:sz="4" w:space="0"/>
                    <w:right w:val="single" w:color="000000" w:sz="4" w:space="0"/>
                  </w:tcBorders>
                  <w:noWrap w:val="0"/>
                  <w:vAlign w:val="center"/>
                </w:tcPr>
                <w:p w14:paraId="1F7D6C5D">
                  <w:pPr>
                    <w:widowControl/>
                    <w:spacing w:line="240" w:lineRule="auto"/>
                    <w:jc w:val="center"/>
                    <w:rPr>
                      <w:rFonts w:hint="default" w:ascii="Times New Roman" w:hAnsi="Times New Roman" w:cs="Times New Roman" w:eastAsiaTheme="minorEastAsia"/>
                      <w:color w:val="auto"/>
                      <w:kern w:val="0"/>
                      <w:sz w:val="21"/>
                      <w:szCs w:val="21"/>
                      <w:highlight w:val="red"/>
                    </w:rPr>
                  </w:pPr>
                  <w:r>
                    <w:rPr>
                      <w:rFonts w:hint="default" w:ascii="Times New Roman" w:hAnsi="Times New Roman" w:cs="Times New Roman" w:eastAsiaTheme="minorEastAsia"/>
                      <w:color w:val="auto"/>
                      <w:kern w:val="0"/>
                      <w:sz w:val="21"/>
                      <w:szCs w:val="21"/>
                    </w:rPr>
                    <w:t>公用单元</w:t>
                  </w:r>
                </w:p>
              </w:tc>
              <w:tc>
                <w:tcPr>
                  <w:tcW w:w="3116" w:type="pct"/>
                  <w:tcBorders>
                    <w:top w:val="single" w:color="000000" w:sz="4" w:space="0"/>
                    <w:left w:val="nil"/>
                    <w:bottom w:val="single" w:color="000000" w:sz="4" w:space="0"/>
                    <w:right w:val="single" w:color="000000" w:sz="4" w:space="0"/>
                  </w:tcBorders>
                  <w:noWrap w:val="0"/>
                  <w:vAlign w:val="center"/>
                </w:tcPr>
                <w:p w14:paraId="289C191F">
                  <w:pPr>
                    <w:widowControl/>
                    <w:spacing w:line="240" w:lineRule="auto"/>
                    <w:jc w:val="center"/>
                    <w:rPr>
                      <w:rFonts w:hint="default" w:ascii="Times New Roman" w:hAnsi="Times New Roman" w:cs="Times New Roman" w:eastAsiaTheme="minorEastAsia"/>
                      <w:color w:val="auto"/>
                      <w:kern w:val="0"/>
                      <w:sz w:val="21"/>
                      <w:szCs w:val="21"/>
                      <w:highlight w:val="red"/>
                    </w:rPr>
                  </w:pPr>
                  <w:r>
                    <w:rPr>
                      <w:rFonts w:hint="default" w:ascii="Times New Roman" w:hAnsi="Times New Roman" w:cs="Times New Roman" w:eastAsiaTheme="minorEastAsia"/>
                      <w:color w:val="auto"/>
                      <w:kern w:val="0"/>
                      <w:sz w:val="21"/>
                      <w:szCs w:val="21"/>
                    </w:rPr>
                    <w:t>原料库、成品库，废气处理系统、烟气自动监控系统</w:t>
                  </w:r>
                </w:p>
              </w:tc>
            </w:tr>
          </w:tbl>
          <w:p w14:paraId="5D59C440">
            <w:pPr>
              <w:spacing w:line="360" w:lineRule="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1"/>
                <w:szCs w:val="21"/>
                <w:lang w:val="en-US" w:eastAsia="zh-CN"/>
              </w:rPr>
              <w:t xml:space="preserve"> </w:t>
            </w:r>
          </w:p>
          <w:p w14:paraId="739B00BD">
            <w:pPr>
              <w:numPr>
                <w:ilvl w:val="0"/>
                <w:numId w:val="0"/>
              </w:numPr>
              <w:spacing w:line="360" w:lineRule="auto"/>
              <w:ind w:left="0" w:leftChars="0" w:firstLine="0" w:firstLineChars="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b/>
                <w:bCs/>
                <w:color w:val="auto"/>
                <w:kern w:val="2"/>
                <w:sz w:val="24"/>
                <w:szCs w:val="24"/>
                <w:lang w:val="en-US" w:eastAsia="zh-CN" w:bidi="ar-SA"/>
              </w:rPr>
              <w:t xml:space="preserve">6. </w:t>
            </w:r>
            <w:r>
              <w:rPr>
                <w:rFonts w:hint="default" w:ascii="Times New Roman" w:hAnsi="Times New Roman" w:cs="Times New Roman" w:eastAsiaTheme="minorEastAsia"/>
                <w:b/>
                <w:bCs/>
                <w:color w:val="auto"/>
                <w:kern w:val="0"/>
                <w:sz w:val="24"/>
                <w:szCs w:val="24"/>
              </w:rPr>
              <w:t>主</w:t>
            </w:r>
            <w:r>
              <w:rPr>
                <w:rFonts w:hint="default" w:ascii="Times New Roman" w:hAnsi="Times New Roman" w:cs="Times New Roman" w:eastAsiaTheme="minorEastAsia"/>
                <w:b/>
                <w:bCs/>
                <w:color w:val="auto"/>
                <w:sz w:val="24"/>
                <w:szCs w:val="24"/>
              </w:rPr>
              <w:t>要生产设</w:t>
            </w:r>
            <w:r>
              <w:rPr>
                <w:rFonts w:hint="default" w:ascii="Times New Roman" w:hAnsi="Times New Roman" w:cs="Times New Roman" w:eastAsiaTheme="minorEastAsia"/>
                <w:b/>
                <w:bCs/>
                <w:color w:val="auto"/>
                <w:sz w:val="24"/>
                <w:szCs w:val="24"/>
                <w:lang w:eastAsia="zh-CN"/>
              </w:rPr>
              <w:t>备</w:t>
            </w:r>
            <w:r>
              <w:rPr>
                <w:rFonts w:hint="default" w:ascii="Times New Roman" w:hAnsi="Times New Roman" w:cs="Times New Roman" w:eastAsiaTheme="minorEastAsia"/>
                <w:b/>
                <w:bCs/>
                <w:color w:val="auto"/>
                <w:sz w:val="24"/>
                <w:szCs w:val="24"/>
              </w:rPr>
              <w:t>及设施参数</w:t>
            </w:r>
          </w:p>
          <w:p w14:paraId="3B6DEC0F">
            <w:pPr>
              <w:numPr>
                <w:ilvl w:val="0"/>
                <w:numId w:val="0"/>
              </w:numPr>
              <w:spacing w:line="360" w:lineRule="auto"/>
              <w:ind w:leftChars="0" w:firstLine="720" w:firstLineChars="3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rPr>
              <w:t>项目主要设备及设施参数情况见表</w:t>
            </w:r>
            <w:r>
              <w:rPr>
                <w:rFonts w:hint="default"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rPr>
              <w:t>所示</w:t>
            </w:r>
            <w:r>
              <w:rPr>
                <w:rFonts w:hint="default" w:ascii="Times New Roman" w:hAnsi="Times New Roman" w:cs="Times New Roman" w:eastAsiaTheme="minorEastAsia"/>
                <w:color w:val="auto"/>
                <w:sz w:val="24"/>
                <w:szCs w:val="24"/>
                <w:lang w:eastAsia="zh-CN"/>
              </w:rPr>
              <w:t>。</w:t>
            </w:r>
          </w:p>
          <w:p w14:paraId="43CFA484">
            <w:pPr>
              <w:pStyle w:val="11"/>
              <w:adjustRightInd w:val="0"/>
              <w:spacing w:after="0" w:line="240" w:lineRule="auto"/>
              <w:ind w:firstLine="482"/>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表2-</w:t>
            </w:r>
            <w:r>
              <w:rPr>
                <w:rFonts w:hint="default" w:ascii="Times New Roman" w:hAnsi="Times New Roman" w:cs="Times New Roman" w:eastAsiaTheme="minorEastAsia"/>
                <w:b/>
                <w:bCs/>
                <w:color w:val="auto"/>
                <w:sz w:val="24"/>
                <w:szCs w:val="24"/>
                <w:lang w:val="en-US" w:eastAsia="zh-CN"/>
              </w:rPr>
              <w:t>5</w:t>
            </w:r>
            <w:r>
              <w:rPr>
                <w:rFonts w:hint="default" w:ascii="Times New Roman" w:hAnsi="Times New Roman" w:cs="Times New Roman" w:eastAsiaTheme="minorEastAsia"/>
                <w:b/>
                <w:bCs/>
                <w:color w:val="auto"/>
                <w:sz w:val="24"/>
                <w:szCs w:val="24"/>
              </w:rPr>
              <w:t xml:space="preserve">  主要设备一览表</w:t>
            </w:r>
          </w:p>
          <w:tbl>
            <w:tblPr>
              <w:tblStyle w:val="24"/>
              <w:tblW w:w="7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630"/>
              <w:gridCol w:w="1279"/>
              <w:gridCol w:w="2427"/>
              <w:gridCol w:w="1049"/>
            </w:tblGrid>
            <w:tr w14:paraId="19369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12" w:type="dxa"/>
                  <w:vAlign w:val="center"/>
                </w:tcPr>
                <w:p w14:paraId="2544F07E">
                  <w:pPr>
                    <w:numPr>
                      <w:ilvl w:val="0"/>
                      <w:numId w:val="0"/>
                    </w:numPr>
                    <w:spacing w:line="36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1630" w:type="dxa"/>
                  <w:vAlign w:val="center"/>
                </w:tcPr>
                <w:p w14:paraId="0377EFA9">
                  <w:pPr>
                    <w:numPr>
                      <w:ilvl w:val="0"/>
                      <w:numId w:val="0"/>
                    </w:numPr>
                    <w:spacing w:line="36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设备名称</w:t>
                  </w:r>
                </w:p>
              </w:tc>
              <w:tc>
                <w:tcPr>
                  <w:tcW w:w="1279" w:type="dxa"/>
                  <w:vAlign w:val="center"/>
                </w:tcPr>
                <w:p w14:paraId="53E9395A">
                  <w:pPr>
                    <w:numPr>
                      <w:ilvl w:val="0"/>
                      <w:numId w:val="0"/>
                    </w:numPr>
                    <w:spacing w:line="36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数量</w:t>
                  </w:r>
                </w:p>
              </w:tc>
              <w:tc>
                <w:tcPr>
                  <w:tcW w:w="2427" w:type="dxa"/>
                  <w:vAlign w:val="center"/>
                </w:tcPr>
                <w:p w14:paraId="495E9121">
                  <w:pPr>
                    <w:numPr>
                      <w:ilvl w:val="0"/>
                      <w:numId w:val="0"/>
                    </w:numPr>
                    <w:spacing w:line="36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color w:val="auto"/>
                      <w:sz w:val="21"/>
                      <w:szCs w:val="21"/>
                    </w:rPr>
                    <w:t>规格型号</w:t>
                  </w:r>
                </w:p>
              </w:tc>
              <w:tc>
                <w:tcPr>
                  <w:tcW w:w="1049" w:type="dxa"/>
                  <w:vAlign w:val="center"/>
                </w:tcPr>
                <w:p w14:paraId="756B0D3C">
                  <w:pPr>
                    <w:numPr>
                      <w:ilvl w:val="0"/>
                      <w:numId w:val="0"/>
                    </w:numPr>
                    <w:spacing w:line="360" w:lineRule="auto"/>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备注</w:t>
                  </w:r>
                </w:p>
              </w:tc>
            </w:tr>
            <w:tr w14:paraId="5E7EB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12" w:type="dxa"/>
                  <w:vAlign w:val="center"/>
                </w:tcPr>
                <w:p w14:paraId="52FA518E">
                  <w:pPr>
                    <w:numPr>
                      <w:ilvl w:val="0"/>
                      <w:numId w:val="0"/>
                    </w:numPr>
                    <w:spacing w:line="360" w:lineRule="auto"/>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1</w:t>
                  </w:r>
                </w:p>
              </w:tc>
              <w:tc>
                <w:tcPr>
                  <w:tcW w:w="1630" w:type="dxa"/>
                  <w:vAlign w:val="center"/>
                </w:tcPr>
                <w:p w14:paraId="03A61755">
                  <w:pPr>
                    <w:jc w:val="center"/>
                    <w:rPr>
                      <w:rFonts w:hint="default" w:ascii="Times New Roman" w:hAnsi="Times New Roman" w:eastAsia="宋体" w:cs="Times New Roman"/>
                      <w:color w:val="FF0000"/>
                      <w:sz w:val="21"/>
                      <w:szCs w:val="21"/>
                      <w:vertAlign w:val="baseline"/>
                      <w:lang w:val="en-US" w:eastAsia="zh-CN"/>
                    </w:rPr>
                  </w:pPr>
                  <w:r>
                    <w:rPr>
                      <w:rFonts w:hint="eastAsia" w:cs="Times New Roman"/>
                      <w:color w:val="FF0000"/>
                      <w:sz w:val="21"/>
                      <w:szCs w:val="21"/>
                      <w:lang w:val="en-US" w:eastAsia="zh-CN"/>
                    </w:rPr>
                    <w:t>密闭</w:t>
                  </w:r>
                  <w:r>
                    <w:rPr>
                      <w:rFonts w:hint="default" w:ascii="Times New Roman" w:hAnsi="Times New Roman" w:eastAsia="宋体" w:cs="Times New Roman"/>
                      <w:color w:val="FF0000"/>
                      <w:sz w:val="21"/>
                      <w:szCs w:val="21"/>
                    </w:rPr>
                    <w:t>粉碎机</w:t>
                  </w:r>
                </w:p>
              </w:tc>
              <w:tc>
                <w:tcPr>
                  <w:tcW w:w="1279" w:type="dxa"/>
                  <w:vAlign w:val="center"/>
                </w:tcPr>
                <w:p w14:paraId="5D5C2221">
                  <w:pPr>
                    <w:jc w:val="center"/>
                    <w:rPr>
                      <w:rFonts w:hint="default" w:ascii="Times New Roman" w:hAnsi="Times New Roman" w:eastAsia="宋体" w:cs="Times New Roman"/>
                      <w:color w:val="FF0000"/>
                      <w:sz w:val="21"/>
                      <w:szCs w:val="21"/>
                      <w:vertAlign w:val="baseline"/>
                      <w:lang w:val="en-US" w:eastAsia="zh-CN"/>
                    </w:rPr>
                  </w:pPr>
                  <w:r>
                    <w:rPr>
                      <w:rFonts w:hint="eastAsia" w:cs="Times New Roman"/>
                      <w:color w:val="FF0000"/>
                      <w:sz w:val="21"/>
                      <w:szCs w:val="21"/>
                      <w:lang w:val="en-US" w:eastAsia="zh-CN"/>
                    </w:rPr>
                    <w:t>1</w:t>
                  </w:r>
                  <w:r>
                    <w:rPr>
                      <w:rFonts w:hint="default" w:ascii="Times New Roman" w:hAnsi="Times New Roman" w:eastAsia="宋体" w:cs="Times New Roman"/>
                      <w:color w:val="FF0000"/>
                      <w:sz w:val="21"/>
                      <w:szCs w:val="21"/>
                    </w:rPr>
                    <w:t>台</w:t>
                  </w:r>
                </w:p>
              </w:tc>
              <w:tc>
                <w:tcPr>
                  <w:tcW w:w="2427" w:type="dxa"/>
                  <w:vAlign w:val="center"/>
                </w:tcPr>
                <w:p w14:paraId="4D16933D">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45kw</w:t>
                  </w:r>
                </w:p>
              </w:tc>
              <w:tc>
                <w:tcPr>
                  <w:tcW w:w="1049" w:type="dxa"/>
                  <w:vAlign w:val="center"/>
                </w:tcPr>
                <w:p w14:paraId="65F969BE">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新增</w:t>
                  </w:r>
                </w:p>
              </w:tc>
            </w:tr>
            <w:tr w14:paraId="7D587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12" w:type="dxa"/>
                  <w:vAlign w:val="center"/>
                </w:tcPr>
                <w:p w14:paraId="09019D3F">
                  <w:pPr>
                    <w:numPr>
                      <w:ilvl w:val="0"/>
                      <w:numId w:val="0"/>
                    </w:numPr>
                    <w:spacing w:line="36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630" w:type="dxa"/>
                  <w:vAlign w:val="center"/>
                </w:tcPr>
                <w:p w14:paraId="74521B75">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旋风分离</w:t>
                  </w:r>
                  <w:r>
                    <w:rPr>
                      <w:rFonts w:hint="default" w:ascii="Times New Roman" w:hAnsi="Times New Roman" w:eastAsia="宋体" w:cs="Times New Roman"/>
                      <w:color w:val="auto"/>
                      <w:sz w:val="21"/>
                      <w:szCs w:val="21"/>
                      <w:lang w:eastAsia="zh-CN"/>
                    </w:rPr>
                    <w:t>器</w:t>
                  </w:r>
                </w:p>
              </w:tc>
              <w:tc>
                <w:tcPr>
                  <w:tcW w:w="1279" w:type="dxa"/>
                  <w:vAlign w:val="center"/>
                </w:tcPr>
                <w:p w14:paraId="3F4F42E4">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3个</w:t>
                  </w:r>
                </w:p>
              </w:tc>
              <w:tc>
                <w:tcPr>
                  <w:tcW w:w="2427" w:type="dxa"/>
                  <w:vAlign w:val="center"/>
                </w:tcPr>
                <w:p w14:paraId="45C0C8E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9" w:type="dxa"/>
                  <w:vAlign w:val="center"/>
                </w:tcPr>
                <w:p w14:paraId="311186E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新增</w:t>
                  </w:r>
                </w:p>
              </w:tc>
            </w:tr>
            <w:tr w14:paraId="0B8F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12" w:type="dxa"/>
                  <w:vAlign w:val="center"/>
                </w:tcPr>
                <w:p w14:paraId="10709AC3">
                  <w:pPr>
                    <w:numPr>
                      <w:ilvl w:val="0"/>
                      <w:numId w:val="0"/>
                    </w:numPr>
                    <w:spacing w:line="36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630" w:type="dxa"/>
                  <w:vAlign w:val="center"/>
                </w:tcPr>
                <w:p w14:paraId="71BA8AE4">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布袋除尘装置</w:t>
                  </w:r>
                </w:p>
              </w:tc>
              <w:tc>
                <w:tcPr>
                  <w:tcW w:w="1279" w:type="dxa"/>
                  <w:vAlign w:val="center"/>
                </w:tcPr>
                <w:p w14:paraId="487EE620">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1套</w:t>
                  </w:r>
                </w:p>
              </w:tc>
              <w:tc>
                <w:tcPr>
                  <w:tcW w:w="2427" w:type="dxa"/>
                  <w:vAlign w:val="center"/>
                </w:tcPr>
                <w:p w14:paraId="5F0F5B0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9" w:type="dxa"/>
                  <w:vAlign w:val="center"/>
                </w:tcPr>
                <w:p w14:paraId="4E2B170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新增</w:t>
                  </w:r>
                </w:p>
              </w:tc>
            </w:tr>
            <w:tr w14:paraId="3F81B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12" w:type="dxa"/>
                  <w:vAlign w:val="center"/>
                </w:tcPr>
                <w:p w14:paraId="5615DC05">
                  <w:pPr>
                    <w:numPr>
                      <w:ilvl w:val="0"/>
                      <w:numId w:val="0"/>
                    </w:numPr>
                    <w:spacing w:line="36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w:t>
                  </w:r>
                </w:p>
              </w:tc>
              <w:tc>
                <w:tcPr>
                  <w:tcW w:w="1630" w:type="dxa"/>
                  <w:vAlign w:val="center"/>
                </w:tcPr>
                <w:p w14:paraId="3B72E00E">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装载机</w:t>
                  </w:r>
                </w:p>
              </w:tc>
              <w:tc>
                <w:tcPr>
                  <w:tcW w:w="1279" w:type="dxa"/>
                  <w:vAlign w:val="center"/>
                </w:tcPr>
                <w:p w14:paraId="22804C35">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1台</w:t>
                  </w:r>
                </w:p>
              </w:tc>
              <w:tc>
                <w:tcPr>
                  <w:tcW w:w="2427" w:type="dxa"/>
                  <w:vAlign w:val="center"/>
                </w:tcPr>
                <w:p w14:paraId="78FB45D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20型</w:t>
                  </w:r>
                </w:p>
              </w:tc>
              <w:tc>
                <w:tcPr>
                  <w:tcW w:w="1049" w:type="dxa"/>
                  <w:vAlign w:val="center"/>
                </w:tcPr>
                <w:p w14:paraId="4F7D0DF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新增</w:t>
                  </w:r>
                </w:p>
              </w:tc>
            </w:tr>
            <w:tr w14:paraId="17963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12" w:type="dxa"/>
                  <w:vAlign w:val="center"/>
                </w:tcPr>
                <w:p w14:paraId="3F314A3E">
                  <w:pPr>
                    <w:numPr>
                      <w:ilvl w:val="0"/>
                      <w:numId w:val="0"/>
                    </w:numPr>
                    <w:spacing w:line="36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w:t>
                  </w:r>
                </w:p>
              </w:tc>
              <w:tc>
                <w:tcPr>
                  <w:tcW w:w="1630" w:type="dxa"/>
                  <w:vAlign w:val="center"/>
                </w:tcPr>
                <w:p w14:paraId="2DF3DACC">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热风炉</w:t>
                  </w:r>
                </w:p>
              </w:tc>
              <w:tc>
                <w:tcPr>
                  <w:tcW w:w="1279" w:type="dxa"/>
                  <w:vAlign w:val="center"/>
                </w:tcPr>
                <w:p w14:paraId="55BE6ADA">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1台</w:t>
                  </w:r>
                </w:p>
              </w:tc>
              <w:tc>
                <w:tcPr>
                  <w:tcW w:w="2427" w:type="dxa"/>
                  <w:vAlign w:val="center"/>
                </w:tcPr>
                <w:p w14:paraId="144F108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3隔花墙挡火</w:t>
                  </w:r>
                </w:p>
              </w:tc>
              <w:tc>
                <w:tcPr>
                  <w:tcW w:w="1049" w:type="dxa"/>
                  <w:vAlign w:val="center"/>
                </w:tcPr>
                <w:p w14:paraId="6427946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新增</w:t>
                  </w:r>
                </w:p>
              </w:tc>
            </w:tr>
            <w:tr w14:paraId="1A1EB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12" w:type="dxa"/>
                  <w:vAlign w:val="center"/>
                </w:tcPr>
                <w:p w14:paraId="5EC718D8">
                  <w:pPr>
                    <w:numPr>
                      <w:ilvl w:val="0"/>
                      <w:numId w:val="0"/>
                    </w:numPr>
                    <w:spacing w:line="36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w:t>
                  </w:r>
                </w:p>
              </w:tc>
              <w:tc>
                <w:tcPr>
                  <w:tcW w:w="1630" w:type="dxa"/>
                  <w:vAlign w:val="center"/>
                </w:tcPr>
                <w:p w14:paraId="50C4F5D5">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eastAsia="zh-CN"/>
                    </w:rPr>
                    <w:t>滚筒筛</w:t>
                  </w:r>
                </w:p>
              </w:tc>
              <w:tc>
                <w:tcPr>
                  <w:tcW w:w="1279" w:type="dxa"/>
                  <w:vAlign w:val="center"/>
                </w:tcPr>
                <w:p w14:paraId="3367C35F">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1套</w:t>
                  </w:r>
                </w:p>
              </w:tc>
              <w:tc>
                <w:tcPr>
                  <w:tcW w:w="2427" w:type="dxa"/>
                  <w:vAlign w:val="center"/>
                </w:tcPr>
                <w:p w14:paraId="2F8CB4C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直径1.8m，宽度0.8m</w:t>
                  </w:r>
                </w:p>
              </w:tc>
              <w:tc>
                <w:tcPr>
                  <w:tcW w:w="1049" w:type="dxa"/>
                  <w:vAlign w:val="center"/>
                </w:tcPr>
                <w:p w14:paraId="0049C75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新增</w:t>
                  </w:r>
                </w:p>
              </w:tc>
            </w:tr>
            <w:tr w14:paraId="41A7E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12" w:type="dxa"/>
                  <w:vAlign w:val="center"/>
                </w:tcPr>
                <w:p w14:paraId="3E199CE4">
                  <w:pPr>
                    <w:numPr>
                      <w:ilvl w:val="0"/>
                      <w:numId w:val="0"/>
                    </w:numPr>
                    <w:spacing w:line="36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w:t>
                  </w:r>
                </w:p>
              </w:tc>
              <w:tc>
                <w:tcPr>
                  <w:tcW w:w="1630" w:type="dxa"/>
                  <w:vAlign w:val="center"/>
                </w:tcPr>
                <w:p w14:paraId="33DCB644">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烘干筒</w:t>
                  </w:r>
                </w:p>
              </w:tc>
              <w:tc>
                <w:tcPr>
                  <w:tcW w:w="1279" w:type="dxa"/>
                  <w:vAlign w:val="center"/>
                </w:tcPr>
                <w:p w14:paraId="32516B6F">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1台</w:t>
                  </w:r>
                </w:p>
              </w:tc>
              <w:tc>
                <w:tcPr>
                  <w:tcW w:w="2427" w:type="dxa"/>
                  <w:vAlign w:val="center"/>
                </w:tcPr>
                <w:p w14:paraId="6FC3568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直径2.4m，长20m</w:t>
                  </w:r>
                </w:p>
              </w:tc>
              <w:tc>
                <w:tcPr>
                  <w:tcW w:w="1049" w:type="dxa"/>
                  <w:vAlign w:val="center"/>
                </w:tcPr>
                <w:p w14:paraId="7C3D5981">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新增</w:t>
                  </w:r>
                </w:p>
              </w:tc>
            </w:tr>
            <w:tr w14:paraId="3F7A1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12" w:type="dxa"/>
                  <w:vAlign w:val="center"/>
                </w:tcPr>
                <w:p w14:paraId="70540DB2">
                  <w:pPr>
                    <w:numPr>
                      <w:ilvl w:val="0"/>
                      <w:numId w:val="0"/>
                    </w:numPr>
                    <w:spacing w:line="36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w:t>
                  </w:r>
                </w:p>
              </w:tc>
              <w:tc>
                <w:tcPr>
                  <w:tcW w:w="1630" w:type="dxa"/>
                  <w:vAlign w:val="center"/>
                </w:tcPr>
                <w:p w14:paraId="3AE9863F">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螺旋送料器</w:t>
                  </w:r>
                </w:p>
              </w:tc>
              <w:tc>
                <w:tcPr>
                  <w:tcW w:w="1279" w:type="dxa"/>
                  <w:vAlign w:val="center"/>
                </w:tcPr>
                <w:p w14:paraId="5B3A77D1">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5台</w:t>
                  </w:r>
                </w:p>
              </w:tc>
              <w:tc>
                <w:tcPr>
                  <w:tcW w:w="2427" w:type="dxa"/>
                  <w:vAlign w:val="center"/>
                </w:tcPr>
                <w:p w14:paraId="7C9D627E">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30kw</w:t>
                  </w:r>
                </w:p>
              </w:tc>
              <w:tc>
                <w:tcPr>
                  <w:tcW w:w="1049" w:type="dxa"/>
                  <w:vAlign w:val="center"/>
                </w:tcPr>
                <w:p w14:paraId="0BCB6A6C">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新增</w:t>
                  </w:r>
                </w:p>
              </w:tc>
            </w:tr>
            <w:tr w14:paraId="66560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12" w:type="dxa"/>
                  <w:vAlign w:val="center"/>
                </w:tcPr>
                <w:p w14:paraId="1E0FC404">
                  <w:pPr>
                    <w:numPr>
                      <w:ilvl w:val="0"/>
                      <w:numId w:val="0"/>
                    </w:numPr>
                    <w:spacing w:line="36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w:t>
                  </w:r>
                </w:p>
              </w:tc>
              <w:tc>
                <w:tcPr>
                  <w:tcW w:w="1630" w:type="dxa"/>
                  <w:vAlign w:val="center"/>
                </w:tcPr>
                <w:p w14:paraId="768B0F63">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制棒机</w:t>
                  </w:r>
                </w:p>
              </w:tc>
              <w:tc>
                <w:tcPr>
                  <w:tcW w:w="1279" w:type="dxa"/>
                  <w:vAlign w:val="center"/>
                </w:tcPr>
                <w:p w14:paraId="7BC08124">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13台</w:t>
                  </w:r>
                </w:p>
              </w:tc>
              <w:tc>
                <w:tcPr>
                  <w:tcW w:w="2427" w:type="dxa"/>
                  <w:vAlign w:val="center"/>
                </w:tcPr>
                <w:p w14:paraId="48FF631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30kw</w:t>
                  </w:r>
                </w:p>
              </w:tc>
              <w:tc>
                <w:tcPr>
                  <w:tcW w:w="1049" w:type="dxa"/>
                  <w:vAlign w:val="center"/>
                </w:tcPr>
                <w:p w14:paraId="4895CC6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新增</w:t>
                  </w:r>
                </w:p>
              </w:tc>
            </w:tr>
            <w:tr w14:paraId="3BD9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12" w:type="dxa"/>
                  <w:vAlign w:val="center"/>
                </w:tcPr>
                <w:p w14:paraId="4039A9C3">
                  <w:pPr>
                    <w:numPr>
                      <w:ilvl w:val="0"/>
                      <w:numId w:val="0"/>
                    </w:numPr>
                    <w:spacing w:line="36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1630" w:type="dxa"/>
                  <w:vAlign w:val="center"/>
                </w:tcPr>
                <w:p w14:paraId="49DCC819">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抽气罩</w:t>
                  </w:r>
                </w:p>
              </w:tc>
              <w:tc>
                <w:tcPr>
                  <w:tcW w:w="1279" w:type="dxa"/>
                  <w:vAlign w:val="center"/>
                </w:tcPr>
                <w:p w14:paraId="24D82148">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1套</w:t>
                  </w:r>
                </w:p>
              </w:tc>
              <w:tc>
                <w:tcPr>
                  <w:tcW w:w="2427" w:type="dxa"/>
                  <w:vAlign w:val="center"/>
                </w:tcPr>
                <w:p w14:paraId="10C6F71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9" w:type="dxa"/>
                  <w:vAlign w:val="center"/>
                </w:tcPr>
                <w:p w14:paraId="3641345E">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新增</w:t>
                  </w:r>
                </w:p>
              </w:tc>
            </w:tr>
            <w:tr w14:paraId="2B822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12" w:type="dxa"/>
                  <w:vAlign w:val="center"/>
                </w:tcPr>
                <w:p w14:paraId="0C87AFDD">
                  <w:pPr>
                    <w:numPr>
                      <w:ilvl w:val="0"/>
                      <w:numId w:val="0"/>
                    </w:numPr>
                    <w:spacing w:line="36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1630" w:type="dxa"/>
                  <w:vAlign w:val="center"/>
                </w:tcPr>
                <w:p w14:paraId="02CE1F5C">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带式输送机</w:t>
                  </w:r>
                </w:p>
              </w:tc>
              <w:tc>
                <w:tcPr>
                  <w:tcW w:w="1279" w:type="dxa"/>
                  <w:vAlign w:val="center"/>
                </w:tcPr>
                <w:p w14:paraId="6D8A94EF">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2台</w:t>
                  </w:r>
                </w:p>
              </w:tc>
              <w:tc>
                <w:tcPr>
                  <w:tcW w:w="2427" w:type="dxa"/>
                  <w:vAlign w:val="center"/>
                </w:tcPr>
                <w:p w14:paraId="41F8A8E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7.5kw</w:t>
                  </w:r>
                </w:p>
              </w:tc>
              <w:tc>
                <w:tcPr>
                  <w:tcW w:w="1049" w:type="dxa"/>
                  <w:vAlign w:val="center"/>
                </w:tcPr>
                <w:p w14:paraId="202D0A84">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新增</w:t>
                  </w:r>
                </w:p>
              </w:tc>
            </w:tr>
            <w:tr w14:paraId="55EF1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12" w:type="dxa"/>
                  <w:vAlign w:val="center"/>
                </w:tcPr>
                <w:p w14:paraId="71E4342F">
                  <w:pPr>
                    <w:numPr>
                      <w:ilvl w:val="0"/>
                      <w:numId w:val="0"/>
                    </w:numPr>
                    <w:spacing w:line="36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12</w:t>
                  </w:r>
                </w:p>
              </w:tc>
              <w:tc>
                <w:tcPr>
                  <w:tcW w:w="1630" w:type="dxa"/>
                  <w:vAlign w:val="center"/>
                </w:tcPr>
                <w:p w14:paraId="10DB4EDD">
                  <w:pPr>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风机</w:t>
                  </w:r>
                </w:p>
              </w:tc>
              <w:tc>
                <w:tcPr>
                  <w:tcW w:w="1279" w:type="dxa"/>
                  <w:vAlign w:val="center"/>
                </w:tcPr>
                <w:p w14:paraId="21F76408">
                  <w:pPr>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台</w:t>
                  </w:r>
                </w:p>
              </w:tc>
              <w:tc>
                <w:tcPr>
                  <w:tcW w:w="2427" w:type="dxa"/>
                  <w:vAlign w:val="center"/>
                </w:tcPr>
                <w:p w14:paraId="199AF6F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风量</w:t>
                  </w:r>
                  <w:r>
                    <w:rPr>
                      <w:rFonts w:hint="eastAsia"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000</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58</w:t>
                  </w:r>
                  <w:r>
                    <w:rPr>
                      <w:rFonts w:hint="default" w:ascii="Times New Roman" w:hAnsi="Times New Roman" w:eastAsia="宋体" w:cs="Times New Roman"/>
                      <w:color w:val="auto"/>
                      <w:sz w:val="21"/>
                      <w:szCs w:val="21"/>
                      <w:highlight w:val="none"/>
                      <w:lang w:val="en-US" w:eastAsia="zh-CN"/>
                    </w:rPr>
                    <w:t>000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p>
              </w:tc>
              <w:tc>
                <w:tcPr>
                  <w:tcW w:w="1049" w:type="dxa"/>
                  <w:vAlign w:val="center"/>
                </w:tcPr>
                <w:p w14:paraId="332BBCB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新增</w:t>
                  </w:r>
                </w:p>
              </w:tc>
            </w:tr>
            <w:tr w14:paraId="1C4DB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12" w:type="dxa"/>
                  <w:vAlign w:val="center"/>
                </w:tcPr>
                <w:p w14:paraId="3470C970">
                  <w:pPr>
                    <w:numPr>
                      <w:ilvl w:val="0"/>
                      <w:numId w:val="0"/>
                    </w:numPr>
                    <w:spacing w:line="36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1630" w:type="dxa"/>
                  <w:vAlign w:val="center"/>
                </w:tcPr>
                <w:p w14:paraId="63397D1D">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地轨行车</w:t>
                  </w:r>
                </w:p>
              </w:tc>
              <w:tc>
                <w:tcPr>
                  <w:tcW w:w="1279" w:type="dxa"/>
                  <w:vAlign w:val="center"/>
                </w:tcPr>
                <w:p w14:paraId="75BD7214">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1台</w:t>
                  </w:r>
                </w:p>
              </w:tc>
              <w:tc>
                <w:tcPr>
                  <w:tcW w:w="2427" w:type="dxa"/>
                  <w:vAlign w:val="center"/>
                </w:tcPr>
                <w:p w14:paraId="39A5524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6t</w:t>
                  </w:r>
                </w:p>
              </w:tc>
              <w:tc>
                <w:tcPr>
                  <w:tcW w:w="1049" w:type="dxa"/>
                  <w:vAlign w:val="center"/>
                </w:tcPr>
                <w:p w14:paraId="7C5731A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新增</w:t>
                  </w:r>
                </w:p>
              </w:tc>
            </w:tr>
            <w:tr w14:paraId="41EB9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12" w:type="dxa"/>
                  <w:vAlign w:val="center"/>
                </w:tcPr>
                <w:p w14:paraId="0783F3E3">
                  <w:pPr>
                    <w:numPr>
                      <w:ilvl w:val="0"/>
                      <w:numId w:val="0"/>
                    </w:numPr>
                    <w:spacing w:line="36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1630" w:type="dxa"/>
                  <w:vAlign w:val="center"/>
                </w:tcPr>
                <w:p w14:paraId="04AC53D4">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叉车</w:t>
                  </w:r>
                </w:p>
              </w:tc>
              <w:tc>
                <w:tcPr>
                  <w:tcW w:w="1279" w:type="dxa"/>
                  <w:vAlign w:val="center"/>
                </w:tcPr>
                <w:p w14:paraId="511D6FAC">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1台</w:t>
                  </w:r>
                </w:p>
              </w:tc>
              <w:tc>
                <w:tcPr>
                  <w:tcW w:w="2427" w:type="dxa"/>
                  <w:vAlign w:val="center"/>
                </w:tcPr>
                <w:p w14:paraId="4BE24C79">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t</w:t>
                  </w:r>
                </w:p>
              </w:tc>
              <w:tc>
                <w:tcPr>
                  <w:tcW w:w="1049" w:type="dxa"/>
                  <w:vAlign w:val="center"/>
                </w:tcPr>
                <w:p w14:paraId="3320043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新增</w:t>
                  </w:r>
                </w:p>
              </w:tc>
            </w:tr>
            <w:tr w14:paraId="1E6CC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12" w:type="dxa"/>
                  <w:vAlign w:val="center"/>
                </w:tcPr>
                <w:p w14:paraId="3F2EFDFC">
                  <w:pPr>
                    <w:numPr>
                      <w:ilvl w:val="0"/>
                      <w:numId w:val="0"/>
                    </w:numPr>
                    <w:spacing w:line="36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1630" w:type="dxa"/>
                  <w:vAlign w:val="center"/>
                </w:tcPr>
                <w:p w14:paraId="255E7546">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eastAsia="zh-CN"/>
                    </w:rPr>
                    <w:t>排气筒</w:t>
                  </w:r>
                </w:p>
              </w:tc>
              <w:tc>
                <w:tcPr>
                  <w:tcW w:w="1279" w:type="dxa"/>
                  <w:vAlign w:val="center"/>
                </w:tcPr>
                <w:p w14:paraId="0ACAF03F">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1个</w:t>
                  </w:r>
                </w:p>
              </w:tc>
              <w:tc>
                <w:tcPr>
                  <w:tcW w:w="2427" w:type="dxa"/>
                  <w:vAlign w:val="center"/>
                </w:tcPr>
                <w:p w14:paraId="4463718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直径</w:t>
                  </w:r>
                  <w:r>
                    <w:rPr>
                      <w:rFonts w:hint="default" w:ascii="Times New Roman" w:hAnsi="Times New Roman" w:eastAsia="宋体" w:cs="Times New Roman"/>
                      <w:color w:val="auto"/>
                      <w:sz w:val="21"/>
                      <w:szCs w:val="21"/>
                      <w:lang w:val="en-US" w:eastAsia="zh-CN"/>
                    </w:rPr>
                    <w:t>0.8m、高15m</w:t>
                  </w:r>
                </w:p>
              </w:tc>
              <w:tc>
                <w:tcPr>
                  <w:tcW w:w="1049" w:type="dxa"/>
                  <w:vAlign w:val="center"/>
                </w:tcPr>
                <w:p w14:paraId="750F6A5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新增</w:t>
                  </w:r>
                </w:p>
              </w:tc>
            </w:tr>
            <w:tr w14:paraId="35C8F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12" w:type="dxa"/>
                  <w:vAlign w:val="center"/>
                </w:tcPr>
                <w:p w14:paraId="37483D2F">
                  <w:pPr>
                    <w:numPr>
                      <w:ilvl w:val="0"/>
                      <w:numId w:val="0"/>
                    </w:numPr>
                    <w:spacing w:line="36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w:t>
                  </w:r>
                </w:p>
              </w:tc>
              <w:tc>
                <w:tcPr>
                  <w:tcW w:w="1630" w:type="dxa"/>
                  <w:vAlign w:val="center"/>
                </w:tcPr>
                <w:p w14:paraId="4FEEE5DB">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水</w:t>
                  </w:r>
                  <w:r>
                    <w:rPr>
                      <w:rFonts w:hint="default" w:ascii="Times New Roman" w:hAnsi="Times New Roman" w:eastAsia="宋体" w:cs="Times New Roman"/>
                      <w:color w:val="auto"/>
                      <w:sz w:val="21"/>
                      <w:szCs w:val="21"/>
                      <w:lang w:eastAsia="zh-CN"/>
                    </w:rPr>
                    <w:t>泵</w:t>
                  </w:r>
                </w:p>
              </w:tc>
              <w:tc>
                <w:tcPr>
                  <w:tcW w:w="1279" w:type="dxa"/>
                  <w:vAlign w:val="center"/>
                </w:tcPr>
                <w:p w14:paraId="590FA6A0">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个</w:t>
                  </w:r>
                </w:p>
              </w:tc>
              <w:tc>
                <w:tcPr>
                  <w:tcW w:w="2427" w:type="dxa"/>
                  <w:vAlign w:val="center"/>
                </w:tcPr>
                <w:p w14:paraId="7CD1A3C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30kw</w:t>
                  </w:r>
                </w:p>
              </w:tc>
              <w:tc>
                <w:tcPr>
                  <w:tcW w:w="1049" w:type="dxa"/>
                  <w:vAlign w:val="center"/>
                </w:tcPr>
                <w:p w14:paraId="43760C4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新增</w:t>
                  </w:r>
                </w:p>
              </w:tc>
            </w:tr>
            <w:tr w14:paraId="7B38C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12" w:type="dxa"/>
                  <w:vAlign w:val="center"/>
                </w:tcPr>
                <w:p w14:paraId="15B21642">
                  <w:pPr>
                    <w:numPr>
                      <w:ilvl w:val="0"/>
                      <w:numId w:val="0"/>
                    </w:numPr>
                    <w:spacing w:line="36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17</w:t>
                  </w:r>
                </w:p>
              </w:tc>
              <w:tc>
                <w:tcPr>
                  <w:tcW w:w="1630" w:type="dxa"/>
                  <w:vAlign w:val="center"/>
                </w:tcPr>
                <w:p w14:paraId="651A7D04">
                  <w:pPr>
                    <w:bidi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炭化窑</w:t>
                  </w:r>
                </w:p>
              </w:tc>
              <w:tc>
                <w:tcPr>
                  <w:tcW w:w="1279" w:type="dxa"/>
                  <w:vAlign w:val="center"/>
                </w:tcPr>
                <w:p w14:paraId="45BD1E8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72个</w:t>
                  </w:r>
                </w:p>
              </w:tc>
              <w:tc>
                <w:tcPr>
                  <w:tcW w:w="2427" w:type="dxa"/>
                  <w:vAlign w:val="center"/>
                </w:tcPr>
                <w:p w14:paraId="4AC755E2">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长1.8m宽1.8m高1.8m</w:t>
                  </w:r>
                </w:p>
              </w:tc>
              <w:tc>
                <w:tcPr>
                  <w:tcW w:w="1049" w:type="dxa"/>
                  <w:vAlign w:val="center"/>
                </w:tcPr>
                <w:p w14:paraId="25995E3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新增</w:t>
                  </w:r>
                </w:p>
              </w:tc>
            </w:tr>
            <w:tr w14:paraId="5737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12" w:type="dxa"/>
                  <w:vAlign w:val="center"/>
                </w:tcPr>
                <w:p w14:paraId="1E7CA7CD">
                  <w:pPr>
                    <w:numPr>
                      <w:ilvl w:val="0"/>
                      <w:numId w:val="0"/>
                    </w:numPr>
                    <w:spacing w:line="360" w:lineRule="auto"/>
                    <w:jc w:val="center"/>
                    <w:rPr>
                      <w:rFonts w:hint="default" w:ascii="Times New Roman" w:hAnsi="Times New Roman" w:eastAsia="宋体" w:cs="Times New Roman"/>
                      <w:color w:val="FF0000"/>
                      <w:sz w:val="21"/>
                      <w:szCs w:val="21"/>
                      <w:highlight w:val="none"/>
                      <w:vertAlign w:val="baseline"/>
                      <w:lang w:val="en-US" w:eastAsia="zh-CN"/>
                    </w:rPr>
                  </w:pPr>
                  <w:r>
                    <w:rPr>
                      <w:rFonts w:hint="eastAsia" w:cs="Times New Roman"/>
                      <w:color w:val="FF0000"/>
                      <w:sz w:val="21"/>
                      <w:szCs w:val="21"/>
                      <w:highlight w:val="none"/>
                      <w:vertAlign w:val="baseline"/>
                      <w:lang w:val="en-US" w:eastAsia="zh-CN"/>
                    </w:rPr>
                    <w:t>18</w:t>
                  </w:r>
                </w:p>
              </w:tc>
              <w:tc>
                <w:tcPr>
                  <w:tcW w:w="1630" w:type="dxa"/>
                  <w:vAlign w:val="center"/>
                </w:tcPr>
                <w:p w14:paraId="0FB22F6C">
                  <w:pPr>
                    <w:bidi w:val="0"/>
                    <w:jc w:val="center"/>
                    <w:rPr>
                      <w:rFonts w:hint="default" w:ascii="Times New Roman" w:hAnsi="Times New Roman" w:eastAsia="宋体" w:cs="Times New Roman"/>
                      <w:color w:val="FF0000"/>
                      <w:kern w:val="2"/>
                      <w:sz w:val="21"/>
                      <w:szCs w:val="21"/>
                      <w:highlight w:val="none"/>
                      <w:lang w:val="en-US" w:eastAsia="zh-CN" w:bidi="ar-SA"/>
                    </w:rPr>
                  </w:pPr>
                  <w:r>
                    <w:rPr>
                      <w:rFonts w:hint="eastAsia" w:cs="Times New Roman"/>
                      <w:color w:val="FF0000"/>
                      <w:kern w:val="2"/>
                      <w:sz w:val="21"/>
                      <w:szCs w:val="21"/>
                      <w:highlight w:val="none"/>
                      <w:lang w:val="en-US" w:eastAsia="zh-CN" w:bidi="ar-SA"/>
                    </w:rPr>
                    <w:t>烟气在线监控设备</w:t>
                  </w:r>
                </w:p>
              </w:tc>
              <w:tc>
                <w:tcPr>
                  <w:tcW w:w="1279" w:type="dxa"/>
                  <w:vAlign w:val="center"/>
                </w:tcPr>
                <w:p w14:paraId="516111AF">
                  <w:pPr>
                    <w:jc w:val="center"/>
                    <w:rPr>
                      <w:rFonts w:hint="default" w:ascii="Times New Roman" w:hAnsi="Times New Roman" w:eastAsia="宋体" w:cs="Times New Roman"/>
                      <w:color w:val="FF0000"/>
                      <w:sz w:val="21"/>
                      <w:szCs w:val="21"/>
                      <w:highlight w:val="none"/>
                      <w:lang w:val="en-US" w:eastAsia="zh-CN"/>
                    </w:rPr>
                  </w:pPr>
                  <w:r>
                    <w:rPr>
                      <w:rFonts w:hint="eastAsia" w:cs="Times New Roman"/>
                      <w:color w:val="FF0000"/>
                      <w:sz w:val="21"/>
                      <w:szCs w:val="21"/>
                      <w:highlight w:val="none"/>
                      <w:lang w:val="en-US" w:eastAsia="zh-CN"/>
                    </w:rPr>
                    <w:t>1套</w:t>
                  </w:r>
                </w:p>
              </w:tc>
              <w:tc>
                <w:tcPr>
                  <w:tcW w:w="2427" w:type="dxa"/>
                  <w:vAlign w:val="center"/>
                </w:tcPr>
                <w:p w14:paraId="0666B136">
                  <w:pPr>
                    <w:jc w:val="center"/>
                    <w:rPr>
                      <w:rFonts w:hint="default" w:ascii="Times New Roman" w:hAnsi="Times New Roman" w:eastAsia="宋体" w:cs="Times New Roman"/>
                      <w:color w:val="FF0000"/>
                      <w:sz w:val="21"/>
                      <w:szCs w:val="21"/>
                      <w:highlight w:val="none"/>
                      <w:lang w:val="en-US" w:eastAsia="zh-CN"/>
                    </w:rPr>
                  </w:pPr>
                  <w:r>
                    <w:rPr>
                      <w:rFonts w:hint="eastAsia" w:cs="Times New Roman"/>
                      <w:color w:val="FF0000"/>
                      <w:sz w:val="21"/>
                      <w:szCs w:val="21"/>
                      <w:highlight w:val="none"/>
                      <w:lang w:val="en-US" w:eastAsia="zh-CN"/>
                    </w:rPr>
                    <w:t>EM5</w:t>
                  </w:r>
                </w:p>
              </w:tc>
              <w:tc>
                <w:tcPr>
                  <w:tcW w:w="1049" w:type="dxa"/>
                  <w:vAlign w:val="center"/>
                </w:tcPr>
                <w:p w14:paraId="2F468205">
                  <w:pPr>
                    <w:jc w:val="center"/>
                    <w:rPr>
                      <w:rFonts w:hint="default" w:ascii="Times New Roman" w:hAnsi="Times New Roman" w:eastAsia="宋体" w:cs="Times New Roman"/>
                      <w:color w:val="FF0000"/>
                      <w:sz w:val="21"/>
                      <w:szCs w:val="21"/>
                      <w:highlight w:val="none"/>
                      <w:lang w:val="en-US" w:eastAsia="zh-CN"/>
                    </w:rPr>
                  </w:pPr>
                  <w:r>
                    <w:rPr>
                      <w:rFonts w:hint="eastAsia" w:cs="Times New Roman"/>
                      <w:color w:val="FF0000"/>
                      <w:sz w:val="21"/>
                      <w:szCs w:val="21"/>
                      <w:highlight w:val="none"/>
                      <w:lang w:val="en-US" w:eastAsia="zh-CN"/>
                    </w:rPr>
                    <w:t>新增</w:t>
                  </w:r>
                </w:p>
              </w:tc>
            </w:tr>
          </w:tbl>
          <w:p w14:paraId="5BA28581">
            <w:pPr>
              <w:numPr>
                <w:ilvl w:val="0"/>
                <w:numId w:val="0"/>
              </w:numPr>
              <w:spacing w:line="360" w:lineRule="auto"/>
              <w:jc w:val="left"/>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7.</w:t>
            </w:r>
            <w:r>
              <w:rPr>
                <w:rFonts w:hint="default" w:ascii="Times New Roman" w:hAnsi="Times New Roman" w:cs="Times New Roman" w:eastAsiaTheme="minorEastAsia"/>
                <w:b/>
                <w:bCs/>
                <w:color w:val="auto"/>
                <w:sz w:val="24"/>
                <w:szCs w:val="24"/>
              </w:rPr>
              <w:t>工作制度及劳动定员</w:t>
            </w:r>
          </w:p>
          <w:p w14:paraId="01F3392C">
            <w:pPr>
              <w:pStyle w:val="31"/>
              <w:shd w:val="clear"/>
              <w:spacing w:line="360" w:lineRule="auto"/>
              <w:rPr>
                <w:rFonts w:hint="eastAsia" w:ascii="Times New Roman" w:hAnsi="Times New Roman" w:cs="Times New Roman" w:eastAsiaTheme="minorEastAsia"/>
                <w:color w:val="auto"/>
                <w:kern w:val="0"/>
                <w:sz w:val="24"/>
                <w:szCs w:val="24"/>
                <w:lang w:eastAsia="zh-CN"/>
              </w:rPr>
            </w:pPr>
            <w:r>
              <w:rPr>
                <w:rFonts w:hint="default" w:ascii="Times New Roman" w:hAnsi="Times New Roman" w:cs="Times New Roman" w:eastAsiaTheme="minorEastAsia"/>
                <w:color w:val="auto"/>
                <w:kern w:val="0"/>
                <w:sz w:val="24"/>
                <w:szCs w:val="24"/>
              </w:rPr>
              <w:t>劳动定员：本项目劳动定员</w:t>
            </w:r>
            <w:r>
              <w:rPr>
                <w:rFonts w:hint="eastAsia" w:cs="Times New Roman" w:eastAsiaTheme="minorEastAsia"/>
                <w:color w:val="auto"/>
                <w:kern w:val="0"/>
                <w:sz w:val="24"/>
                <w:szCs w:val="24"/>
                <w:lang w:val="en-US" w:eastAsia="zh-CN"/>
              </w:rPr>
              <w:t>45</w:t>
            </w:r>
            <w:r>
              <w:rPr>
                <w:rFonts w:hint="default" w:ascii="Times New Roman" w:hAnsi="Times New Roman" w:cs="Times New Roman" w:eastAsiaTheme="minorEastAsia"/>
                <w:color w:val="auto"/>
                <w:kern w:val="0"/>
                <w:sz w:val="24"/>
                <w:szCs w:val="24"/>
              </w:rPr>
              <w:t>人</w:t>
            </w:r>
            <w:r>
              <w:rPr>
                <w:rFonts w:hint="eastAsia" w:cs="Times New Roman" w:eastAsiaTheme="minorEastAsia"/>
                <w:color w:val="auto"/>
                <w:kern w:val="0"/>
                <w:sz w:val="24"/>
                <w:szCs w:val="24"/>
                <w:lang w:eastAsia="zh-CN"/>
              </w:rPr>
              <w:t>，均在项目区周边租用民房食宿。</w:t>
            </w:r>
          </w:p>
          <w:p w14:paraId="2816F373">
            <w:pPr>
              <w:numPr>
                <w:ilvl w:val="0"/>
                <w:numId w:val="0"/>
              </w:numPr>
              <w:shd w:val="clear"/>
              <w:spacing w:line="360" w:lineRule="auto"/>
              <w:ind w:firstLine="480" w:firstLineChars="200"/>
              <w:rPr>
                <w:rFonts w:hint="default" w:ascii="Times New Roman" w:hAnsi="Times New Roman" w:cs="Times New Roman" w:eastAsiaTheme="minorEastAsia"/>
                <w:color w:val="FF0000"/>
                <w:kern w:val="0"/>
                <w:sz w:val="24"/>
                <w:szCs w:val="24"/>
              </w:rPr>
            </w:pPr>
            <w:r>
              <w:rPr>
                <w:rFonts w:hint="default" w:ascii="Times New Roman" w:hAnsi="Times New Roman" w:cs="Times New Roman" w:eastAsiaTheme="minorEastAsia"/>
                <w:color w:val="FF0000"/>
                <w:kern w:val="0"/>
                <w:sz w:val="24"/>
                <w:szCs w:val="24"/>
              </w:rPr>
              <w:t>工作制度：</w:t>
            </w:r>
            <w:r>
              <w:rPr>
                <w:rFonts w:hint="eastAsia" w:cs="Times New Roman" w:eastAsiaTheme="minorEastAsia"/>
                <w:color w:val="FF0000"/>
                <w:kern w:val="0"/>
                <w:sz w:val="24"/>
                <w:szCs w:val="24"/>
                <w:lang w:val="en-US" w:eastAsia="zh-CN"/>
              </w:rPr>
              <w:t>项目全部工段，</w:t>
            </w:r>
            <w:r>
              <w:rPr>
                <w:rFonts w:hint="default" w:ascii="Times New Roman" w:hAnsi="Times New Roman" w:cs="Times New Roman" w:eastAsiaTheme="minorEastAsia"/>
                <w:color w:val="FF0000"/>
                <w:kern w:val="0"/>
                <w:sz w:val="24"/>
                <w:szCs w:val="24"/>
              </w:rPr>
              <w:t>实行</w:t>
            </w:r>
            <w:r>
              <w:rPr>
                <w:rFonts w:hint="eastAsia" w:cs="Times New Roman" w:eastAsiaTheme="minorEastAsia"/>
                <w:color w:val="FF0000"/>
                <w:kern w:val="0"/>
                <w:sz w:val="24"/>
                <w:szCs w:val="24"/>
                <w:lang w:eastAsia="zh-CN"/>
              </w:rPr>
              <w:t>三班倒</w:t>
            </w:r>
            <w:r>
              <w:rPr>
                <w:rFonts w:hint="default" w:ascii="Times New Roman" w:hAnsi="Times New Roman" w:cs="Times New Roman" w:eastAsiaTheme="minorEastAsia"/>
                <w:color w:val="FF0000"/>
                <w:kern w:val="0"/>
                <w:sz w:val="24"/>
                <w:szCs w:val="24"/>
              </w:rPr>
              <w:t>，</w:t>
            </w:r>
            <w:r>
              <w:rPr>
                <w:rFonts w:hint="eastAsia" w:cs="Times New Roman" w:eastAsiaTheme="minorEastAsia"/>
                <w:color w:val="FF0000"/>
                <w:kern w:val="0"/>
                <w:sz w:val="24"/>
                <w:szCs w:val="24"/>
                <w:lang w:val="en-US" w:eastAsia="zh-CN"/>
              </w:rPr>
              <w:t>24</w:t>
            </w:r>
            <w:r>
              <w:rPr>
                <w:rFonts w:hint="default" w:ascii="Times New Roman" w:hAnsi="Times New Roman" w:cs="Times New Roman" w:eastAsiaTheme="minorEastAsia"/>
                <w:color w:val="FF0000"/>
                <w:kern w:val="0"/>
                <w:sz w:val="24"/>
                <w:szCs w:val="24"/>
              </w:rPr>
              <w:t>小时工作制，年工作</w:t>
            </w:r>
            <w:r>
              <w:rPr>
                <w:rFonts w:hint="default" w:ascii="Times New Roman" w:hAnsi="Times New Roman" w:cs="Times New Roman" w:eastAsiaTheme="minorEastAsia"/>
                <w:color w:val="FF0000"/>
                <w:kern w:val="0"/>
                <w:sz w:val="24"/>
                <w:szCs w:val="24"/>
                <w:lang w:val="en-US" w:eastAsia="zh-CN"/>
              </w:rPr>
              <w:t>3</w:t>
            </w:r>
            <w:r>
              <w:rPr>
                <w:rFonts w:hint="eastAsia" w:cs="Times New Roman" w:eastAsiaTheme="minorEastAsia"/>
                <w:color w:val="FF0000"/>
                <w:kern w:val="0"/>
                <w:sz w:val="24"/>
                <w:szCs w:val="24"/>
                <w:lang w:val="en-US" w:eastAsia="zh-CN"/>
              </w:rPr>
              <w:t>2</w:t>
            </w:r>
            <w:r>
              <w:rPr>
                <w:rFonts w:hint="default" w:ascii="Times New Roman" w:hAnsi="Times New Roman" w:cs="Times New Roman" w:eastAsiaTheme="minorEastAsia"/>
                <w:color w:val="FF0000"/>
                <w:kern w:val="0"/>
                <w:sz w:val="24"/>
                <w:szCs w:val="24"/>
              </w:rPr>
              <w:t>0天。</w:t>
            </w:r>
          </w:p>
          <w:p w14:paraId="671FAC3C">
            <w:pPr>
              <w:numPr>
                <w:ilvl w:val="0"/>
                <w:numId w:val="0"/>
              </w:numPr>
              <w:spacing w:before="156" w:beforeLines="50" w:after="156" w:afterLines="50" w:line="360" w:lineRule="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kern w:val="2"/>
                <w:sz w:val="24"/>
                <w:szCs w:val="24"/>
                <w:lang w:val="en-US" w:eastAsia="zh-CN" w:bidi="ar-SA"/>
              </w:rPr>
              <w:t>8.</w:t>
            </w:r>
            <w:r>
              <w:rPr>
                <w:rFonts w:hint="default" w:ascii="Times New Roman" w:hAnsi="Times New Roman" w:cs="Times New Roman" w:eastAsiaTheme="minorEastAsia"/>
                <w:b/>
                <w:bCs/>
                <w:color w:val="auto"/>
                <w:sz w:val="24"/>
                <w:szCs w:val="24"/>
              </w:rPr>
              <w:t>平面布局合理性分析</w:t>
            </w:r>
          </w:p>
          <w:p w14:paraId="1037DA07">
            <w:pPr>
              <w:bidi w:val="0"/>
              <w:spacing w:line="360" w:lineRule="auto"/>
              <w:ind w:firstLine="480" w:firstLineChars="200"/>
              <w:rPr>
                <w:rFonts w:hint="eastAsia"/>
                <w:color w:val="auto"/>
                <w:sz w:val="24"/>
                <w:szCs w:val="24"/>
              </w:rPr>
            </w:pPr>
            <w:r>
              <w:rPr>
                <w:rFonts w:hint="eastAsia"/>
                <w:color w:val="auto"/>
                <w:sz w:val="24"/>
                <w:szCs w:val="24"/>
              </w:rPr>
              <w:t>经现场踏勘，</w:t>
            </w:r>
            <w:r>
              <w:rPr>
                <w:rFonts w:hint="eastAsia"/>
                <w:color w:val="auto"/>
                <w:sz w:val="24"/>
                <w:szCs w:val="24"/>
                <w:lang w:eastAsia="zh-CN"/>
              </w:rPr>
              <w:t>项目经南北走向村道相隔分为东西两个生产车间</w:t>
            </w:r>
            <w:r>
              <w:rPr>
                <w:rFonts w:hint="eastAsia"/>
                <w:color w:val="auto"/>
                <w:sz w:val="24"/>
                <w:szCs w:val="24"/>
              </w:rPr>
              <w:t>，</w:t>
            </w:r>
            <w:r>
              <w:rPr>
                <w:rFonts w:hint="eastAsia"/>
                <w:color w:val="auto"/>
                <w:sz w:val="24"/>
                <w:szCs w:val="24"/>
                <w:lang w:eastAsia="zh-CN"/>
              </w:rPr>
              <w:t>东侧为原料预处理车间，</w:t>
            </w:r>
            <w:r>
              <w:rPr>
                <w:rFonts w:hint="eastAsia"/>
                <w:color w:val="auto"/>
                <w:sz w:val="24"/>
                <w:szCs w:val="24"/>
                <w:lang w:val="en-US" w:eastAsia="zh-CN"/>
              </w:rPr>
              <w:t>项目</w:t>
            </w:r>
            <w:r>
              <w:rPr>
                <w:rFonts w:hint="eastAsia"/>
                <w:color w:val="auto"/>
                <w:sz w:val="24"/>
                <w:szCs w:val="24"/>
                <w:lang w:eastAsia="zh-CN"/>
              </w:rPr>
              <w:t>区西侧碳化、成品车间；原料预处理车间分别设置：原料储存、筛分、烘干、制棒生产工段；炭化成品车间分别设置：碳化车间，冷却包装车间、成品车间；办公区、接待室位于项目区南侧；</w:t>
            </w:r>
            <w:r>
              <w:rPr>
                <w:rFonts w:hint="eastAsia"/>
                <w:color w:val="auto"/>
                <w:sz w:val="24"/>
                <w:szCs w:val="24"/>
              </w:rPr>
              <w:t>平面布置图根据生产工艺流程进行布置</w:t>
            </w:r>
            <w:r>
              <w:rPr>
                <w:rFonts w:hint="eastAsia"/>
                <w:color w:val="auto"/>
                <w:sz w:val="24"/>
                <w:szCs w:val="24"/>
                <w:lang w:eastAsia="zh-CN"/>
              </w:rPr>
              <w:t>，</w:t>
            </w:r>
            <w:r>
              <w:rPr>
                <w:rFonts w:hint="eastAsia"/>
                <w:color w:val="auto"/>
                <w:sz w:val="24"/>
                <w:szCs w:val="24"/>
              </w:rPr>
              <w:t>具体详见附图</w:t>
            </w:r>
            <w:r>
              <w:rPr>
                <w:rFonts w:hint="eastAsia"/>
                <w:color w:val="auto"/>
                <w:sz w:val="24"/>
                <w:szCs w:val="24"/>
                <w:lang w:val="en-US" w:eastAsia="zh-CN"/>
              </w:rPr>
              <w:t>2</w:t>
            </w:r>
            <w:r>
              <w:rPr>
                <w:rFonts w:hint="eastAsia"/>
                <w:color w:val="auto"/>
                <w:sz w:val="24"/>
                <w:szCs w:val="24"/>
              </w:rPr>
              <w:t>项目平面布置图。</w:t>
            </w:r>
          </w:p>
          <w:p w14:paraId="24DCD537">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40" w:lineRule="exact"/>
              <w:ind w:left="0" w:right="0"/>
              <w:textAlignment w:val="auto"/>
              <w:rPr>
                <w:rFonts w:hint="default"/>
                <w:b/>
                <w:bCs/>
                <w:color w:val="FF0000"/>
                <w:sz w:val="24"/>
                <w:szCs w:val="24"/>
              </w:rPr>
            </w:pPr>
            <w:r>
              <w:rPr>
                <w:rFonts w:hint="eastAsia"/>
                <w:b/>
                <w:bCs/>
                <w:color w:val="FF0000"/>
                <w:sz w:val="24"/>
                <w:szCs w:val="24"/>
                <w:lang w:val="en-US" w:eastAsia="zh-CN"/>
              </w:rPr>
              <w:t>9、</w:t>
            </w:r>
            <w:r>
              <w:rPr>
                <w:rFonts w:hint="default"/>
                <w:b/>
                <w:bCs/>
                <w:color w:val="FF0000"/>
                <w:sz w:val="24"/>
                <w:szCs w:val="24"/>
              </w:rPr>
              <w:t>项目总投资及环保投资</w:t>
            </w:r>
          </w:p>
          <w:p w14:paraId="6F5088E4">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40" w:lineRule="exact"/>
              <w:ind w:left="0" w:right="0" w:firstLine="480" w:firstLineChars="200"/>
              <w:textAlignment w:val="auto"/>
              <w:rPr>
                <w:rFonts w:hint="default"/>
                <w:color w:val="FF0000"/>
                <w:sz w:val="24"/>
                <w:szCs w:val="24"/>
              </w:rPr>
            </w:pPr>
            <w:r>
              <w:rPr>
                <w:rFonts w:hint="default"/>
                <w:color w:val="FF0000"/>
                <w:sz w:val="24"/>
                <w:szCs w:val="24"/>
              </w:rPr>
              <w:t>项目总投资为</w:t>
            </w:r>
            <w:r>
              <w:rPr>
                <w:rFonts w:hint="eastAsia"/>
                <w:color w:val="FF0000"/>
                <w:sz w:val="24"/>
                <w:szCs w:val="24"/>
                <w:lang w:val="en-US" w:eastAsia="zh-CN"/>
              </w:rPr>
              <w:t>150</w:t>
            </w:r>
            <w:r>
              <w:rPr>
                <w:rFonts w:hint="default"/>
                <w:color w:val="FF0000"/>
                <w:sz w:val="24"/>
                <w:szCs w:val="24"/>
              </w:rPr>
              <w:t>万元，环保投资估</w:t>
            </w:r>
            <w:r>
              <w:rPr>
                <w:rFonts w:hint="eastAsia"/>
                <w:color w:val="FF0000"/>
                <w:sz w:val="24"/>
                <w:szCs w:val="24"/>
                <w:lang w:val="en-US" w:eastAsia="zh-CN"/>
              </w:rPr>
              <w:t>算30</w:t>
            </w:r>
            <w:r>
              <w:rPr>
                <w:rFonts w:hint="default"/>
                <w:color w:val="FF0000"/>
                <w:sz w:val="24"/>
                <w:szCs w:val="24"/>
              </w:rPr>
              <w:t>万元，占总投资的</w:t>
            </w:r>
            <w:r>
              <w:rPr>
                <w:rFonts w:hint="eastAsia"/>
                <w:color w:val="FF0000"/>
                <w:sz w:val="24"/>
                <w:szCs w:val="24"/>
                <w:lang w:val="en-US" w:eastAsia="zh-CN"/>
              </w:rPr>
              <w:t>20</w:t>
            </w:r>
            <w:r>
              <w:rPr>
                <w:rFonts w:hint="default"/>
                <w:color w:val="FF0000"/>
                <w:sz w:val="24"/>
                <w:szCs w:val="24"/>
              </w:rPr>
              <w:t>%，具体环保投资情况见表2-</w:t>
            </w:r>
            <w:r>
              <w:rPr>
                <w:rFonts w:hint="eastAsia"/>
                <w:color w:val="FF0000"/>
                <w:sz w:val="24"/>
                <w:szCs w:val="24"/>
                <w:lang w:val="en-US" w:eastAsia="zh-CN"/>
              </w:rPr>
              <w:t>6</w:t>
            </w:r>
            <w:r>
              <w:rPr>
                <w:rFonts w:hint="default"/>
                <w:color w:val="FF0000"/>
                <w:sz w:val="24"/>
                <w:szCs w:val="24"/>
              </w:rPr>
              <w:t>。</w:t>
            </w:r>
          </w:p>
          <w:p w14:paraId="2FF0B8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
                <w:color w:val="FF0000"/>
                <w:sz w:val="24"/>
                <w:szCs w:val="24"/>
              </w:rPr>
            </w:pPr>
            <w:r>
              <w:rPr>
                <w:rFonts w:hint="default"/>
                <w:b/>
                <w:color w:val="FF0000"/>
                <w:sz w:val="24"/>
                <w:szCs w:val="24"/>
              </w:rPr>
              <w:t>表2-</w:t>
            </w:r>
            <w:r>
              <w:rPr>
                <w:rFonts w:hint="eastAsia"/>
                <w:b/>
                <w:color w:val="FF0000"/>
                <w:sz w:val="24"/>
                <w:szCs w:val="24"/>
                <w:lang w:val="en-US" w:eastAsia="zh-CN"/>
              </w:rPr>
              <w:t>6</w:t>
            </w:r>
            <w:r>
              <w:rPr>
                <w:rFonts w:hint="default"/>
                <w:b/>
                <w:color w:val="FF0000"/>
                <w:sz w:val="24"/>
                <w:szCs w:val="24"/>
              </w:rPr>
              <w:t xml:space="preserve"> 环保投资估算表</w:t>
            </w:r>
          </w:p>
          <w:tbl>
            <w:tblPr>
              <w:tblStyle w:val="23"/>
              <w:tblW w:w="7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313"/>
              <w:gridCol w:w="1218"/>
              <w:gridCol w:w="1333"/>
              <w:gridCol w:w="3045"/>
              <w:gridCol w:w="978"/>
            </w:tblGrid>
            <w:tr w14:paraId="660BA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jc w:val="center"/>
              </w:trPr>
              <w:tc>
                <w:tcPr>
                  <w:tcW w:w="490" w:type="dxa"/>
                  <w:vAlign w:val="center"/>
                </w:tcPr>
                <w:p w14:paraId="45E63A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
                      <w:bCs/>
                      <w:color w:val="FF0000"/>
                      <w:szCs w:val="21"/>
                    </w:rPr>
                  </w:pPr>
                  <w:r>
                    <w:rPr>
                      <w:rFonts w:hint="default"/>
                      <w:b/>
                      <w:bCs/>
                      <w:color w:val="FF0000"/>
                      <w:szCs w:val="21"/>
                    </w:rPr>
                    <w:t>序号</w:t>
                  </w:r>
                </w:p>
              </w:tc>
              <w:tc>
                <w:tcPr>
                  <w:tcW w:w="1531" w:type="dxa"/>
                  <w:gridSpan w:val="2"/>
                  <w:vAlign w:val="center"/>
                </w:tcPr>
                <w:p w14:paraId="6C4B5E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
                      <w:bCs/>
                      <w:color w:val="FF0000"/>
                      <w:szCs w:val="21"/>
                    </w:rPr>
                  </w:pPr>
                  <w:r>
                    <w:rPr>
                      <w:rFonts w:hint="default"/>
                      <w:b/>
                      <w:bCs/>
                      <w:color w:val="FF0000"/>
                      <w:szCs w:val="21"/>
                    </w:rPr>
                    <w:t>项目</w:t>
                  </w:r>
                </w:p>
              </w:tc>
              <w:tc>
                <w:tcPr>
                  <w:tcW w:w="1333" w:type="dxa"/>
                  <w:vAlign w:val="center"/>
                </w:tcPr>
                <w:p w14:paraId="32D108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
                      <w:bCs/>
                      <w:color w:val="FF0000"/>
                      <w:szCs w:val="21"/>
                    </w:rPr>
                  </w:pPr>
                  <w:r>
                    <w:rPr>
                      <w:rFonts w:hint="default"/>
                      <w:b/>
                      <w:bCs/>
                      <w:color w:val="FF0000"/>
                      <w:szCs w:val="21"/>
                    </w:rPr>
                    <w:t>投资估算（万元）</w:t>
                  </w:r>
                </w:p>
              </w:tc>
              <w:tc>
                <w:tcPr>
                  <w:tcW w:w="3045" w:type="dxa"/>
                  <w:vAlign w:val="center"/>
                </w:tcPr>
                <w:p w14:paraId="435BD2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b/>
                      <w:bCs/>
                      <w:color w:val="FF0000"/>
                      <w:szCs w:val="21"/>
                      <w:lang w:val="en-US" w:eastAsia="zh-CN"/>
                    </w:rPr>
                  </w:pPr>
                  <w:r>
                    <w:rPr>
                      <w:rFonts w:hint="eastAsia"/>
                      <w:b/>
                      <w:bCs/>
                      <w:color w:val="FF0000"/>
                      <w:szCs w:val="21"/>
                      <w:lang w:val="en-US" w:eastAsia="zh-CN"/>
                    </w:rPr>
                    <w:t>具体措施</w:t>
                  </w:r>
                </w:p>
              </w:tc>
              <w:tc>
                <w:tcPr>
                  <w:tcW w:w="978" w:type="dxa"/>
                  <w:vAlign w:val="center"/>
                </w:tcPr>
                <w:p w14:paraId="711715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b/>
                      <w:bCs/>
                      <w:color w:val="FF0000"/>
                      <w:szCs w:val="21"/>
                      <w:lang w:val="en-US" w:eastAsia="zh-CN"/>
                    </w:rPr>
                  </w:pPr>
                  <w:r>
                    <w:rPr>
                      <w:rFonts w:hint="eastAsia"/>
                      <w:b/>
                      <w:bCs/>
                      <w:color w:val="FF0000"/>
                      <w:szCs w:val="21"/>
                      <w:lang w:val="en-US" w:eastAsia="zh-CN"/>
                    </w:rPr>
                    <w:t>备注</w:t>
                  </w:r>
                </w:p>
              </w:tc>
            </w:tr>
            <w:tr w14:paraId="4E343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7377" w:type="dxa"/>
                  <w:gridSpan w:val="6"/>
                  <w:vAlign w:val="center"/>
                </w:tcPr>
                <w:p w14:paraId="402C35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
                      <w:color w:val="FF0000"/>
                      <w:szCs w:val="21"/>
                    </w:rPr>
                  </w:pPr>
                  <w:r>
                    <w:rPr>
                      <w:rFonts w:hint="default"/>
                      <w:b/>
                      <w:color w:val="FF0000"/>
                      <w:szCs w:val="21"/>
                    </w:rPr>
                    <w:t>施工期</w:t>
                  </w:r>
                </w:p>
              </w:tc>
            </w:tr>
            <w:tr w14:paraId="6A52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490" w:type="dxa"/>
                  <w:vAlign w:val="center"/>
                </w:tcPr>
                <w:p w14:paraId="4E4A1C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FF0000"/>
                      <w:szCs w:val="21"/>
                    </w:rPr>
                  </w:pPr>
                  <w:r>
                    <w:rPr>
                      <w:rFonts w:hint="default"/>
                      <w:color w:val="FF0000"/>
                      <w:szCs w:val="21"/>
                    </w:rPr>
                    <w:t>1</w:t>
                  </w:r>
                </w:p>
              </w:tc>
              <w:tc>
                <w:tcPr>
                  <w:tcW w:w="1531" w:type="dxa"/>
                  <w:gridSpan w:val="2"/>
                  <w:vAlign w:val="center"/>
                </w:tcPr>
                <w:p w14:paraId="7CD6EB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FF0000"/>
                      <w:szCs w:val="21"/>
                    </w:rPr>
                  </w:pPr>
                  <w:r>
                    <w:rPr>
                      <w:rFonts w:hint="default"/>
                      <w:color w:val="FF0000"/>
                      <w:szCs w:val="21"/>
                    </w:rPr>
                    <w:t>废水防治</w:t>
                  </w:r>
                </w:p>
              </w:tc>
              <w:tc>
                <w:tcPr>
                  <w:tcW w:w="1333" w:type="dxa"/>
                  <w:vAlign w:val="center"/>
                </w:tcPr>
                <w:p w14:paraId="256F4207">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olor w:val="FF0000"/>
                      <w:sz w:val="21"/>
                      <w:lang w:val="en-US" w:eastAsia="zh-CN"/>
                    </w:rPr>
                  </w:pPr>
                  <w:r>
                    <w:rPr>
                      <w:rFonts w:hint="eastAsia"/>
                      <w:color w:val="FF0000"/>
                      <w:sz w:val="21"/>
                      <w:lang w:val="en-US" w:eastAsia="zh-CN"/>
                    </w:rPr>
                    <w:t>0.5</w:t>
                  </w:r>
                </w:p>
              </w:tc>
              <w:tc>
                <w:tcPr>
                  <w:tcW w:w="3045" w:type="dxa"/>
                  <w:vAlign w:val="center"/>
                </w:tcPr>
                <w:p w14:paraId="60EF654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eastAsia="宋体"/>
                      <w:color w:val="FF0000"/>
                      <w:sz w:val="21"/>
                      <w:lang w:val="en-US" w:eastAsia="zh-CN"/>
                    </w:rPr>
                  </w:pPr>
                  <w:r>
                    <w:rPr>
                      <w:rFonts w:hint="eastAsia"/>
                      <w:color w:val="FF0000"/>
                      <w:sz w:val="21"/>
                      <w:lang w:val="en-US" w:eastAsia="zh-CN"/>
                    </w:rPr>
                    <w:t>施工废水沉淀后回用、生活污水依托已有化粪池，机械设备进行遮盖避免跑冒滴漏</w:t>
                  </w:r>
                </w:p>
              </w:tc>
              <w:tc>
                <w:tcPr>
                  <w:tcW w:w="978" w:type="dxa"/>
                  <w:vAlign w:val="center"/>
                </w:tcPr>
                <w:p w14:paraId="4343C248">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FF0000"/>
                      <w:sz w:val="21"/>
                      <w:lang w:val="en-US" w:eastAsia="zh-CN"/>
                    </w:rPr>
                  </w:pPr>
                  <w:r>
                    <w:rPr>
                      <w:rFonts w:hint="eastAsia"/>
                      <w:color w:val="FF0000"/>
                      <w:sz w:val="21"/>
                      <w:lang w:val="en-US" w:eastAsia="zh-CN"/>
                    </w:rPr>
                    <w:t>环评提出</w:t>
                  </w:r>
                </w:p>
              </w:tc>
            </w:tr>
            <w:tr w14:paraId="0F7E1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490" w:type="dxa"/>
                  <w:vAlign w:val="center"/>
                </w:tcPr>
                <w:p w14:paraId="499497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FF0000"/>
                      <w:szCs w:val="21"/>
                    </w:rPr>
                  </w:pPr>
                  <w:r>
                    <w:rPr>
                      <w:rFonts w:hint="default"/>
                      <w:color w:val="FF0000"/>
                      <w:szCs w:val="21"/>
                    </w:rPr>
                    <w:t>2</w:t>
                  </w:r>
                </w:p>
              </w:tc>
              <w:tc>
                <w:tcPr>
                  <w:tcW w:w="1531" w:type="dxa"/>
                  <w:gridSpan w:val="2"/>
                  <w:vAlign w:val="center"/>
                </w:tcPr>
                <w:p w14:paraId="740051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FF0000"/>
                      <w:szCs w:val="21"/>
                    </w:rPr>
                  </w:pPr>
                  <w:r>
                    <w:rPr>
                      <w:rFonts w:hint="default"/>
                      <w:color w:val="FF0000"/>
                      <w:szCs w:val="21"/>
                    </w:rPr>
                    <w:t>废气防治</w:t>
                  </w:r>
                </w:p>
              </w:tc>
              <w:tc>
                <w:tcPr>
                  <w:tcW w:w="1333" w:type="dxa"/>
                  <w:vAlign w:val="center"/>
                </w:tcPr>
                <w:p w14:paraId="44F698A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olor w:val="FF0000"/>
                      <w:sz w:val="21"/>
                      <w:lang w:val="en-US" w:eastAsia="zh-CN"/>
                    </w:rPr>
                  </w:pPr>
                  <w:r>
                    <w:rPr>
                      <w:rFonts w:hint="eastAsia"/>
                      <w:color w:val="FF0000"/>
                      <w:sz w:val="21"/>
                      <w:lang w:val="en-US" w:eastAsia="zh-CN"/>
                    </w:rPr>
                    <w:t>0.8</w:t>
                  </w:r>
                </w:p>
              </w:tc>
              <w:tc>
                <w:tcPr>
                  <w:tcW w:w="3045" w:type="dxa"/>
                  <w:vAlign w:val="center"/>
                </w:tcPr>
                <w:p w14:paraId="3448FD3C">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FF0000"/>
                      <w:sz w:val="21"/>
                      <w:lang w:val="en-US"/>
                    </w:rPr>
                  </w:pPr>
                  <w:r>
                    <w:rPr>
                      <w:rFonts w:hint="default"/>
                      <w:bCs/>
                      <w:color w:val="FF0000"/>
                      <w:sz w:val="21"/>
                    </w:rPr>
                    <w:t>洒水降尘、</w:t>
                  </w:r>
                  <w:r>
                    <w:rPr>
                      <w:rFonts w:hint="eastAsia"/>
                      <w:bCs/>
                      <w:color w:val="FF0000"/>
                      <w:sz w:val="21"/>
                      <w:lang w:val="en-US" w:eastAsia="zh-CN"/>
                    </w:rPr>
                    <w:t>湿法拆除，</w:t>
                  </w:r>
                  <w:r>
                    <w:rPr>
                      <w:rFonts w:hint="eastAsia"/>
                      <w:color w:val="FF0000"/>
                      <w:sz w:val="21"/>
                      <w:lang w:val="en-US" w:eastAsia="zh-CN"/>
                    </w:rPr>
                    <w:t>车辆加盖篷布、严禁焚烧建筑垃圾等</w:t>
                  </w:r>
                </w:p>
              </w:tc>
              <w:tc>
                <w:tcPr>
                  <w:tcW w:w="978" w:type="dxa"/>
                  <w:vAlign w:val="center"/>
                </w:tcPr>
                <w:p w14:paraId="1A21B0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eastAsia="宋体"/>
                      <w:bCs/>
                      <w:color w:val="FF0000"/>
                      <w:sz w:val="21"/>
                      <w:lang w:val="en-US" w:eastAsia="zh-CN"/>
                    </w:rPr>
                  </w:pPr>
                  <w:r>
                    <w:rPr>
                      <w:rFonts w:hint="eastAsia"/>
                      <w:color w:val="FF0000"/>
                      <w:sz w:val="21"/>
                      <w:lang w:val="en-US" w:eastAsia="zh-CN"/>
                    </w:rPr>
                    <w:t>环评提出</w:t>
                  </w:r>
                </w:p>
              </w:tc>
            </w:tr>
            <w:tr w14:paraId="3F626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atLeast"/>
                <w:jc w:val="center"/>
              </w:trPr>
              <w:tc>
                <w:tcPr>
                  <w:tcW w:w="490" w:type="dxa"/>
                  <w:vAlign w:val="center"/>
                </w:tcPr>
                <w:p w14:paraId="329485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FF0000"/>
                      <w:szCs w:val="21"/>
                    </w:rPr>
                  </w:pPr>
                  <w:r>
                    <w:rPr>
                      <w:rFonts w:hint="default"/>
                      <w:color w:val="FF0000"/>
                      <w:szCs w:val="21"/>
                    </w:rPr>
                    <w:t>3</w:t>
                  </w:r>
                </w:p>
              </w:tc>
              <w:tc>
                <w:tcPr>
                  <w:tcW w:w="1531" w:type="dxa"/>
                  <w:gridSpan w:val="2"/>
                  <w:vAlign w:val="center"/>
                </w:tcPr>
                <w:p w14:paraId="212C9F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FF0000"/>
                      <w:szCs w:val="21"/>
                    </w:rPr>
                  </w:pPr>
                  <w:r>
                    <w:rPr>
                      <w:rFonts w:hint="default"/>
                      <w:color w:val="FF0000"/>
                      <w:szCs w:val="21"/>
                    </w:rPr>
                    <w:t>噪声防治</w:t>
                  </w:r>
                </w:p>
              </w:tc>
              <w:tc>
                <w:tcPr>
                  <w:tcW w:w="1333" w:type="dxa"/>
                  <w:vAlign w:val="center"/>
                </w:tcPr>
                <w:p w14:paraId="0F9A4299">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olor w:val="FF0000"/>
                      <w:sz w:val="21"/>
                      <w:lang w:val="en-US" w:eastAsia="zh-CN"/>
                    </w:rPr>
                  </w:pPr>
                  <w:r>
                    <w:rPr>
                      <w:rFonts w:hint="eastAsia"/>
                      <w:color w:val="FF0000"/>
                      <w:sz w:val="21"/>
                      <w:lang w:val="en-US" w:eastAsia="zh-CN"/>
                    </w:rPr>
                    <w:t>0.3</w:t>
                  </w:r>
                </w:p>
              </w:tc>
              <w:tc>
                <w:tcPr>
                  <w:tcW w:w="3045" w:type="dxa"/>
                  <w:vAlign w:val="center"/>
                </w:tcPr>
                <w:p w14:paraId="5B2B802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eastAsia="宋体"/>
                      <w:color w:val="FF0000"/>
                      <w:sz w:val="21"/>
                      <w:lang w:val="en-US" w:eastAsia="zh-CN"/>
                    </w:rPr>
                  </w:pPr>
                  <w:r>
                    <w:rPr>
                      <w:rFonts w:hint="default"/>
                      <w:color w:val="FF0000"/>
                      <w:sz w:val="21"/>
                    </w:rPr>
                    <w:t>文明施工和采用低噪声设备</w:t>
                  </w:r>
                  <w:r>
                    <w:rPr>
                      <w:rFonts w:hint="eastAsia"/>
                      <w:color w:val="FF0000"/>
                      <w:sz w:val="21"/>
                      <w:lang w:eastAsia="zh-CN"/>
                    </w:rPr>
                    <w:t>，</w:t>
                  </w:r>
                  <w:r>
                    <w:rPr>
                      <w:rFonts w:hint="eastAsia"/>
                      <w:color w:val="FF0000"/>
                      <w:sz w:val="21"/>
                      <w:lang w:val="en-US" w:eastAsia="zh-CN"/>
                    </w:rPr>
                    <w:t>控制车辆载重量、禁鸣等</w:t>
                  </w:r>
                </w:p>
              </w:tc>
              <w:tc>
                <w:tcPr>
                  <w:tcW w:w="978" w:type="dxa"/>
                  <w:vAlign w:val="center"/>
                </w:tcPr>
                <w:p w14:paraId="7E971F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eastAsia="宋体"/>
                      <w:color w:val="FF0000"/>
                      <w:sz w:val="21"/>
                      <w:lang w:val="en-US" w:eastAsia="zh-CN"/>
                    </w:rPr>
                  </w:pPr>
                  <w:r>
                    <w:rPr>
                      <w:rFonts w:hint="eastAsia"/>
                      <w:color w:val="FF0000"/>
                      <w:sz w:val="21"/>
                      <w:lang w:val="en-US" w:eastAsia="zh-CN"/>
                    </w:rPr>
                    <w:t>环评提出</w:t>
                  </w:r>
                </w:p>
              </w:tc>
            </w:tr>
            <w:tr w14:paraId="4EBB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490" w:type="dxa"/>
                  <w:vAlign w:val="center"/>
                </w:tcPr>
                <w:p w14:paraId="5B8B13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FF0000"/>
                      <w:szCs w:val="21"/>
                    </w:rPr>
                  </w:pPr>
                  <w:r>
                    <w:rPr>
                      <w:rFonts w:hint="default"/>
                      <w:color w:val="FF0000"/>
                      <w:szCs w:val="21"/>
                    </w:rPr>
                    <w:t>4</w:t>
                  </w:r>
                </w:p>
              </w:tc>
              <w:tc>
                <w:tcPr>
                  <w:tcW w:w="1531" w:type="dxa"/>
                  <w:gridSpan w:val="2"/>
                  <w:vAlign w:val="center"/>
                </w:tcPr>
                <w:p w14:paraId="50F8B5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FF0000"/>
                      <w:szCs w:val="21"/>
                    </w:rPr>
                  </w:pPr>
                  <w:r>
                    <w:rPr>
                      <w:rFonts w:hint="default"/>
                      <w:color w:val="FF0000"/>
                      <w:szCs w:val="21"/>
                    </w:rPr>
                    <w:t>固废处置</w:t>
                  </w:r>
                </w:p>
              </w:tc>
              <w:tc>
                <w:tcPr>
                  <w:tcW w:w="1333" w:type="dxa"/>
                  <w:vAlign w:val="center"/>
                </w:tcPr>
                <w:p w14:paraId="005914D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olor w:val="FF0000"/>
                      <w:sz w:val="21"/>
                      <w:lang w:val="en-US" w:eastAsia="zh-CN"/>
                    </w:rPr>
                  </w:pPr>
                  <w:r>
                    <w:rPr>
                      <w:rFonts w:hint="eastAsia"/>
                      <w:color w:val="FF0000"/>
                      <w:sz w:val="21"/>
                      <w:lang w:val="en-US" w:eastAsia="zh-CN"/>
                    </w:rPr>
                    <w:t>0.5</w:t>
                  </w:r>
                </w:p>
              </w:tc>
              <w:tc>
                <w:tcPr>
                  <w:tcW w:w="3045" w:type="dxa"/>
                  <w:vAlign w:val="center"/>
                </w:tcPr>
                <w:p w14:paraId="72A38040">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eastAsia="宋体"/>
                      <w:color w:val="FF0000"/>
                      <w:sz w:val="21"/>
                      <w:lang w:val="en-US" w:eastAsia="zh-CN"/>
                    </w:rPr>
                  </w:pPr>
                  <w:r>
                    <w:rPr>
                      <w:rFonts w:hint="default"/>
                      <w:bCs/>
                      <w:color w:val="FF0000"/>
                      <w:sz w:val="21"/>
                    </w:rPr>
                    <w:t>建筑垃圾</w:t>
                  </w:r>
                  <w:r>
                    <w:rPr>
                      <w:rFonts w:hint="eastAsia"/>
                      <w:bCs/>
                      <w:color w:val="FF0000"/>
                      <w:sz w:val="21"/>
                      <w:lang w:eastAsia="zh-CN"/>
                    </w:rPr>
                    <w:t>、</w:t>
                  </w:r>
                  <w:r>
                    <w:rPr>
                      <w:rFonts w:hint="eastAsia"/>
                      <w:bCs/>
                      <w:color w:val="FF0000"/>
                      <w:sz w:val="21"/>
                      <w:lang w:val="en-US" w:eastAsia="zh-CN"/>
                    </w:rPr>
                    <w:t>生活垃圾</w:t>
                  </w:r>
                  <w:r>
                    <w:rPr>
                      <w:rFonts w:hint="default"/>
                      <w:bCs/>
                      <w:color w:val="FF0000"/>
                      <w:sz w:val="21"/>
                    </w:rPr>
                    <w:t>清运</w:t>
                  </w:r>
                  <w:r>
                    <w:rPr>
                      <w:rFonts w:hint="eastAsia"/>
                      <w:bCs/>
                      <w:color w:val="FF0000"/>
                      <w:sz w:val="21"/>
                      <w:lang w:val="en-US" w:eastAsia="zh-CN"/>
                    </w:rPr>
                    <w:t>处置</w:t>
                  </w:r>
                  <w:r>
                    <w:rPr>
                      <w:rFonts w:hint="default"/>
                      <w:bCs/>
                      <w:color w:val="FF0000"/>
                      <w:sz w:val="21"/>
                    </w:rPr>
                    <w:t>、土石回填</w:t>
                  </w:r>
                  <w:r>
                    <w:rPr>
                      <w:rFonts w:hint="eastAsia"/>
                      <w:bCs/>
                      <w:color w:val="FF0000"/>
                      <w:sz w:val="21"/>
                      <w:lang w:val="en-US" w:eastAsia="zh-CN"/>
                    </w:rPr>
                    <w:t>等</w:t>
                  </w:r>
                </w:p>
              </w:tc>
              <w:tc>
                <w:tcPr>
                  <w:tcW w:w="978" w:type="dxa"/>
                  <w:vAlign w:val="center"/>
                </w:tcPr>
                <w:p w14:paraId="7A6DD4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eastAsia="宋体"/>
                      <w:bCs/>
                      <w:color w:val="FF0000"/>
                      <w:sz w:val="21"/>
                      <w:lang w:val="en-US" w:eastAsia="zh-CN"/>
                    </w:rPr>
                  </w:pPr>
                  <w:r>
                    <w:rPr>
                      <w:rFonts w:hint="eastAsia"/>
                      <w:color w:val="FF0000"/>
                      <w:sz w:val="21"/>
                      <w:lang w:val="en-US" w:eastAsia="zh-CN"/>
                    </w:rPr>
                    <w:t>环评提出</w:t>
                  </w:r>
                </w:p>
              </w:tc>
            </w:tr>
            <w:tr w14:paraId="2BDEF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7377" w:type="dxa"/>
                  <w:gridSpan w:val="6"/>
                  <w:vAlign w:val="center"/>
                </w:tcPr>
                <w:p w14:paraId="658A5D00">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color w:val="FF0000"/>
                      <w:sz w:val="21"/>
                    </w:rPr>
                  </w:pPr>
                  <w:r>
                    <w:rPr>
                      <w:rFonts w:hint="default"/>
                      <w:b/>
                      <w:color w:val="FF0000"/>
                      <w:sz w:val="21"/>
                    </w:rPr>
                    <w:t>运营期</w:t>
                  </w:r>
                </w:p>
              </w:tc>
            </w:tr>
            <w:tr w14:paraId="2D0D8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jc w:val="center"/>
              </w:trPr>
              <w:tc>
                <w:tcPr>
                  <w:tcW w:w="490" w:type="dxa"/>
                  <w:vMerge w:val="restart"/>
                  <w:vAlign w:val="center"/>
                </w:tcPr>
                <w:p w14:paraId="15CA00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FF0000"/>
                      <w:szCs w:val="21"/>
                    </w:rPr>
                  </w:pPr>
                  <w:r>
                    <w:rPr>
                      <w:rFonts w:hint="default"/>
                      <w:color w:val="FF0000"/>
                      <w:szCs w:val="21"/>
                    </w:rPr>
                    <w:t>1</w:t>
                  </w:r>
                </w:p>
              </w:tc>
              <w:tc>
                <w:tcPr>
                  <w:tcW w:w="313" w:type="dxa"/>
                  <w:vMerge w:val="restart"/>
                  <w:vAlign w:val="center"/>
                </w:tcPr>
                <w:p w14:paraId="6771095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FF0000"/>
                      <w:sz w:val="21"/>
                    </w:rPr>
                  </w:pPr>
                  <w:r>
                    <w:rPr>
                      <w:rFonts w:hint="default"/>
                      <w:color w:val="FF0000"/>
                      <w:sz w:val="21"/>
                    </w:rPr>
                    <w:t>废水</w:t>
                  </w:r>
                </w:p>
              </w:tc>
              <w:tc>
                <w:tcPr>
                  <w:tcW w:w="1218" w:type="dxa"/>
                  <w:vAlign w:val="center"/>
                </w:tcPr>
                <w:p w14:paraId="1A43E872">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FF0000"/>
                      <w:sz w:val="21"/>
                    </w:rPr>
                  </w:pPr>
                  <w:r>
                    <w:rPr>
                      <w:rFonts w:hint="default"/>
                      <w:color w:val="FF0000"/>
                      <w:sz w:val="21"/>
                    </w:rPr>
                    <w:t>雨污分流</w:t>
                  </w:r>
                </w:p>
              </w:tc>
              <w:tc>
                <w:tcPr>
                  <w:tcW w:w="1333" w:type="dxa"/>
                  <w:vAlign w:val="center"/>
                </w:tcPr>
                <w:p w14:paraId="529CD3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olor w:val="FF0000"/>
                      <w:szCs w:val="21"/>
                      <w:lang w:val="en-US" w:eastAsia="zh-CN"/>
                    </w:rPr>
                  </w:pPr>
                  <w:r>
                    <w:rPr>
                      <w:rFonts w:hint="eastAsia"/>
                      <w:color w:val="FF0000"/>
                      <w:szCs w:val="21"/>
                      <w:lang w:val="en-US" w:eastAsia="zh-CN"/>
                    </w:rPr>
                    <w:t>1.0</w:t>
                  </w:r>
                </w:p>
              </w:tc>
              <w:tc>
                <w:tcPr>
                  <w:tcW w:w="3045" w:type="dxa"/>
                  <w:vAlign w:val="center"/>
                </w:tcPr>
                <w:p w14:paraId="7BD791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color w:val="FF0000"/>
                      <w:szCs w:val="21"/>
                    </w:rPr>
                  </w:pPr>
                  <w:r>
                    <w:rPr>
                      <w:rFonts w:hint="eastAsia"/>
                      <w:color w:val="FF0000"/>
                      <w:szCs w:val="21"/>
                      <w:lang w:val="en-US" w:eastAsia="zh-CN"/>
                    </w:rPr>
                    <w:t>改造</w:t>
                  </w:r>
                  <w:r>
                    <w:rPr>
                      <w:rFonts w:hint="default"/>
                      <w:color w:val="FF0000"/>
                      <w:szCs w:val="21"/>
                    </w:rPr>
                    <w:t>雨污分流系统及排水管道</w:t>
                  </w:r>
                </w:p>
              </w:tc>
              <w:tc>
                <w:tcPr>
                  <w:tcW w:w="978" w:type="dxa"/>
                  <w:vAlign w:val="center"/>
                </w:tcPr>
                <w:p w14:paraId="1698B1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color w:val="FF0000"/>
                      <w:szCs w:val="21"/>
                      <w:lang w:val="en-US" w:eastAsia="zh-CN"/>
                    </w:rPr>
                  </w:pPr>
                  <w:r>
                    <w:rPr>
                      <w:rFonts w:hint="eastAsia"/>
                      <w:color w:val="FF0000"/>
                      <w:sz w:val="21"/>
                      <w:lang w:val="en-US" w:eastAsia="zh-CN"/>
                    </w:rPr>
                    <w:t>环评提出</w:t>
                  </w:r>
                </w:p>
              </w:tc>
            </w:tr>
            <w:tr w14:paraId="64E1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jc w:val="center"/>
              </w:trPr>
              <w:tc>
                <w:tcPr>
                  <w:tcW w:w="490" w:type="dxa"/>
                  <w:vMerge w:val="continue"/>
                  <w:vAlign w:val="center"/>
                </w:tcPr>
                <w:p w14:paraId="5809E5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FF0000"/>
                      <w:szCs w:val="21"/>
                    </w:rPr>
                  </w:pPr>
                </w:p>
              </w:tc>
              <w:tc>
                <w:tcPr>
                  <w:tcW w:w="313" w:type="dxa"/>
                  <w:vMerge w:val="continue"/>
                  <w:vAlign w:val="center"/>
                </w:tcPr>
                <w:p w14:paraId="3D6EFF70">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FF0000"/>
                      <w:sz w:val="21"/>
                    </w:rPr>
                  </w:pPr>
                </w:p>
              </w:tc>
              <w:tc>
                <w:tcPr>
                  <w:tcW w:w="1218" w:type="dxa"/>
                  <w:vAlign w:val="center"/>
                </w:tcPr>
                <w:p w14:paraId="45D0CBD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olor w:val="FF0000"/>
                      <w:sz w:val="21"/>
                      <w:lang w:val="en-US" w:eastAsia="zh-CN"/>
                    </w:rPr>
                  </w:pPr>
                  <w:r>
                    <w:rPr>
                      <w:rFonts w:hint="eastAsia"/>
                      <w:color w:val="FF0000"/>
                      <w:sz w:val="21"/>
                      <w:lang w:val="en-US" w:eastAsia="zh-CN"/>
                    </w:rPr>
                    <w:t>生活污水处理</w:t>
                  </w:r>
                </w:p>
              </w:tc>
              <w:tc>
                <w:tcPr>
                  <w:tcW w:w="1333" w:type="dxa"/>
                  <w:vAlign w:val="center"/>
                </w:tcPr>
                <w:p w14:paraId="748E40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olor w:val="FF0000"/>
                      <w:szCs w:val="21"/>
                      <w:lang w:val="en-US" w:eastAsia="zh-CN"/>
                    </w:rPr>
                  </w:pPr>
                  <w:r>
                    <w:rPr>
                      <w:rFonts w:hint="eastAsia"/>
                      <w:color w:val="FF0000"/>
                      <w:szCs w:val="21"/>
                      <w:lang w:val="en-US" w:eastAsia="zh-CN"/>
                    </w:rPr>
                    <w:t>0.2</w:t>
                  </w:r>
                </w:p>
              </w:tc>
              <w:tc>
                <w:tcPr>
                  <w:tcW w:w="3045" w:type="dxa"/>
                  <w:vAlign w:val="center"/>
                </w:tcPr>
                <w:p w14:paraId="6A84F5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eastAsia="宋体"/>
                      <w:color w:val="FF0000"/>
                      <w:szCs w:val="21"/>
                      <w:lang w:val="en-US" w:eastAsia="zh-CN"/>
                    </w:rPr>
                  </w:pPr>
                  <w:r>
                    <w:rPr>
                      <w:rFonts w:hint="eastAsia"/>
                      <w:color w:val="FF0000"/>
                      <w:szCs w:val="21"/>
                      <w:lang w:val="en-US" w:eastAsia="zh-CN"/>
                    </w:rPr>
                    <w:t>租用民房做为职工办公生活区，依托已有生活污水处理设施，定期清掏做农肥</w:t>
                  </w:r>
                </w:p>
              </w:tc>
              <w:tc>
                <w:tcPr>
                  <w:tcW w:w="978" w:type="dxa"/>
                  <w:vAlign w:val="center"/>
                </w:tcPr>
                <w:p w14:paraId="0F033C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color w:val="FF0000"/>
                      <w:szCs w:val="21"/>
                      <w:lang w:val="en-US" w:eastAsia="zh-CN"/>
                    </w:rPr>
                  </w:pPr>
                  <w:r>
                    <w:rPr>
                      <w:rFonts w:hint="eastAsia"/>
                      <w:color w:val="FF0000"/>
                      <w:szCs w:val="21"/>
                      <w:lang w:val="en-US" w:eastAsia="zh-CN"/>
                    </w:rPr>
                    <w:t>依托</w:t>
                  </w:r>
                </w:p>
              </w:tc>
            </w:tr>
            <w:tr w14:paraId="4092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jc w:val="center"/>
              </w:trPr>
              <w:tc>
                <w:tcPr>
                  <w:tcW w:w="490" w:type="dxa"/>
                  <w:vMerge w:val="restart"/>
                  <w:vAlign w:val="center"/>
                </w:tcPr>
                <w:p w14:paraId="0C086E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olor w:val="FF0000"/>
                      <w:szCs w:val="21"/>
                    </w:rPr>
                  </w:pPr>
                  <w:r>
                    <w:rPr>
                      <w:rFonts w:hint="default"/>
                      <w:color w:val="FF0000"/>
                      <w:szCs w:val="21"/>
                    </w:rPr>
                    <w:t>2</w:t>
                  </w:r>
                </w:p>
              </w:tc>
              <w:tc>
                <w:tcPr>
                  <w:tcW w:w="313" w:type="dxa"/>
                  <w:vMerge w:val="restart"/>
                  <w:vAlign w:val="center"/>
                </w:tcPr>
                <w:p w14:paraId="0D374897">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olor w:val="FF0000"/>
                      <w:sz w:val="21"/>
                    </w:rPr>
                  </w:pPr>
                  <w:r>
                    <w:rPr>
                      <w:rFonts w:hint="eastAsia"/>
                      <w:color w:val="FF0000"/>
                      <w:sz w:val="21"/>
                    </w:rPr>
                    <w:t>废气</w:t>
                  </w:r>
                </w:p>
              </w:tc>
              <w:tc>
                <w:tcPr>
                  <w:tcW w:w="1218" w:type="dxa"/>
                  <w:vAlign w:val="center"/>
                </w:tcPr>
                <w:p w14:paraId="76AC0C5A">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FF0000"/>
                      <w:sz w:val="21"/>
                      <w:lang w:val="en-US" w:eastAsia="zh-CN"/>
                    </w:rPr>
                  </w:pPr>
                  <w:r>
                    <w:rPr>
                      <w:rFonts w:hint="eastAsia"/>
                      <w:color w:val="FF0000"/>
                      <w:sz w:val="21"/>
                      <w:lang w:val="en-US" w:eastAsia="zh-CN"/>
                    </w:rPr>
                    <w:t>筛分、转运、上料、输送、粉碎废气</w:t>
                  </w:r>
                </w:p>
              </w:tc>
              <w:tc>
                <w:tcPr>
                  <w:tcW w:w="1333" w:type="dxa"/>
                  <w:vAlign w:val="center"/>
                </w:tcPr>
                <w:p w14:paraId="162A72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FF0000"/>
                      <w:szCs w:val="21"/>
                      <w:lang w:val="en-US" w:eastAsia="zh-CN"/>
                    </w:rPr>
                  </w:pPr>
                  <w:r>
                    <w:rPr>
                      <w:rFonts w:hint="eastAsia"/>
                      <w:color w:val="FF0000"/>
                      <w:szCs w:val="21"/>
                      <w:lang w:val="en-US" w:eastAsia="zh-CN"/>
                    </w:rPr>
                    <w:t>0.8</w:t>
                  </w:r>
                </w:p>
              </w:tc>
              <w:tc>
                <w:tcPr>
                  <w:tcW w:w="3045" w:type="dxa"/>
                  <w:vAlign w:val="center"/>
                </w:tcPr>
                <w:p w14:paraId="660A2A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color w:val="FF0000"/>
                      <w:szCs w:val="21"/>
                      <w:lang w:val="en-US" w:eastAsia="zh-CN"/>
                    </w:rPr>
                  </w:pPr>
                  <w:r>
                    <w:rPr>
                      <w:color w:val="FF0000"/>
                      <w:szCs w:val="21"/>
                    </w:rPr>
                    <w:t>半封闭厂房，</w:t>
                  </w:r>
                  <w:r>
                    <w:rPr>
                      <w:rFonts w:hint="eastAsia"/>
                      <w:color w:val="FF0000"/>
                      <w:szCs w:val="21"/>
                    </w:rPr>
                    <w:t>三面围挡，</w:t>
                  </w:r>
                  <w:r>
                    <w:rPr>
                      <w:color w:val="FF0000"/>
                      <w:szCs w:val="21"/>
                    </w:rPr>
                    <w:t>运输车辆设置篷布</w:t>
                  </w:r>
                  <w:r>
                    <w:rPr>
                      <w:rFonts w:hint="eastAsia"/>
                      <w:color w:val="FF0000"/>
                      <w:szCs w:val="21"/>
                    </w:rPr>
                    <w:t>、密闭破碎</w:t>
                  </w:r>
                  <w:r>
                    <w:rPr>
                      <w:color w:val="FF0000"/>
                      <w:szCs w:val="21"/>
                    </w:rPr>
                    <w:t>等</w:t>
                  </w:r>
                </w:p>
              </w:tc>
              <w:tc>
                <w:tcPr>
                  <w:tcW w:w="978" w:type="dxa"/>
                  <w:vAlign w:val="center"/>
                </w:tcPr>
                <w:p w14:paraId="068955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color w:val="FF0000"/>
                      <w:szCs w:val="21"/>
                      <w:lang w:val="en-US" w:eastAsia="zh-CN"/>
                    </w:rPr>
                  </w:pPr>
                  <w:r>
                    <w:rPr>
                      <w:rFonts w:hint="eastAsia"/>
                      <w:color w:val="FF0000"/>
                      <w:sz w:val="21"/>
                      <w:lang w:val="en-US" w:eastAsia="zh-CN"/>
                    </w:rPr>
                    <w:t>环评提出</w:t>
                  </w:r>
                </w:p>
              </w:tc>
            </w:tr>
            <w:tr w14:paraId="240BC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jc w:val="center"/>
              </w:trPr>
              <w:tc>
                <w:tcPr>
                  <w:tcW w:w="490" w:type="dxa"/>
                  <w:vMerge w:val="continue"/>
                  <w:vAlign w:val="center"/>
                </w:tcPr>
                <w:p w14:paraId="772EDD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olor w:val="FF0000"/>
                      <w:szCs w:val="21"/>
                    </w:rPr>
                  </w:pPr>
                </w:p>
              </w:tc>
              <w:tc>
                <w:tcPr>
                  <w:tcW w:w="313" w:type="dxa"/>
                  <w:vMerge w:val="continue"/>
                  <w:vAlign w:val="center"/>
                </w:tcPr>
                <w:p w14:paraId="5380561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olor w:val="FF0000"/>
                      <w:sz w:val="21"/>
                    </w:rPr>
                  </w:pPr>
                </w:p>
              </w:tc>
              <w:tc>
                <w:tcPr>
                  <w:tcW w:w="1218" w:type="dxa"/>
                  <w:vMerge w:val="restart"/>
                  <w:vAlign w:val="center"/>
                </w:tcPr>
                <w:p w14:paraId="2EAFD77D">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FF0000"/>
                      <w:sz w:val="21"/>
                      <w:lang w:val="en-US" w:eastAsia="zh-CN"/>
                    </w:rPr>
                  </w:pPr>
                  <w:r>
                    <w:rPr>
                      <w:rFonts w:hint="eastAsia"/>
                      <w:color w:val="FF0000"/>
                      <w:sz w:val="21"/>
                      <w:lang w:val="en-US" w:eastAsia="zh-CN"/>
                    </w:rPr>
                    <w:t>烘干、制棒、炭化烟气</w:t>
                  </w:r>
                </w:p>
              </w:tc>
              <w:tc>
                <w:tcPr>
                  <w:tcW w:w="1333" w:type="dxa"/>
                  <w:vAlign w:val="center"/>
                </w:tcPr>
                <w:p w14:paraId="13962F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FF0000"/>
                      <w:szCs w:val="21"/>
                      <w:lang w:val="en-US" w:eastAsia="zh-CN"/>
                    </w:rPr>
                  </w:pPr>
                  <w:r>
                    <w:rPr>
                      <w:rFonts w:hint="eastAsia"/>
                      <w:color w:val="FF0000"/>
                      <w:szCs w:val="21"/>
                      <w:lang w:val="en-US" w:eastAsia="zh-CN"/>
                    </w:rPr>
                    <w:t>11.0</w:t>
                  </w:r>
                </w:p>
              </w:tc>
              <w:tc>
                <w:tcPr>
                  <w:tcW w:w="3045" w:type="dxa"/>
                  <w:vAlign w:val="center"/>
                </w:tcPr>
                <w:p w14:paraId="262E3E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eastAsia="宋体"/>
                      <w:color w:val="FF0000"/>
                      <w:szCs w:val="21"/>
                      <w:lang w:val="en-US" w:eastAsia="zh-CN"/>
                    </w:rPr>
                  </w:pPr>
                  <w:r>
                    <w:rPr>
                      <w:rFonts w:hint="default" w:ascii="Times New Roman" w:hAnsi="Times New Roman" w:eastAsia="宋体" w:cs="Times New Roman"/>
                      <w:color w:val="FF0000"/>
                      <w:sz w:val="21"/>
                      <w:szCs w:val="21"/>
                    </w:rPr>
                    <w:t>项目24小时持续运行</w:t>
                  </w:r>
                  <w:r>
                    <w:rPr>
                      <w:rFonts w:hint="eastAsia" w:cs="Times New Roman"/>
                      <w:color w:val="FF0000"/>
                      <w:sz w:val="21"/>
                      <w:szCs w:val="21"/>
                      <w:lang w:eastAsia="zh-CN"/>
                    </w:rPr>
                    <w:t>，</w:t>
                  </w:r>
                  <w:r>
                    <w:rPr>
                      <w:rFonts w:hint="default" w:ascii="Times New Roman" w:hAnsi="Times New Roman" w:eastAsia="宋体" w:cs="Times New Roman"/>
                      <w:b w:val="0"/>
                      <w:bCs w:val="0"/>
                      <w:color w:val="FF0000"/>
                      <w:sz w:val="21"/>
                      <w:szCs w:val="21"/>
                      <w:lang w:eastAsia="zh-CN"/>
                    </w:rPr>
                    <w:t>炭化</w:t>
                  </w:r>
                  <w:r>
                    <w:rPr>
                      <w:rFonts w:hint="eastAsia" w:cs="Times New Roman"/>
                      <w:b w:val="0"/>
                      <w:bCs w:val="0"/>
                      <w:color w:val="FF0000"/>
                      <w:sz w:val="21"/>
                      <w:szCs w:val="21"/>
                      <w:lang w:eastAsia="zh-CN"/>
                    </w:rPr>
                    <w:t>、</w:t>
                  </w:r>
                  <w:r>
                    <w:rPr>
                      <w:rFonts w:hint="eastAsia" w:cs="Times New Roman"/>
                      <w:b w:val="0"/>
                      <w:bCs w:val="0"/>
                      <w:color w:val="FF0000"/>
                      <w:sz w:val="21"/>
                      <w:szCs w:val="21"/>
                      <w:lang w:val="en-US" w:eastAsia="zh-CN"/>
                    </w:rPr>
                    <w:t>制棒</w:t>
                  </w:r>
                  <w:r>
                    <w:rPr>
                      <w:rFonts w:hint="default" w:ascii="Times New Roman" w:hAnsi="Times New Roman" w:eastAsia="宋体" w:cs="Times New Roman"/>
                      <w:b w:val="0"/>
                      <w:bCs w:val="0"/>
                      <w:color w:val="FF0000"/>
                      <w:sz w:val="21"/>
                      <w:szCs w:val="21"/>
                      <w:lang w:eastAsia="zh-CN"/>
                    </w:rPr>
                    <w:t>废气</w:t>
                  </w:r>
                  <w:r>
                    <w:rPr>
                      <w:rFonts w:hint="eastAsia" w:ascii="Times New Roman" w:hAnsi="Times New Roman" w:eastAsia="宋体" w:cs="Times New Roman"/>
                      <w:b w:val="0"/>
                      <w:bCs w:val="0"/>
                      <w:color w:val="FF0000"/>
                      <w:sz w:val="21"/>
                      <w:szCs w:val="21"/>
                      <w:lang w:val="en-US" w:eastAsia="zh-CN"/>
                    </w:rPr>
                    <w:t>直接</w:t>
                  </w:r>
                  <w:r>
                    <w:rPr>
                      <w:rFonts w:hint="default" w:ascii="Times New Roman" w:hAnsi="Times New Roman" w:eastAsia="宋体" w:cs="Times New Roman"/>
                      <w:b w:val="0"/>
                      <w:bCs w:val="0"/>
                      <w:color w:val="FF0000"/>
                      <w:sz w:val="21"/>
                      <w:szCs w:val="21"/>
                      <w:lang w:eastAsia="zh-CN"/>
                    </w:rPr>
                    <w:t>引入热风炉燃烧</w:t>
                  </w:r>
                  <w:r>
                    <w:rPr>
                      <w:rFonts w:hint="eastAsia" w:ascii="Times New Roman" w:hAnsi="Times New Roman" w:eastAsia="宋体" w:cs="Times New Roman"/>
                      <w:b w:val="0"/>
                      <w:bCs w:val="0"/>
                      <w:color w:val="FF0000"/>
                      <w:sz w:val="21"/>
                      <w:szCs w:val="21"/>
                      <w:lang w:eastAsia="zh-CN"/>
                    </w:rPr>
                    <w:t>，</w:t>
                  </w:r>
                  <w:r>
                    <w:rPr>
                      <w:rFonts w:hint="eastAsia"/>
                      <w:color w:val="FF0000"/>
                      <w:szCs w:val="21"/>
                    </w:rPr>
                    <w:t>（燃烧法）非甲烷</w:t>
                  </w:r>
                  <w:r>
                    <w:rPr>
                      <w:rFonts w:hint="eastAsia"/>
                      <w:color w:val="FF0000"/>
                      <w:szCs w:val="21"/>
                      <w:highlight w:val="none"/>
                    </w:rPr>
                    <w:t>总烃总去除效率70%</w:t>
                  </w:r>
                  <w:r>
                    <w:rPr>
                      <w:rFonts w:hint="eastAsia" w:ascii="Times New Roman" w:hAnsi="Times New Roman" w:eastAsia="宋体" w:cs="Times New Roman"/>
                      <w:b w:val="0"/>
                      <w:bCs w:val="0"/>
                      <w:color w:val="FF0000"/>
                      <w:sz w:val="21"/>
                      <w:szCs w:val="21"/>
                      <w:highlight w:val="none"/>
                      <w:lang w:val="en-US" w:eastAsia="zh-CN"/>
                    </w:rPr>
                    <w:t>；</w:t>
                  </w:r>
                  <w:r>
                    <w:rPr>
                      <w:rFonts w:hint="eastAsia" w:cs="Times New Roman"/>
                      <w:b w:val="0"/>
                      <w:bCs w:val="0"/>
                      <w:color w:val="FF0000"/>
                      <w:sz w:val="21"/>
                      <w:szCs w:val="21"/>
                      <w:highlight w:val="none"/>
                      <w:lang w:val="en-US" w:eastAsia="zh-CN"/>
                    </w:rPr>
                    <w:t>炭</w:t>
                  </w:r>
                  <w:r>
                    <w:rPr>
                      <w:rFonts w:hint="eastAsia" w:ascii="Times New Roman" w:hAnsi="Times New Roman" w:eastAsia="宋体" w:cs="Times New Roman"/>
                      <w:b w:val="0"/>
                      <w:bCs w:val="0"/>
                      <w:color w:val="FF0000"/>
                      <w:sz w:val="21"/>
                      <w:szCs w:val="21"/>
                      <w:highlight w:val="none"/>
                      <w:lang w:val="en-US" w:eastAsia="zh-CN"/>
                    </w:rPr>
                    <w:t>化</w:t>
                  </w:r>
                  <w:r>
                    <w:rPr>
                      <w:rFonts w:hint="eastAsia" w:cs="Times New Roman"/>
                      <w:b w:val="0"/>
                      <w:bCs w:val="0"/>
                      <w:color w:val="FF0000"/>
                      <w:sz w:val="21"/>
                      <w:szCs w:val="21"/>
                      <w:highlight w:val="none"/>
                      <w:lang w:val="en-US" w:eastAsia="zh-CN"/>
                    </w:rPr>
                    <w:t>、制棒</w:t>
                  </w:r>
                  <w:r>
                    <w:rPr>
                      <w:rFonts w:hint="eastAsia" w:ascii="Times New Roman" w:hAnsi="Times New Roman" w:eastAsia="宋体" w:cs="Times New Roman"/>
                      <w:b w:val="0"/>
                      <w:bCs w:val="0"/>
                      <w:color w:val="FF0000"/>
                      <w:sz w:val="21"/>
                      <w:szCs w:val="21"/>
                      <w:highlight w:val="none"/>
                      <w:lang w:val="en-US" w:eastAsia="zh-CN"/>
                    </w:rPr>
                    <w:t>废气同烘干废气一并经</w:t>
                  </w:r>
                  <w:r>
                    <w:rPr>
                      <w:rFonts w:hint="eastAsia" w:cs="Times New Roman"/>
                      <w:b w:val="0"/>
                      <w:bCs w:val="0"/>
                      <w:color w:val="FF0000"/>
                      <w:sz w:val="21"/>
                      <w:szCs w:val="21"/>
                      <w:highlight w:val="none"/>
                      <w:lang w:val="en-US" w:eastAsia="zh-CN"/>
                    </w:rPr>
                    <w:t>旋风分离后经</w:t>
                  </w:r>
                  <w:r>
                    <w:rPr>
                      <w:rFonts w:hint="default" w:ascii="Times New Roman" w:hAnsi="Times New Roman" w:eastAsia="宋体" w:cs="Times New Roman"/>
                      <w:b w:val="0"/>
                      <w:bCs w:val="0"/>
                      <w:color w:val="FF0000"/>
                      <w:sz w:val="21"/>
                      <w:szCs w:val="21"/>
                      <w:highlight w:val="none"/>
                      <w:lang w:eastAsia="zh-CN"/>
                    </w:rPr>
                    <w:t>“袋式除尘器”</w:t>
                  </w:r>
                  <w:r>
                    <w:rPr>
                      <w:rFonts w:hint="eastAsia" w:ascii="Times New Roman" w:hAnsi="Times New Roman" w:eastAsia="宋体" w:cs="Times New Roman"/>
                      <w:b w:val="0"/>
                      <w:bCs w:val="0"/>
                      <w:color w:val="FF0000"/>
                      <w:sz w:val="21"/>
                      <w:szCs w:val="21"/>
                      <w:highlight w:val="none"/>
                      <w:lang w:eastAsia="zh-CN"/>
                    </w:rPr>
                    <w:t>（</w:t>
                  </w:r>
                  <w:r>
                    <w:rPr>
                      <w:rFonts w:hint="eastAsia" w:cs="Times New Roman"/>
                      <w:b w:val="0"/>
                      <w:bCs w:val="0"/>
                      <w:color w:val="FF0000"/>
                      <w:sz w:val="21"/>
                      <w:szCs w:val="21"/>
                      <w:highlight w:val="none"/>
                      <w:lang w:val="en-US" w:eastAsia="zh-CN"/>
                    </w:rPr>
                    <w:t>颗粒物</w:t>
                  </w:r>
                  <w:r>
                    <w:rPr>
                      <w:rFonts w:hint="eastAsia" w:ascii="Times New Roman" w:hAnsi="Times New Roman" w:eastAsia="宋体" w:cs="Times New Roman"/>
                      <w:b w:val="0"/>
                      <w:bCs w:val="0"/>
                      <w:color w:val="FF0000"/>
                      <w:sz w:val="21"/>
                      <w:szCs w:val="21"/>
                      <w:highlight w:val="none"/>
                      <w:lang w:val="en-US" w:eastAsia="zh-CN"/>
                    </w:rPr>
                    <w:t>去除效率9</w:t>
                  </w:r>
                  <w:r>
                    <w:rPr>
                      <w:rFonts w:hint="eastAsia" w:cs="Times New Roman"/>
                      <w:b w:val="0"/>
                      <w:bCs w:val="0"/>
                      <w:color w:val="FF0000"/>
                      <w:sz w:val="21"/>
                      <w:szCs w:val="21"/>
                      <w:highlight w:val="none"/>
                      <w:lang w:val="en-US" w:eastAsia="zh-CN"/>
                    </w:rPr>
                    <w:t>5</w:t>
                  </w:r>
                  <w:r>
                    <w:rPr>
                      <w:rFonts w:hint="eastAsia" w:ascii="Times New Roman" w:hAnsi="Times New Roman" w:eastAsia="宋体" w:cs="Times New Roman"/>
                      <w:b w:val="0"/>
                      <w:bCs w:val="0"/>
                      <w:color w:val="FF0000"/>
                      <w:sz w:val="21"/>
                      <w:szCs w:val="21"/>
                      <w:highlight w:val="none"/>
                      <w:lang w:val="en-US" w:eastAsia="zh-CN"/>
                    </w:rPr>
                    <w:t>%）</w:t>
                  </w:r>
                  <w:r>
                    <w:rPr>
                      <w:rFonts w:hint="default" w:ascii="Times New Roman" w:hAnsi="Times New Roman" w:eastAsia="宋体" w:cs="Times New Roman"/>
                      <w:b w:val="0"/>
                      <w:bCs w:val="0"/>
                      <w:color w:val="FF0000"/>
                      <w:sz w:val="21"/>
                      <w:szCs w:val="21"/>
                      <w:highlight w:val="none"/>
                    </w:rPr>
                    <w:t>处理后</w:t>
                  </w:r>
                  <w:r>
                    <w:rPr>
                      <w:rFonts w:hint="eastAsia" w:ascii="Times New Roman" w:hAnsi="Times New Roman" w:eastAsia="宋体" w:cs="Times New Roman"/>
                      <w:b w:val="0"/>
                      <w:bCs w:val="0"/>
                      <w:color w:val="FF0000"/>
                      <w:sz w:val="21"/>
                      <w:szCs w:val="21"/>
                      <w:highlight w:val="none"/>
                      <w:lang w:val="en-US" w:eastAsia="zh-CN"/>
                    </w:rPr>
                    <w:t>外排，</w:t>
                  </w:r>
                  <w:r>
                    <w:rPr>
                      <w:rFonts w:hint="default" w:ascii="Times New Roman" w:hAnsi="Times New Roman" w:eastAsia="宋体" w:cs="Times New Roman"/>
                      <w:b w:val="0"/>
                      <w:bCs w:val="0"/>
                      <w:color w:val="FF0000"/>
                      <w:sz w:val="21"/>
                      <w:szCs w:val="21"/>
                      <w:highlight w:val="none"/>
                    </w:rPr>
                    <w:t>通过</w:t>
                  </w:r>
                  <w:r>
                    <w:rPr>
                      <w:rFonts w:hint="default" w:ascii="Times New Roman" w:hAnsi="Times New Roman" w:eastAsia="宋体" w:cs="Times New Roman"/>
                      <w:b w:val="0"/>
                      <w:bCs w:val="0"/>
                      <w:color w:val="FF0000"/>
                      <w:sz w:val="21"/>
                      <w:szCs w:val="21"/>
                      <w:highlight w:val="none"/>
                      <w:lang w:eastAsia="zh-CN"/>
                    </w:rPr>
                    <w:t>同</w:t>
                  </w:r>
                  <w:r>
                    <w:rPr>
                      <w:rFonts w:hint="default" w:ascii="Times New Roman" w:hAnsi="Times New Roman" w:eastAsia="宋体" w:cs="Times New Roman"/>
                      <w:b w:val="0"/>
                      <w:bCs w:val="0"/>
                      <w:color w:val="FF0000"/>
                      <w:sz w:val="21"/>
                      <w:szCs w:val="21"/>
                      <w:highlight w:val="none"/>
                    </w:rPr>
                    <w:t>1根15m高排气筒</w:t>
                  </w:r>
                  <w:r>
                    <w:rPr>
                      <w:rFonts w:hint="default" w:ascii="Times New Roman" w:hAnsi="Times New Roman" w:eastAsia="宋体" w:cs="Times New Roman"/>
                      <w:b w:val="0"/>
                      <w:bCs w:val="0"/>
                      <w:color w:val="FF0000"/>
                      <w:sz w:val="21"/>
                      <w:szCs w:val="21"/>
                      <w:highlight w:val="none"/>
                      <w:lang w:eastAsia="zh-CN"/>
                    </w:rPr>
                    <w:t>（</w:t>
                  </w:r>
                  <w:r>
                    <w:rPr>
                      <w:rFonts w:hint="default" w:ascii="Times New Roman" w:hAnsi="Times New Roman" w:eastAsia="宋体" w:cs="Times New Roman"/>
                      <w:b w:val="0"/>
                      <w:bCs w:val="0"/>
                      <w:color w:val="FF0000"/>
                      <w:sz w:val="21"/>
                      <w:szCs w:val="21"/>
                      <w:highlight w:val="none"/>
                      <w:lang w:val="en-US" w:eastAsia="zh-CN"/>
                    </w:rPr>
                    <w:t>DA001</w:t>
                  </w:r>
                  <w:r>
                    <w:rPr>
                      <w:rFonts w:hint="default" w:ascii="Times New Roman" w:hAnsi="Times New Roman" w:eastAsia="宋体" w:cs="Times New Roman"/>
                      <w:b w:val="0"/>
                      <w:bCs w:val="0"/>
                      <w:color w:val="FF0000"/>
                      <w:sz w:val="21"/>
                      <w:szCs w:val="21"/>
                      <w:highlight w:val="none"/>
                      <w:lang w:eastAsia="zh-CN"/>
                    </w:rPr>
                    <w:t>）</w:t>
                  </w:r>
                  <w:r>
                    <w:rPr>
                      <w:rFonts w:hint="default" w:ascii="Times New Roman" w:hAnsi="Times New Roman" w:eastAsia="宋体" w:cs="Times New Roman"/>
                      <w:b w:val="0"/>
                      <w:bCs w:val="0"/>
                      <w:color w:val="FF0000"/>
                      <w:sz w:val="21"/>
                      <w:szCs w:val="21"/>
                      <w:highlight w:val="none"/>
                    </w:rPr>
                    <w:t>排放</w:t>
                  </w:r>
                  <w:r>
                    <w:rPr>
                      <w:rFonts w:hint="eastAsia" w:ascii="Times New Roman" w:hAnsi="Times New Roman" w:eastAsia="宋体" w:cs="Times New Roman"/>
                      <w:b w:val="0"/>
                      <w:bCs w:val="0"/>
                      <w:color w:val="FF0000"/>
                      <w:sz w:val="21"/>
                      <w:szCs w:val="21"/>
                      <w:highlight w:val="none"/>
                      <w:lang w:eastAsia="zh-CN"/>
                    </w:rPr>
                    <w:t>，</w:t>
                  </w:r>
                  <w:r>
                    <w:rPr>
                      <w:rFonts w:hint="eastAsia" w:ascii="Times New Roman" w:hAnsi="Times New Roman" w:eastAsia="宋体" w:cs="Times New Roman"/>
                      <w:b w:val="0"/>
                      <w:bCs w:val="0"/>
                      <w:color w:val="FF0000"/>
                      <w:sz w:val="21"/>
                      <w:szCs w:val="21"/>
                      <w:highlight w:val="none"/>
                      <w:lang w:val="en-US" w:eastAsia="zh-CN"/>
                    </w:rPr>
                    <w:t>配套设置监测采样平台</w:t>
                  </w:r>
                </w:p>
              </w:tc>
              <w:tc>
                <w:tcPr>
                  <w:tcW w:w="978" w:type="dxa"/>
                  <w:vAlign w:val="center"/>
                </w:tcPr>
                <w:p w14:paraId="28BDEC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color w:val="FF0000"/>
                      <w:szCs w:val="21"/>
                      <w:lang w:val="en-US" w:eastAsia="zh-CN"/>
                    </w:rPr>
                  </w:pPr>
                  <w:r>
                    <w:rPr>
                      <w:rFonts w:hint="eastAsia"/>
                      <w:color w:val="FF0000"/>
                      <w:sz w:val="21"/>
                      <w:lang w:val="en-US" w:eastAsia="zh-CN"/>
                    </w:rPr>
                    <w:t>环评提出</w:t>
                  </w:r>
                </w:p>
              </w:tc>
            </w:tr>
            <w:tr w14:paraId="0C02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jc w:val="center"/>
              </w:trPr>
              <w:tc>
                <w:tcPr>
                  <w:tcW w:w="490" w:type="dxa"/>
                  <w:vMerge w:val="continue"/>
                  <w:vAlign w:val="center"/>
                </w:tcPr>
                <w:p w14:paraId="704AC9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olor w:val="FF0000"/>
                      <w:szCs w:val="21"/>
                    </w:rPr>
                  </w:pPr>
                </w:p>
              </w:tc>
              <w:tc>
                <w:tcPr>
                  <w:tcW w:w="313" w:type="dxa"/>
                  <w:vMerge w:val="continue"/>
                  <w:vAlign w:val="center"/>
                </w:tcPr>
                <w:p w14:paraId="0994992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olor w:val="FF0000"/>
                      <w:sz w:val="21"/>
                    </w:rPr>
                  </w:pPr>
                </w:p>
              </w:tc>
              <w:tc>
                <w:tcPr>
                  <w:tcW w:w="1218" w:type="dxa"/>
                  <w:vMerge w:val="continue"/>
                  <w:vAlign w:val="center"/>
                </w:tcPr>
                <w:p w14:paraId="7CA79C07">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FF0000"/>
                      <w:sz w:val="21"/>
                      <w:lang w:val="en-US" w:eastAsia="zh-CN"/>
                    </w:rPr>
                  </w:pPr>
                </w:p>
              </w:tc>
              <w:tc>
                <w:tcPr>
                  <w:tcW w:w="1333" w:type="dxa"/>
                  <w:vAlign w:val="center"/>
                </w:tcPr>
                <w:p w14:paraId="5146EC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FF0000"/>
                      <w:szCs w:val="21"/>
                      <w:lang w:val="en-US" w:eastAsia="zh-CN"/>
                    </w:rPr>
                  </w:pPr>
                  <w:r>
                    <w:rPr>
                      <w:rFonts w:hint="eastAsia"/>
                      <w:color w:val="FF0000"/>
                      <w:szCs w:val="21"/>
                      <w:lang w:val="en-US" w:eastAsia="zh-CN"/>
                    </w:rPr>
                    <w:t>10.0</w:t>
                  </w:r>
                </w:p>
              </w:tc>
              <w:tc>
                <w:tcPr>
                  <w:tcW w:w="3045" w:type="dxa"/>
                  <w:vAlign w:val="center"/>
                </w:tcPr>
                <w:p w14:paraId="13CF14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color w:val="FF0000"/>
                      <w:szCs w:val="21"/>
                      <w:lang w:val="en-US" w:eastAsia="zh-CN"/>
                    </w:rPr>
                  </w:pPr>
                  <w:r>
                    <w:rPr>
                      <w:rFonts w:hint="default" w:ascii="Times New Roman" w:hAnsi="Times New Roman" w:eastAsia="宋体" w:cs="Times New Roman"/>
                      <w:b w:val="0"/>
                      <w:bCs w:val="0"/>
                      <w:color w:val="FF0000"/>
                      <w:sz w:val="21"/>
                      <w:szCs w:val="21"/>
                      <w:highlight w:val="none"/>
                      <w:lang w:eastAsia="zh-CN"/>
                    </w:rPr>
                    <w:t>设置一套</w:t>
                  </w:r>
                  <w:r>
                    <w:rPr>
                      <w:rFonts w:hint="eastAsia" w:cs="Times New Roman"/>
                      <w:b w:val="0"/>
                      <w:bCs w:val="0"/>
                      <w:color w:val="FF0000"/>
                      <w:sz w:val="21"/>
                      <w:szCs w:val="21"/>
                      <w:highlight w:val="none"/>
                      <w:lang w:val="en-US" w:eastAsia="zh-CN"/>
                    </w:rPr>
                    <w:t>烟气</w:t>
                  </w:r>
                  <w:r>
                    <w:rPr>
                      <w:rFonts w:hint="default" w:ascii="Times New Roman" w:hAnsi="Times New Roman" w:eastAsia="宋体" w:cs="Times New Roman"/>
                      <w:b w:val="0"/>
                      <w:bCs w:val="0"/>
                      <w:color w:val="FF0000"/>
                      <w:sz w:val="21"/>
                      <w:szCs w:val="21"/>
                      <w:highlight w:val="none"/>
                      <w:lang w:eastAsia="zh-CN"/>
                    </w:rPr>
                    <w:t>在线监测设备，对外排颗粒物、</w:t>
                  </w:r>
                  <w:r>
                    <w:rPr>
                      <w:rFonts w:hint="default" w:ascii="Times New Roman" w:hAnsi="Times New Roman" w:eastAsia="宋体" w:cs="Times New Roman"/>
                      <w:b w:val="0"/>
                      <w:bCs w:val="0"/>
                      <w:color w:val="FF0000"/>
                      <w:sz w:val="21"/>
                      <w:szCs w:val="21"/>
                      <w:highlight w:val="none"/>
                      <w:lang w:val="en-US" w:eastAsia="zh-CN"/>
                    </w:rPr>
                    <w:t>SO</w:t>
                  </w:r>
                  <w:r>
                    <w:rPr>
                      <w:rFonts w:hint="default" w:ascii="Times New Roman" w:hAnsi="Times New Roman" w:eastAsia="宋体" w:cs="Times New Roman"/>
                      <w:b w:val="0"/>
                      <w:bCs w:val="0"/>
                      <w:color w:val="FF0000"/>
                      <w:sz w:val="21"/>
                      <w:szCs w:val="21"/>
                      <w:highlight w:val="none"/>
                      <w:vertAlign w:val="subscript"/>
                      <w:lang w:val="en-US" w:eastAsia="zh-CN"/>
                    </w:rPr>
                    <w:t>2</w:t>
                  </w:r>
                  <w:r>
                    <w:rPr>
                      <w:rFonts w:hint="default" w:ascii="Times New Roman" w:hAnsi="Times New Roman" w:eastAsia="宋体" w:cs="Times New Roman"/>
                      <w:b w:val="0"/>
                      <w:bCs w:val="0"/>
                      <w:color w:val="FF0000"/>
                      <w:sz w:val="21"/>
                      <w:szCs w:val="21"/>
                      <w:highlight w:val="none"/>
                      <w:vertAlign w:val="baseline"/>
                      <w:lang w:val="en-US" w:eastAsia="zh-CN"/>
                    </w:rPr>
                    <w:t>、N0</w:t>
                  </w:r>
                  <w:r>
                    <w:rPr>
                      <w:rFonts w:hint="default" w:ascii="Times New Roman" w:hAnsi="Times New Roman" w:eastAsia="宋体" w:cs="Times New Roman"/>
                      <w:b w:val="0"/>
                      <w:bCs w:val="0"/>
                      <w:color w:val="FF0000"/>
                      <w:sz w:val="21"/>
                      <w:szCs w:val="21"/>
                      <w:highlight w:val="none"/>
                      <w:vertAlign w:val="subscript"/>
                      <w:lang w:val="en-US" w:eastAsia="zh-CN"/>
                    </w:rPr>
                    <w:t>X</w:t>
                  </w:r>
                  <w:r>
                    <w:rPr>
                      <w:rFonts w:hint="default" w:ascii="Times New Roman" w:hAnsi="Times New Roman" w:eastAsia="宋体" w:cs="Times New Roman"/>
                      <w:b w:val="0"/>
                      <w:bCs w:val="0"/>
                      <w:color w:val="FF0000"/>
                      <w:sz w:val="21"/>
                      <w:szCs w:val="21"/>
                      <w:highlight w:val="none"/>
                      <w:vertAlign w:val="baseline"/>
                      <w:lang w:val="en-US" w:eastAsia="zh-CN"/>
                    </w:rPr>
                    <w:t>、进行实时监控</w:t>
                  </w:r>
                </w:p>
              </w:tc>
              <w:tc>
                <w:tcPr>
                  <w:tcW w:w="978" w:type="dxa"/>
                  <w:vAlign w:val="center"/>
                </w:tcPr>
                <w:p w14:paraId="48F85E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color w:val="FF0000"/>
                      <w:szCs w:val="21"/>
                      <w:lang w:val="en-US" w:eastAsia="zh-CN"/>
                    </w:rPr>
                  </w:pPr>
                  <w:r>
                    <w:rPr>
                      <w:rFonts w:hint="eastAsia"/>
                      <w:color w:val="FF0000"/>
                      <w:sz w:val="21"/>
                      <w:lang w:val="en-US" w:eastAsia="zh-CN"/>
                    </w:rPr>
                    <w:t>环评提出</w:t>
                  </w:r>
                </w:p>
              </w:tc>
            </w:tr>
            <w:tr w14:paraId="4C93F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jc w:val="center"/>
              </w:trPr>
              <w:tc>
                <w:tcPr>
                  <w:tcW w:w="490" w:type="dxa"/>
                  <w:vAlign w:val="center"/>
                </w:tcPr>
                <w:p w14:paraId="3918CB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olor w:val="FF0000"/>
                      <w:szCs w:val="21"/>
                      <w:lang w:val="en-US" w:eastAsia="zh-CN"/>
                    </w:rPr>
                  </w:pPr>
                  <w:r>
                    <w:rPr>
                      <w:rFonts w:hint="eastAsia"/>
                      <w:color w:val="FF0000"/>
                      <w:szCs w:val="21"/>
                      <w:lang w:val="en-US" w:eastAsia="zh-CN"/>
                    </w:rPr>
                    <w:t>3</w:t>
                  </w:r>
                </w:p>
              </w:tc>
              <w:tc>
                <w:tcPr>
                  <w:tcW w:w="313" w:type="dxa"/>
                  <w:vAlign w:val="center"/>
                </w:tcPr>
                <w:p w14:paraId="35CA9668">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eastAsia="宋体"/>
                      <w:color w:val="FF0000"/>
                      <w:sz w:val="21"/>
                      <w:lang w:val="en-US" w:eastAsia="zh-CN"/>
                    </w:rPr>
                  </w:pPr>
                  <w:r>
                    <w:rPr>
                      <w:rFonts w:hint="eastAsia"/>
                      <w:color w:val="FF0000"/>
                      <w:sz w:val="21"/>
                      <w:lang w:val="en-US" w:eastAsia="zh-CN"/>
                    </w:rPr>
                    <w:t>噪声</w:t>
                  </w:r>
                </w:p>
              </w:tc>
              <w:tc>
                <w:tcPr>
                  <w:tcW w:w="1218" w:type="dxa"/>
                  <w:vAlign w:val="center"/>
                </w:tcPr>
                <w:p w14:paraId="1C85A97F">
                  <w:pPr>
                    <w:tabs>
                      <w:tab w:val="center" w:pos="1507"/>
                    </w:tabs>
                    <w:spacing w:line="240" w:lineRule="auto"/>
                    <w:jc w:val="center"/>
                    <w:rPr>
                      <w:rFonts w:hint="eastAsia"/>
                      <w:color w:val="FF0000"/>
                      <w:sz w:val="21"/>
                      <w:lang w:val="en-US" w:eastAsia="zh-CN"/>
                    </w:rPr>
                  </w:pPr>
                  <w:r>
                    <w:rPr>
                      <w:rFonts w:hint="default" w:ascii="Times New Roman" w:hAnsi="Times New Roman" w:eastAsia="宋体" w:cs="Times New Roman"/>
                      <w:b w:val="0"/>
                      <w:bCs w:val="0"/>
                      <w:color w:val="FF0000"/>
                      <w:sz w:val="21"/>
                      <w:szCs w:val="21"/>
                    </w:rPr>
                    <w:t>设备噪声运输、装载车辆</w:t>
                  </w:r>
                </w:p>
              </w:tc>
              <w:tc>
                <w:tcPr>
                  <w:tcW w:w="1333" w:type="dxa"/>
                  <w:vAlign w:val="center"/>
                </w:tcPr>
                <w:p w14:paraId="0F3330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FF0000"/>
                      <w:szCs w:val="21"/>
                      <w:lang w:val="en-US" w:eastAsia="zh-CN"/>
                    </w:rPr>
                  </w:pPr>
                  <w:r>
                    <w:rPr>
                      <w:rFonts w:hint="eastAsia"/>
                      <w:color w:val="FF0000"/>
                      <w:szCs w:val="21"/>
                      <w:lang w:val="en-US" w:eastAsia="zh-CN"/>
                    </w:rPr>
                    <w:t>2.0</w:t>
                  </w:r>
                </w:p>
              </w:tc>
              <w:tc>
                <w:tcPr>
                  <w:tcW w:w="3045" w:type="dxa"/>
                  <w:vAlign w:val="center"/>
                </w:tcPr>
                <w:p w14:paraId="6A44DA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FF0000"/>
                      <w:sz w:val="21"/>
                      <w:szCs w:val="21"/>
                      <w:highlight w:val="none"/>
                      <w:lang w:eastAsia="zh-CN"/>
                    </w:rPr>
                  </w:pPr>
                  <w:r>
                    <w:rPr>
                      <w:rFonts w:hint="default" w:ascii="Times New Roman" w:hAnsi="Times New Roman" w:eastAsia="宋体" w:cs="Times New Roman"/>
                      <w:b w:val="0"/>
                      <w:bCs w:val="0"/>
                      <w:color w:val="FF0000"/>
                      <w:sz w:val="21"/>
                      <w:szCs w:val="21"/>
                    </w:rPr>
                    <w:t>设备固定，墙体隔声、距离衰减、加强管理，定期维修保养，避免设备故障运行，运输车辆减速慢行、控制载重量等</w:t>
                  </w:r>
                </w:p>
              </w:tc>
              <w:tc>
                <w:tcPr>
                  <w:tcW w:w="978" w:type="dxa"/>
                  <w:vAlign w:val="center"/>
                </w:tcPr>
                <w:p w14:paraId="0424C8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color w:val="FF0000"/>
                      <w:szCs w:val="21"/>
                      <w:lang w:val="en-US" w:eastAsia="zh-CN"/>
                    </w:rPr>
                  </w:pPr>
                  <w:r>
                    <w:rPr>
                      <w:rFonts w:hint="eastAsia"/>
                      <w:color w:val="FF0000"/>
                      <w:sz w:val="21"/>
                      <w:lang w:val="en-US" w:eastAsia="zh-CN"/>
                    </w:rPr>
                    <w:t>环评提出</w:t>
                  </w:r>
                </w:p>
              </w:tc>
            </w:tr>
            <w:tr w14:paraId="143A4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atLeast"/>
                <w:jc w:val="center"/>
              </w:trPr>
              <w:tc>
                <w:tcPr>
                  <w:tcW w:w="490" w:type="dxa"/>
                  <w:vMerge w:val="restart"/>
                  <w:vAlign w:val="center"/>
                </w:tcPr>
                <w:p w14:paraId="1F4E5D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olor w:val="FF0000"/>
                      <w:szCs w:val="21"/>
                      <w:lang w:eastAsia="zh-CN"/>
                    </w:rPr>
                  </w:pPr>
                  <w:r>
                    <w:rPr>
                      <w:rFonts w:hint="eastAsia"/>
                      <w:color w:val="FF0000"/>
                      <w:szCs w:val="21"/>
                      <w:lang w:val="en-US" w:eastAsia="zh-CN"/>
                    </w:rPr>
                    <w:t>4</w:t>
                  </w:r>
                </w:p>
              </w:tc>
              <w:tc>
                <w:tcPr>
                  <w:tcW w:w="313" w:type="dxa"/>
                  <w:vMerge w:val="restart"/>
                  <w:vAlign w:val="center"/>
                </w:tcPr>
                <w:p w14:paraId="5B57304A">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FF0000"/>
                      <w:sz w:val="21"/>
                    </w:rPr>
                  </w:pPr>
                  <w:r>
                    <w:rPr>
                      <w:rFonts w:hint="default"/>
                      <w:color w:val="FF0000"/>
                      <w:sz w:val="21"/>
                    </w:rPr>
                    <w:t>固体废弃物</w:t>
                  </w:r>
                </w:p>
              </w:tc>
              <w:tc>
                <w:tcPr>
                  <w:tcW w:w="1218" w:type="dxa"/>
                  <w:vAlign w:val="center"/>
                </w:tcPr>
                <w:p w14:paraId="7320E616">
                  <w:pPr>
                    <w:tabs>
                      <w:tab w:val="center" w:pos="1507"/>
                    </w:tabs>
                    <w:spacing w:line="240" w:lineRule="auto"/>
                    <w:jc w:val="center"/>
                    <w:rPr>
                      <w:rFonts w:hint="default"/>
                      <w:color w:val="FF0000"/>
                      <w:sz w:val="21"/>
                    </w:rPr>
                  </w:pPr>
                  <w:r>
                    <w:rPr>
                      <w:rFonts w:hint="default" w:ascii="Times New Roman" w:hAnsi="Times New Roman" w:eastAsia="宋体" w:cs="Times New Roman"/>
                      <w:b w:val="0"/>
                      <w:bCs w:val="0"/>
                      <w:color w:val="FF0000"/>
                      <w:sz w:val="21"/>
                      <w:szCs w:val="21"/>
                    </w:rPr>
                    <w:t>筛分固废</w:t>
                  </w:r>
                </w:p>
              </w:tc>
              <w:tc>
                <w:tcPr>
                  <w:tcW w:w="1333" w:type="dxa"/>
                  <w:vAlign w:val="center"/>
                </w:tcPr>
                <w:p w14:paraId="34C2DF8C">
                  <w:pPr>
                    <w:adjustRightInd w:val="0"/>
                    <w:snapToGrid w:val="0"/>
                    <w:spacing w:line="240" w:lineRule="auto"/>
                    <w:jc w:val="center"/>
                    <w:rPr>
                      <w:rFonts w:hint="default" w:eastAsia="宋体"/>
                      <w:color w:val="FF0000"/>
                      <w:szCs w:val="21"/>
                      <w:lang w:val="en-US" w:eastAsia="zh-CN"/>
                    </w:rPr>
                  </w:pPr>
                  <w:r>
                    <w:rPr>
                      <w:rFonts w:hint="eastAsia"/>
                      <w:color w:val="FF0000"/>
                      <w:szCs w:val="21"/>
                      <w:lang w:val="en-US" w:eastAsia="zh-CN"/>
                    </w:rPr>
                    <w:t>0.5</w:t>
                  </w:r>
                </w:p>
              </w:tc>
              <w:tc>
                <w:tcPr>
                  <w:tcW w:w="3045" w:type="dxa"/>
                  <w:vAlign w:val="center"/>
                </w:tcPr>
                <w:p w14:paraId="034D6F8E">
                  <w:pPr>
                    <w:adjustRightInd w:val="0"/>
                    <w:snapToGrid w:val="0"/>
                    <w:spacing w:line="240" w:lineRule="auto"/>
                    <w:jc w:val="center"/>
                    <w:rPr>
                      <w:rFonts w:hint="default"/>
                      <w:color w:val="FF0000"/>
                      <w:szCs w:val="21"/>
                    </w:rPr>
                  </w:pPr>
                  <w:r>
                    <w:rPr>
                      <w:rFonts w:hint="default" w:ascii="Times New Roman" w:hAnsi="Times New Roman" w:eastAsia="宋体" w:cs="Times New Roman"/>
                      <w:b w:val="0"/>
                      <w:bCs w:val="0"/>
                      <w:color w:val="FF0000"/>
                      <w:sz w:val="21"/>
                      <w:szCs w:val="21"/>
                    </w:rPr>
                    <w:t>暂存生产车间一角，严禁露天堆放，作为燃料使用</w:t>
                  </w:r>
                </w:p>
              </w:tc>
              <w:tc>
                <w:tcPr>
                  <w:tcW w:w="978" w:type="dxa"/>
                  <w:vAlign w:val="center"/>
                </w:tcPr>
                <w:p w14:paraId="2B49F3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color w:val="FF0000"/>
                      <w:szCs w:val="21"/>
                      <w:lang w:val="en-US" w:eastAsia="zh-CN"/>
                    </w:rPr>
                  </w:pPr>
                  <w:r>
                    <w:rPr>
                      <w:rFonts w:hint="eastAsia"/>
                      <w:color w:val="FF0000"/>
                      <w:sz w:val="21"/>
                      <w:lang w:val="en-US" w:eastAsia="zh-CN"/>
                    </w:rPr>
                    <w:t>环评提出</w:t>
                  </w:r>
                </w:p>
              </w:tc>
            </w:tr>
            <w:tr w14:paraId="72A1A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 w:hRule="atLeast"/>
                <w:jc w:val="center"/>
              </w:trPr>
              <w:tc>
                <w:tcPr>
                  <w:tcW w:w="490" w:type="dxa"/>
                  <w:vMerge w:val="continue"/>
                  <w:vAlign w:val="center"/>
                </w:tcPr>
                <w:p w14:paraId="2019D7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olor w:val="FF0000"/>
                      <w:szCs w:val="21"/>
                    </w:rPr>
                  </w:pPr>
                </w:p>
              </w:tc>
              <w:tc>
                <w:tcPr>
                  <w:tcW w:w="313" w:type="dxa"/>
                  <w:vMerge w:val="continue"/>
                  <w:vAlign w:val="center"/>
                </w:tcPr>
                <w:p w14:paraId="6A83970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FF0000"/>
                      <w:sz w:val="21"/>
                    </w:rPr>
                  </w:pPr>
                </w:p>
              </w:tc>
              <w:tc>
                <w:tcPr>
                  <w:tcW w:w="1218" w:type="dxa"/>
                  <w:vAlign w:val="center"/>
                </w:tcPr>
                <w:p w14:paraId="3B86C098">
                  <w:pPr>
                    <w:adjustRightInd w:val="0"/>
                    <w:snapToGrid w:val="0"/>
                    <w:spacing w:line="240" w:lineRule="auto"/>
                    <w:jc w:val="center"/>
                    <w:rPr>
                      <w:rFonts w:hint="default"/>
                      <w:color w:val="FF0000"/>
                      <w:sz w:val="21"/>
                    </w:rPr>
                  </w:pPr>
                  <w:r>
                    <w:rPr>
                      <w:rFonts w:hint="default" w:ascii="Times New Roman" w:hAnsi="Times New Roman" w:eastAsia="宋体" w:cs="Times New Roman"/>
                      <w:b w:val="0"/>
                      <w:bCs w:val="0"/>
                      <w:color w:val="FF0000"/>
                      <w:sz w:val="21"/>
                      <w:szCs w:val="21"/>
                      <w:lang w:eastAsia="zh-CN"/>
                    </w:rPr>
                    <w:t>布袋收集粉尘</w:t>
                  </w:r>
                </w:p>
              </w:tc>
              <w:tc>
                <w:tcPr>
                  <w:tcW w:w="1333" w:type="dxa"/>
                  <w:vAlign w:val="center"/>
                </w:tcPr>
                <w:p w14:paraId="7D3E3C91">
                  <w:pPr>
                    <w:adjustRightInd w:val="0"/>
                    <w:snapToGrid w:val="0"/>
                    <w:spacing w:line="240" w:lineRule="auto"/>
                    <w:jc w:val="center"/>
                    <w:rPr>
                      <w:rFonts w:hint="default"/>
                      <w:color w:val="FF0000"/>
                      <w:szCs w:val="21"/>
                      <w:lang w:val="en-US" w:eastAsia="zh-CN"/>
                    </w:rPr>
                  </w:pPr>
                  <w:r>
                    <w:rPr>
                      <w:rFonts w:hint="eastAsia"/>
                      <w:color w:val="FF0000"/>
                      <w:szCs w:val="21"/>
                      <w:lang w:val="en-US" w:eastAsia="zh-CN"/>
                    </w:rPr>
                    <w:t>0.5</w:t>
                  </w:r>
                </w:p>
              </w:tc>
              <w:tc>
                <w:tcPr>
                  <w:tcW w:w="3045" w:type="dxa"/>
                  <w:vAlign w:val="center"/>
                </w:tcPr>
                <w:p w14:paraId="146B7226">
                  <w:pPr>
                    <w:adjustRightInd w:val="0"/>
                    <w:snapToGrid w:val="0"/>
                    <w:spacing w:line="240" w:lineRule="auto"/>
                    <w:jc w:val="center"/>
                    <w:rPr>
                      <w:rFonts w:hint="eastAsia"/>
                      <w:color w:val="FF0000"/>
                      <w:szCs w:val="21"/>
                      <w:lang w:val="en-US" w:eastAsia="zh-CN"/>
                    </w:rPr>
                  </w:pPr>
                  <w:r>
                    <w:rPr>
                      <w:rFonts w:hint="default" w:ascii="Times New Roman" w:hAnsi="Times New Roman" w:eastAsia="宋体" w:cs="Times New Roman"/>
                      <w:b w:val="0"/>
                      <w:bCs w:val="0"/>
                      <w:color w:val="FF0000"/>
                      <w:sz w:val="21"/>
                      <w:szCs w:val="21"/>
                      <w:lang w:eastAsia="zh-CN"/>
                    </w:rPr>
                    <w:t>返回料仓作为生产原料使用</w:t>
                  </w:r>
                </w:p>
              </w:tc>
              <w:tc>
                <w:tcPr>
                  <w:tcW w:w="978" w:type="dxa"/>
                  <w:vAlign w:val="center"/>
                </w:tcPr>
                <w:p w14:paraId="54F69E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color w:val="FF0000"/>
                      <w:szCs w:val="21"/>
                      <w:lang w:val="en-US" w:eastAsia="zh-CN"/>
                    </w:rPr>
                  </w:pPr>
                  <w:r>
                    <w:rPr>
                      <w:rFonts w:hint="eastAsia"/>
                      <w:color w:val="FF0000"/>
                      <w:sz w:val="21"/>
                      <w:lang w:val="en-US" w:eastAsia="zh-CN"/>
                    </w:rPr>
                    <w:t>环评提出</w:t>
                  </w:r>
                </w:p>
              </w:tc>
            </w:tr>
            <w:tr w14:paraId="1405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jc w:val="center"/>
              </w:trPr>
              <w:tc>
                <w:tcPr>
                  <w:tcW w:w="490" w:type="dxa"/>
                  <w:vMerge w:val="continue"/>
                  <w:vAlign w:val="center"/>
                </w:tcPr>
                <w:p w14:paraId="1D6973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olor w:val="FF0000"/>
                      <w:szCs w:val="21"/>
                    </w:rPr>
                  </w:pPr>
                </w:p>
              </w:tc>
              <w:tc>
                <w:tcPr>
                  <w:tcW w:w="313" w:type="dxa"/>
                  <w:vMerge w:val="continue"/>
                  <w:vAlign w:val="center"/>
                </w:tcPr>
                <w:p w14:paraId="5398B363">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FF0000"/>
                      <w:sz w:val="21"/>
                    </w:rPr>
                  </w:pPr>
                </w:p>
              </w:tc>
              <w:tc>
                <w:tcPr>
                  <w:tcW w:w="1218" w:type="dxa"/>
                  <w:vAlign w:val="center"/>
                </w:tcPr>
                <w:p w14:paraId="495170C9">
                  <w:pPr>
                    <w:adjustRightInd w:val="0"/>
                    <w:snapToGrid w:val="0"/>
                    <w:spacing w:line="240" w:lineRule="auto"/>
                    <w:jc w:val="center"/>
                    <w:rPr>
                      <w:rFonts w:hint="default"/>
                      <w:color w:val="FF0000"/>
                      <w:sz w:val="21"/>
                    </w:rPr>
                  </w:pPr>
                  <w:r>
                    <w:rPr>
                      <w:rFonts w:hint="default" w:ascii="Times New Roman" w:hAnsi="Times New Roman" w:eastAsia="宋体" w:cs="Times New Roman"/>
                      <w:b w:val="0"/>
                      <w:bCs w:val="0"/>
                      <w:color w:val="FF0000"/>
                      <w:sz w:val="21"/>
                      <w:szCs w:val="21"/>
                    </w:rPr>
                    <w:t>炉渣</w:t>
                  </w:r>
                </w:p>
              </w:tc>
              <w:tc>
                <w:tcPr>
                  <w:tcW w:w="1333" w:type="dxa"/>
                  <w:vAlign w:val="center"/>
                </w:tcPr>
                <w:p w14:paraId="2ED9EC7B">
                  <w:pPr>
                    <w:adjustRightInd w:val="0"/>
                    <w:snapToGrid w:val="0"/>
                    <w:spacing w:line="240" w:lineRule="auto"/>
                    <w:jc w:val="center"/>
                    <w:rPr>
                      <w:rFonts w:hint="default" w:eastAsia="宋体"/>
                      <w:color w:val="FF0000"/>
                      <w:szCs w:val="21"/>
                      <w:lang w:val="en-US" w:eastAsia="zh-CN"/>
                    </w:rPr>
                  </w:pPr>
                  <w:r>
                    <w:rPr>
                      <w:rFonts w:hint="eastAsia"/>
                      <w:color w:val="FF0000"/>
                      <w:szCs w:val="21"/>
                      <w:lang w:val="en-US" w:eastAsia="zh-CN"/>
                    </w:rPr>
                    <w:t>0.5</w:t>
                  </w:r>
                </w:p>
              </w:tc>
              <w:tc>
                <w:tcPr>
                  <w:tcW w:w="3045" w:type="dxa"/>
                  <w:vAlign w:val="center"/>
                </w:tcPr>
                <w:p w14:paraId="2453C598">
                  <w:pPr>
                    <w:adjustRightInd w:val="0"/>
                    <w:snapToGrid w:val="0"/>
                    <w:spacing w:line="240" w:lineRule="auto"/>
                    <w:jc w:val="center"/>
                    <w:rPr>
                      <w:rFonts w:hint="default"/>
                      <w:color w:val="FF0000"/>
                      <w:szCs w:val="21"/>
                    </w:rPr>
                  </w:pPr>
                  <w:r>
                    <w:rPr>
                      <w:rFonts w:hint="default" w:ascii="Times New Roman" w:hAnsi="Times New Roman" w:eastAsia="宋体" w:cs="Times New Roman"/>
                      <w:b w:val="0"/>
                      <w:bCs w:val="0"/>
                      <w:color w:val="FF0000"/>
                      <w:sz w:val="21"/>
                      <w:szCs w:val="21"/>
                    </w:rPr>
                    <w:t>炉渣</w:t>
                  </w:r>
                  <w:r>
                    <w:rPr>
                      <w:rFonts w:hint="eastAsia" w:ascii="Times New Roman" w:hAnsi="Times New Roman" w:eastAsia="宋体" w:cs="Times New Roman"/>
                      <w:b w:val="0"/>
                      <w:bCs w:val="0"/>
                      <w:color w:val="FF0000"/>
                      <w:sz w:val="21"/>
                      <w:szCs w:val="21"/>
                      <w:lang w:val="en-US" w:eastAsia="zh-CN"/>
                    </w:rPr>
                    <w:t>收集后，</w:t>
                  </w:r>
                  <w:r>
                    <w:rPr>
                      <w:rFonts w:hint="default" w:ascii="Times New Roman" w:hAnsi="Times New Roman" w:eastAsia="宋体" w:cs="Times New Roman"/>
                      <w:b w:val="0"/>
                      <w:bCs w:val="0"/>
                      <w:color w:val="FF0000"/>
                      <w:sz w:val="21"/>
                      <w:szCs w:val="21"/>
                    </w:rPr>
                    <w:t>定期委托周边村民清运至周边耕地做农肥</w:t>
                  </w:r>
                </w:p>
              </w:tc>
              <w:tc>
                <w:tcPr>
                  <w:tcW w:w="978" w:type="dxa"/>
                  <w:vAlign w:val="center"/>
                </w:tcPr>
                <w:p w14:paraId="597796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color w:val="FF0000"/>
                      <w:szCs w:val="21"/>
                      <w:lang w:val="en-US" w:eastAsia="zh-CN"/>
                    </w:rPr>
                  </w:pPr>
                  <w:r>
                    <w:rPr>
                      <w:rFonts w:hint="eastAsia"/>
                      <w:color w:val="FF0000"/>
                      <w:sz w:val="21"/>
                      <w:lang w:val="en-US" w:eastAsia="zh-CN"/>
                    </w:rPr>
                    <w:t>环评提出</w:t>
                  </w:r>
                </w:p>
              </w:tc>
            </w:tr>
            <w:tr w14:paraId="7314C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jc w:val="center"/>
              </w:trPr>
              <w:tc>
                <w:tcPr>
                  <w:tcW w:w="490" w:type="dxa"/>
                  <w:vMerge w:val="restart"/>
                  <w:vAlign w:val="center"/>
                </w:tcPr>
                <w:p w14:paraId="0F5F83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olor w:val="FF0000"/>
                      <w:szCs w:val="21"/>
                      <w:lang w:val="en-US" w:eastAsia="zh-CN"/>
                    </w:rPr>
                  </w:pPr>
                  <w:r>
                    <w:rPr>
                      <w:rFonts w:hint="eastAsia"/>
                      <w:color w:val="FF0000"/>
                      <w:szCs w:val="21"/>
                      <w:lang w:val="en-US" w:eastAsia="zh-CN"/>
                    </w:rPr>
                    <w:t>5</w:t>
                  </w:r>
                </w:p>
              </w:tc>
              <w:tc>
                <w:tcPr>
                  <w:tcW w:w="313" w:type="dxa"/>
                  <w:vMerge w:val="restart"/>
                  <w:vAlign w:val="center"/>
                </w:tcPr>
                <w:p w14:paraId="5103C70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eastAsia="宋体"/>
                      <w:color w:val="FF0000"/>
                      <w:sz w:val="21"/>
                      <w:lang w:val="en-US" w:eastAsia="zh-CN"/>
                    </w:rPr>
                  </w:pPr>
                  <w:r>
                    <w:rPr>
                      <w:rFonts w:hint="eastAsia"/>
                      <w:color w:val="FF0000"/>
                      <w:sz w:val="21"/>
                      <w:lang w:val="en-US" w:eastAsia="zh-CN"/>
                    </w:rPr>
                    <w:t>风险</w:t>
                  </w:r>
                </w:p>
              </w:tc>
              <w:tc>
                <w:tcPr>
                  <w:tcW w:w="1218" w:type="dxa"/>
                  <w:vAlign w:val="center"/>
                </w:tcPr>
                <w:p w14:paraId="6C4C66C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olor w:val="FF0000"/>
                      <w:sz w:val="21"/>
                    </w:rPr>
                  </w:pPr>
                  <w:r>
                    <w:rPr>
                      <w:rFonts w:hint="default"/>
                      <w:color w:val="FF0000"/>
                      <w:sz w:val="21"/>
                    </w:rPr>
                    <w:t>危险废物暂存间</w:t>
                  </w:r>
                </w:p>
              </w:tc>
              <w:tc>
                <w:tcPr>
                  <w:tcW w:w="1333" w:type="dxa"/>
                  <w:vAlign w:val="center"/>
                </w:tcPr>
                <w:p w14:paraId="14D69C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olor w:val="FF0000"/>
                      <w:szCs w:val="21"/>
                      <w:lang w:val="en-US" w:eastAsia="zh-CN"/>
                    </w:rPr>
                  </w:pPr>
                  <w:r>
                    <w:rPr>
                      <w:rFonts w:hint="eastAsia"/>
                      <w:color w:val="FF0000"/>
                      <w:szCs w:val="21"/>
                      <w:lang w:val="en-US" w:eastAsia="zh-CN"/>
                    </w:rPr>
                    <w:t>0.2</w:t>
                  </w:r>
                </w:p>
              </w:tc>
              <w:tc>
                <w:tcPr>
                  <w:tcW w:w="3045" w:type="dxa"/>
                  <w:vAlign w:val="center"/>
                </w:tcPr>
                <w:p w14:paraId="4A2E97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color w:val="FF0000"/>
                      <w:szCs w:val="21"/>
                      <w:lang w:val="en-US" w:eastAsia="zh-CN"/>
                    </w:rPr>
                  </w:pPr>
                  <w:r>
                    <w:rPr>
                      <w:rFonts w:hint="eastAsia"/>
                      <w:color w:val="FF0000"/>
                      <w:szCs w:val="21"/>
                      <w:lang w:val="en-US" w:eastAsia="zh-CN"/>
                    </w:rPr>
                    <w:t>按《危险废物贮存污染控制标准》（GB18597-2023）要求防渗和</w:t>
                  </w:r>
                  <w:r>
                    <w:rPr>
                      <w:rFonts w:hint="default"/>
                      <w:color w:val="FF0000"/>
                      <w:szCs w:val="21"/>
                    </w:rPr>
                    <w:t>规范</w:t>
                  </w:r>
                  <w:r>
                    <w:rPr>
                      <w:rFonts w:hint="eastAsia"/>
                      <w:color w:val="FF0000"/>
                      <w:szCs w:val="21"/>
                      <w:lang w:val="en-US" w:eastAsia="zh-CN"/>
                    </w:rPr>
                    <w:t>设置</w:t>
                  </w:r>
                  <w:r>
                    <w:rPr>
                      <w:rFonts w:hint="default"/>
                      <w:color w:val="FF0000"/>
                      <w:szCs w:val="21"/>
                    </w:rPr>
                    <w:t>警示标志。</w:t>
                  </w:r>
                </w:p>
              </w:tc>
              <w:tc>
                <w:tcPr>
                  <w:tcW w:w="978" w:type="dxa"/>
                  <w:vAlign w:val="center"/>
                </w:tcPr>
                <w:p w14:paraId="78E29B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color w:val="FF0000"/>
                      <w:szCs w:val="21"/>
                      <w:lang w:val="en-US" w:eastAsia="zh-CN"/>
                    </w:rPr>
                  </w:pPr>
                  <w:r>
                    <w:rPr>
                      <w:rFonts w:hint="eastAsia"/>
                      <w:color w:val="FF0000"/>
                      <w:sz w:val="21"/>
                      <w:lang w:val="en-US" w:eastAsia="zh-CN"/>
                    </w:rPr>
                    <w:t>环评提出</w:t>
                  </w:r>
                </w:p>
              </w:tc>
            </w:tr>
            <w:tr w14:paraId="5F2E2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jc w:val="center"/>
              </w:trPr>
              <w:tc>
                <w:tcPr>
                  <w:tcW w:w="490" w:type="dxa"/>
                  <w:vMerge w:val="continue"/>
                  <w:vAlign w:val="center"/>
                </w:tcPr>
                <w:p w14:paraId="35C416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olor w:val="FF0000"/>
                      <w:szCs w:val="21"/>
                      <w:lang w:val="en-US" w:eastAsia="zh-CN"/>
                    </w:rPr>
                  </w:pPr>
                </w:p>
              </w:tc>
              <w:tc>
                <w:tcPr>
                  <w:tcW w:w="313" w:type="dxa"/>
                  <w:vMerge w:val="continue"/>
                  <w:vAlign w:val="center"/>
                </w:tcPr>
                <w:p w14:paraId="16C0CDB6">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color w:val="FF0000"/>
                      <w:sz w:val="21"/>
                      <w:lang w:val="en-US" w:eastAsia="zh-CN"/>
                    </w:rPr>
                  </w:pPr>
                </w:p>
              </w:tc>
              <w:tc>
                <w:tcPr>
                  <w:tcW w:w="1218" w:type="dxa"/>
                  <w:vAlign w:val="center"/>
                </w:tcPr>
                <w:p w14:paraId="74B329E1">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olor w:val="FF0000"/>
                      <w:sz w:val="21"/>
                      <w:lang w:val="en-US" w:eastAsia="zh-CN"/>
                    </w:rPr>
                  </w:pPr>
                  <w:r>
                    <w:rPr>
                      <w:rFonts w:hint="eastAsia"/>
                      <w:color w:val="FF0000"/>
                      <w:sz w:val="21"/>
                      <w:lang w:val="en-US" w:eastAsia="zh-CN"/>
                    </w:rPr>
                    <w:t>木醋液、木焦油收集利用设施</w:t>
                  </w:r>
                </w:p>
              </w:tc>
              <w:tc>
                <w:tcPr>
                  <w:tcW w:w="1333" w:type="dxa"/>
                  <w:vAlign w:val="center"/>
                </w:tcPr>
                <w:p w14:paraId="1B009F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FF0000"/>
                      <w:szCs w:val="21"/>
                      <w:lang w:val="en-US" w:eastAsia="zh-CN"/>
                    </w:rPr>
                  </w:pPr>
                  <w:r>
                    <w:rPr>
                      <w:rFonts w:hint="eastAsia"/>
                      <w:color w:val="FF0000"/>
                      <w:szCs w:val="21"/>
                      <w:lang w:val="en-US" w:eastAsia="zh-CN"/>
                    </w:rPr>
                    <w:t>1.2</w:t>
                  </w:r>
                </w:p>
              </w:tc>
              <w:tc>
                <w:tcPr>
                  <w:tcW w:w="3045" w:type="dxa"/>
                  <w:vAlign w:val="center"/>
                </w:tcPr>
                <w:p w14:paraId="0A0F34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color w:val="FF0000"/>
                      <w:szCs w:val="21"/>
                      <w:lang w:val="en-US" w:eastAsia="zh-CN"/>
                    </w:rPr>
                  </w:pPr>
                  <w:r>
                    <w:rPr>
                      <w:rFonts w:hint="eastAsia"/>
                      <w:color w:val="FF0000"/>
                      <w:szCs w:val="21"/>
                      <w:lang w:val="en-US" w:eastAsia="zh-CN"/>
                    </w:rPr>
                    <w:t>收集设施根据危废间标准防渗</w:t>
                  </w:r>
                </w:p>
              </w:tc>
              <w:tc>
                <w:tcPr>
                  <w:tcW w:w="978" w:type="dxa"/>
                  <w:vAlign w:val="center"/>
                </w:tcPr>
                <w:p w14:paraId="648F96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color w:val="FF0000"/>
                      <w:szCs w:val="21"/>
                      <w:lang w:val="en-US" w:eastAsia="zh-CN"/>
                    </w:rPr>
                  </w:pPr>
                  <w:r>
                    <w:rPr>
                      <w:rFonts w:hint="eastAsia"/>
                      <w:color w:val="FF0000"/>
                      <w:sz w:val="21"/>
                      <w:lang w:val="en-US" w:eastAsia="zh-CN"/>
                    </w:rPr>
                    <w:t>环评提出</w:t>
                  </w:r>
                </w:p>
              </w:tc>
            </w:tr>
            <w:tr w14:paraId="6916C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2021" w:type="dxa"/>
                  <w:gridSpan w:val="3"/>
                  <w:vAlign w:val="center"/>
                </w:tcPr>
                <w:p w14:paraId="236A0F0C">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Cs/>
                      <w:color w:val="FF0000"/>
                      <w:sz w:val="21"/>
                    </w:rPr>
                  </w:pPr>
                  <w:r>
                    <w:rPr>
                      <w:rFonts w:hint="default"/>
                      <w:bCs/>
                      <w:color w:val="FF0000"/>
                      <w:sz w:val="21"/>
                    </w:rPr>
                    <w:t>合计</w:t>
                  </w:r>
                </w:p>
              </w:tc>
              <w:tc>
                <w:tcPr>
                  <w:tcW w:w="1333" w:type="dxa"/>
                  <w:vAlign w:val="center"/>
                </w:tcPr>
                <w:p w14:paraId="5FE3D7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bCs/>
                      <w:color w:val="FF0000"/>
                      <w:szCs w:val="21"/>
                      <w:lang w:val="en-US" w:eastAsia="zh-CN"/>
                    </w:rPr>
                  </w:pPr>
                  <w:r>
                    <w:rPr>
                      <w:rFonts w:hint="eastAsia"/>
                      <w:bCs/>
                      <w:color w:val="FF0000"/>
                      <w:szCs w:val="21"/>
                      <w:lang w:val="en-US" w:eastAsia="zh-CN"/>
                    </w:rPr>
                    <w:t>30.0</w:t>
                  </w:r>
                </w:p>
              </w:tc>
              <w:tc>
                <w:tcPr>
                  <w:tcW w:w="3045" w:type="dxa"/>
                  <w:vAlign w:val="center"/>
                </w:tcPr>
                <w:p w14:paraId="5C4494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Cs/>
                      <w:color w:val="FF0000"/>
                      <w:szCs w:val="21"/>
                    </w:rPr>
                  </w:pPr>
                  <w:r>
                    <w:rPr>
                      <w:rFonts w:hint="default"/>
                      <w:bCs/>
                      <w:color w:val="FF0000"/>
                      <w:szCs w:val="21"/>
                    </w:rPr>
                    <w:t>占总投资</w:t>
                  </w:r>
                  <w:r>
                    <w:rPr>
                      <w:rFonts w:hint="eastAsia"/>
                      <w:bCs/>
                      <w:color w:val="FF0000"/>
                      <w:szCs w:val="21"/>
                      <w:lang w:val="en-US" w:eastAsia="zh-CN"/>
                    </w:rPr>
                    <w:t>20</w:t>
                  </w:r>
                  <w:r>
                    <w:rPr>
                      <w:rFonts w:hint="default"/>
                      <w:bCs/>
                      <w:color w:val="FF0000"/>
                      <w:szCs w:val="21"/>
                    </w:rPr>
                    <w:t>%。</w:t>
                  </w:r>
                </w:p>
              </w:tc>
              <w:tc>
                <w:tcPr>
                  <w:tcW w:w="978" w:type="dxa"/>
                  <w:vAlign w:val="center"/>
                </w:tcPr>
                <w:p w14:paraId="225997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bCs/>
                      <w:color w:val="FF0000"/>
                      <w:szCs w:val="21"/>
                      <w:lang w:val="en-US" w:eastAsia="zh-CN"/>
                    </w:rPr>
                  </w:pPr>
                  <w:r>
                    <w:rPr>
                      <w:rFonts w:hint="eastAsia"/>
                      <w:bCs/>
                      <w:color w:val="FF0000"/>
                      <w:szCs w:val="21"/>
                      <w:lang w:val="en-US" w:eastAsia="zh-CN"/>
                    </w:rPr>
                    <w:t>/</w:t>
                  </w:r>
                </w:p>
              </w:tc>
            </w:tr>
          </w:tbl>
          <w:p w14:paraId="303493EB">
            <w:pPr>
              <w:bidi w:val="0"/>
              <w:spacing w:line="360" w:lineRule="auto"/>
              <w:rPr>
                <w:rFonts w:hint="default" w:ascii="Times New Roman" w:hAnsi="Times New Roman" w:eastAsia="宋体" w:cs="Times New Roman"/>
                <w:b/>
                <w:bCs/>
                <w:snapToGrid w:val="0"/>
                <w:color w:val="auto"/>
                <w:szCs w:val="32"/>
                <w:highlight w:val="none"/>
                <w:vertAlign w:val="baseline"/>
                <w:lang w:val="en-US" w:eastAsia="zh-CN"/>
              </w:rPr>
            </w:pPr>
          </w:p>
        </w:tc>
      </w:tr>
      <w:tr w14:paraId="1B3A6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7" w:hRule="atLeast"/>
          <w:jc w:val="center"/>
        </w:trPr>
        <w:tc>
          <w:tcPr>
            <w:tcW w:w="609" w:type="dxa"/>
            <w:vAlign w:val="center"/>
          </w:tcPr>
          <w:p w14:paraId="4179A4A4">
            <w:pPr>
              <w:rPr>
                <w:rFonts w:hint="eastAsia"/>
                <w:color w:val="auto"/>
                <w:sz w:val="24"/>
                <w:szCs w:val="24"/>
                <w:lang w:eastAsia="zh-CN"/>
              </w:rPr>
            </w:pPr>
            <w:r>
              <w:rPr>
                <w:rFonts w:hint="eastAsia"/>
                <w:color w:val="auto"/>
                <w:sz w:val="24"/>
                <w:szCs w:val="24"/>
                <w:lang w:eastAsia="zh-CN"/>
              </w:rPr>
              <w:tab/>
            </w:r>
            <w:r>
              <w:rPr>
                <w:rFonts w:hint="eastAsia"/>
                <w:color w:val="auto"/>
                <w:sz w:val="24"/>
                <w:szCs w:val="24"/>
                <w:lang w:eastAsia="zh-CN"/>
              </w:rPr>
              <w:t>工艺流程和产排污环节</w:t>
            </w:r>
          </w:p>
        </w:tc>
        <w:tc>
          <w:tcPr>
            <w:tcW w:w="7630" w:type="dxa"/>
            <w:gridSpan w:val="2"/>
            <w:vAlign w:val="top"/>
          </w:tcPr>
          <w:p w14:paraId="61F1690C">
            <w:pPr>
              <w:pStyle w:val="11"/>
              <w:spacing w:line="360" w:lineRule="auto"/>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工艺流程及产污环节简述</w:t>
            </w:r>
          </w:p>
          <w:p w14:paraId="5AC058E3">
            <w:pPr>
              <w:spacing w:line="360" w:lineRule="auto"/>
              <w:ind w:firstLine="480" w:firstLineChars="200"/>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b w:val="0"/>
                <w:bCs/>
                <w:color w:val="FF0000"/>
                <w:sz w:val="24"/>
                <w:szCs w:val="24"/>
                <w:highlight w:val="none"/>
                <w:lang w:val="en-US" w:eastAsia="zh-CN"/>
              </w:rPr>
              <w:t>根据建设单位提供资料，</w:t>
            </w:r>
            <w:r>
              <w:rPr>
                <w:rFonts w:hint="eastAsia" w:cs="Times New Roman"/>
                <w:b w:val="0"/>
                <w:bCs/>
                <w:color w:val="FF0000"/>
                <w:sz w:val="24"/>
                <w:szCs w:val="24"/>
                <w:highlight w:val="none"/>
                <w:lang w:val="en-US" w:eastAsia="zh-CN"/>
              </w:rPr>
              <w:t>项目所有生产工段 24小时生产运行</w:t>
            </w:r>
            <w:r>
              <w:rPr>
                <w:rFonts w:hint="default" w:ascii="Times New Roman" w:hAnsi="Times New Roman" w:eastAsia="宋体" w:cs="Times New Roman"/>
                <w:b w:val="0"/>
                <w:bCs/>
                <w:color w:val="FF0000"/>
                <w:sz w:val="24"/>
                <w:szCs w:val="24"/>
                <w:highlight w:val="none"/>
                <w:lang w:val="en-US" w:eastAsia="zh-CN"/>
              </w:rPr>
              <w:t>，</w:t>
            </w:r>
            <w:r>
              <w:rPr>
                <w:rFonts w:hint="eastAsia" w:cs="Times New Roman"/>
                <w:b w:val="0"/>
                <w:bCs/>
                <w:color w:val="FF0000"/>
                <w:sz w:val="24"/>
                <w:szCs w:val="24"/>
                <w:highlight w:val="none"/>
                <w:lang w:val="en-US" w:eastAsia="zh-CN"/>
              </w:rPr>
              <w:t>制棒、炭化烟气引入</w:t>
            </w:r>
            <w:r>
              <w:rPr>
                <w:rFonts w:hint="default" w:ascii="Times New Roman" w:hAnsi="Times New Roman" w:eastAsia="宋体" w:cs="Times New Roman"/>
                <w:b w:val="0"/>
                <w:bCs/>
                <w:color w:val="FF0000"/>
                <w:sz w:val="24"/>
                <w:szCs w:val="24"/>
                <w:highlight w:val="none"/>
                <w:lang w:val="en-US" w:eastAsia="zh-CN"/>
              </w:rPr>
              <w:t>热风炉</w:t>
            </w:r>
            <w:r>
              <w:rPr>
                <w:rFonts w:hint="default" w:ascii="Times New Roman" w:hAnsi="Times New Roman" w:eastAsia="宋体" w:cs="Times New Roman"/>
                <w:color w:val="FF0000"/>
                <w:sz w:val="24"/>
                <w:szCs w:val="24"/>
                <w:highlight w:val="none"/>
                <w:lang w:eastAsia="zh-CN"/>
              </w:rPr>
              <w:t>进行</w:t>
            </w:r>
            <w:r>
              <w:rPr>
                <w:rFonts w:hint="default" w:ascii="Times New Roman" w:hAnsi="Times New Roman" w:eastAsia="宋体" w:cs="Times New Roman"/>
                <w:color w:val="FF0000"/>
                <w:sz w:val="24"/>
                <w:szCs w:val="24"/>
                <w:highlight w:val="none"/>
              </w:rPr>
              <w:t>燃烧处理</w:t>
            </w:r>
            <w:r>
              <w:rPr>
                <w:rFonts w:hint="eastAsia" w:cs="Times New Roman"/>
                <w:color w:val="FF0000"/>
                <w:sz w:val="24"/>
                <w:szCs w:val="24"/>
                <w:highlight w:val="none"/>
                <w:lang w:val="en-US" w:eastAsia="zh-CN"/>
              </w:rPr>
              <w:t>同烘干废气一并处理外排</w:t>
            </w:r>
            <w:r>
              <w:rPr>
                <w:rFonts w:hint="eastAsia" w:cs="Times New Roman"/>
                <w:color w:val="FF0000"/>
                <w:sz w:val="24"/>
                <w:szCs w:val="24"/>
                <w:highlight w:val="none"/>
                <w:lang w:eastAsia="zh-CN"/>
              </w:rPr>
              <w:t>；</w:t>
            </w:r>
            <w:r>
              <w:rPr>
                <w:rFonts w:hint="default" w:ascii="Times New Roman" w:hAnsi="Times New Roman" w:eastAsia="宋体" w:cs="Times New Roman"/>
                <w:color w:val="FF0000"/>
                <w:sz w:val="24"/>
                <w:szCs w:val="24"/>
                <w:highlight w:val="none"/>
                <w:lang w:eastAsia="zh-CN"/>
              </w:rPr>
              <w:t>项目具体工艺为将</w:t>
            </w:r>
            <w:r>
              <w:rPr>
                <w:rFonts w:hint="default" w:ascii="Times New Roman" w:hAnsi="Times New Roman" w:eastAsia="宋体" w:cs="Times New Roman"/>
                <w:color w:val="FF0000"/>
                <w:sz w:val="24"/>
                <w:szCs w:val="24"/>
                <w:highlight w:val="none"/>
                <w:lang w:val="en-US" w:eastAsia="zh-CN"/>
              </w:rPr>
              <w:t>木屑、刨花及破碎后的</w:t>
            </w:r>
            <w:r>
              <w:rPr>
                <w:rFonts w:hint="eastAsia" w:cs="Times New Roman"/>
                <w:color w:val="FF0000"/>
                <w:sz w:val="24"/>
                <w:szCs w:val="24"/>
                <w:highlight w:val="none"/>
                <w:lang w:val="en-US" w:eastAsia="zh-CN"/>
              </w:rPr>
              <w:t>农林废弃物</w:t>
            </w:r>
            <w:r>
              <w:rPr>
                <w:rFonts w:hint="default" w:ascii="Times New Roman" w:hAnsi="Times New Roman" w:eastAsia="宋体" w:cs="Times New Roman"/>
                <w:color w:val="FF0000"/>
                <w:sz w:val="24"/>
                <w:szCs w:val="24"/>
                <w:highlight w:val="none"/>
                <w:lang w:eastAsia="zh-CN"/>
              </w:rPr>
              <w:t>通过筛分，烘干，密闭</w:t>
            </w:r>
            <w:r>
              <w:rPr>
                <w:rFonts w:hint="eastAsia" w:cs="Times New Roman"/>
                <w:color w:val="FF0000"/>
                <w:sz w:val="24"/>
                <w:szCs w:val="24"/>
                <w:highlight w:val="none"/>
                <w:lang w:eastAsia="zh-CN"/>
              </w:rPr>
              <w:t>粉</w:t>
            </w:r>
            <w:r>
              <w:rPr>
                <w:rFonts w:hint="default" w:ascii="Times New Roman" w:hAnsi="Times New Roman" w:eastAsia="宋体" w:cs="Times New Roman"/>
                <w:color w:val="FF0000"/>
                <w:sz w:val="24"/>
                <w:szCs w:val="24"/>
                <w:highlight w:val="none"/>
                <w:lang w:eastAsia="zh-CN"/>
              </w:rPr>
              <w:t>碎后经旋风分离除尘器送至干料仓，进入制棒区制棒后进行炭化，炭化后进行</w:t>
            </w:r>
            <w:r>
              <w:rPr>
                <w:rFonts w:hint="eastAsia" w:cs="Times New Roman"/>
                <w:color w:val="FF0000"/>
                <w:sz w:val="24"/>
                <w:szCs w:val="24"/>
                <w:highlight w:val="none"/>
                <w:lang w:val="en-US" w:eastAsia="zh-CN"/>
              </w:rPr>
              <w:t>闭</w:t>
            </w:r>
            <w:r>
              <w:rPr>
                <w:rFonts w:hint="default" w:ascii="Times New Roman" w:hAnsi="Times New Roman" w:eastAsia="宋体" w:cs="Times New Roman"/>
                <w:color w:val="FF0000"/>
                <w:sz w:val="24"/>
                <w:szCs w:val="24"/>
                <w:highlight w:val="none"/>
                <w:lang w:eastAsia="zh-CN"/>
              </w:rPr>
              <w:t>火降温，</w:t>
            </w:r>
            <w:r>
              <w:rPr>
                <w:rFonts w:hint="default" w:ascii="Times New Roman" w:hAnsi="Times New Roman" w:eastAsia="宋体" w:cs="Times New Roman"/>
                <w:color w:val="FF0000"/>
                <w:sz w:val="24"/>
                <w:szCs w:val="24"/>
                <w:highlight w:val="none"/>
              </w:rPr>
              <w:t>后运至冷却区暂存，采用人工装箱打包外售；其生产工艺流程及产污环节见图2-1。</w:t>
            </w:r>
          </w:p>
          <w:p w14:paraId="33237B44">
            <w:pPr>
              <w:numPr>
                <w:ilvl w:val="0"/>
                <w:numId w:val="6"/>
              </w:numPr>
              <w:spacing w:line="360" w:lineRule="auto"/>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工艺流程及排污节点图</w:t>
            </w:r>
          </w:p>
          <w:p w14:paraId="5E4BE5EC">
            <w:pPr>
              <w:numPr>
                <w:ilvl w:val="0"/>
                <w:numId w:val="0"/>
              </w:numPr>
              <w:spacing w:line="360" w:lineRule="auto"/>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drawing>
                <wp:inline distT="0" distB="0" distL="114300" distR="114300">
                  <wp:extent cx="4701540" cy="2776220"/>
                  <wp:effectExtent l="0" t="0" r="3810" b="5080"/>
                  <wp:docPr id="2" name="图片 2" descr="芒市三羊公司机制炭生产工艺流程图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芒市三羊公司机制炭生产工艺流程图副本"/>
                          <pic:cNvPicPr>
                            <a:picLocks noChangeAspect="1"/>
                          </pic:cNvPicPr>
                        </pic:nvPicPr>
                        <pic:blipFill>
                          <a:blip r:embed="rId15"/>
                          <a:stretch>
                            <a:fillRect/>
                          </a:stretch>
                        </pic:blipFill>
                        <pic:spPr>
                          <a:xfrm>
                            <a:off x="0" y="0"/>
                            <a:ext cx="4701540" cy="2776220"/>
                          </a:xfrm>
                          <a:prstGeom prst="rect">
                            <a:avLst/>
                          </a:prstGeom>
                        </pic:spPr>
                      </pic:pic>
                    </a:graphicData>
                  </a:graphic>
                </wp:inline>
              </w:drawing>
            </w:r>
          </w:p>
          <w:p w14:paraId="7F522F46">
            <w:pPr>
              <w:widowControl w:val="0"/>
              <w:numPr>
                <w:ilvl w:val="0"/>
                <w:numId w:val="0"/>
              </w:numPr>
              <w:tabs>
                <w:tab w:val="left" w:pos="312"/>
              </w:tabs>
              <w:spacing w:line="360" w:lineRule="auto"/>
              <w:jc w:val="center"/>
              <w:rPr>
                <w:rFonts w:hint="default" w:ascii="Times New Roman" w:hAnsi="Times New Roman" w:eastAsia="宋体" w:cs="Times New Roman"/>
                <w:b/>
                <w:bCs/>
                <w:color w:val="FF0000"/>
                <w:sz w:val="24"/>
                <w:szCs w:val="24"/>
                <w:highlight w:val="none"/>
                <w:lang w:val="en-US" w:eastAsia="zh-CN"/>
              </w:rPr>
            </w:pPr>
            <w:r>
              <w:rPr>
                <w:rFonts w:hint="eastAsia" w:cs="Times New Roman"/>
                <w:b/>
                <w:bCs/>
                <w:color w:val="FF0000"/>
                <w:sz w:val="24"/>
                <w:szCs w:val="24"/>
                <w:highlight w:val="none"/>
                <w:lang w:val="en-US" w:eastAsia="zh-CN"/>
              </w:rPr>
              <w:t>图2-1工艺流程及产排污环节图</w:t>
            </w:r>
          </w:p>
          <w:p w14:paraId="630BE918">
            <w:pPr>
              <w:pStyle w:val="5"/>
              <w:widowControl w:val="0"/>
              <w:numPr>
                <w:ilvl w:val="0"/>
                <w:numId w:val="6"/>
              </w:numPr>
              <w:spacing w:line="360" w:lineRule="auto"/>
              <w:ind w:left="0" w:leftChars="0" w:firstLine="0" w:firstLineChars="0"/>
              <w:jc w:val="both"/>
              <w:outlineLvl w:val="3"/>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工艺流程简述</w:t>
            </w:r>
          </w:p>
          <w:p w14:paraId="19621657">
            <w:pPr>
              <w:bidi w:val="0"/>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（1）原料进厂</w:t>
            </w:r>
          </w:p>
          <w:p w14:paraId="31EA82A7">
            <w:p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项目</w:t>
            </w:r>
            <w:r>
              <w:rPr>
                <w:rFonts w:hint="eastAsia" w:cs="Times New Roman"/>
                <w:color w:val="auto"/>
                <w:sz w:val="24"/>
                <w:szCs w:val="24"/>
                <w:lang w:val="en-US" w:eastAsia="zh-CN"/>
              </w:rPr>
              <w:t>机制炭</w:t>
            </w:r>
            <w:r>
              <w:rPr>
                <w:rFonts w:hint="default" w:ascii="Times New Roman" w:hAnsi="Times New Roman" w:eastAsia="宋体" w:cs="Times New Roman"/>
                <w:color w:val="auto"/>
                <w:sz w:val="24"/>
                <w:szCs w:val="24"/>
              </w:rPr>
              <w:t>生产的原</w:t>
            </w:r>
            <w:r>
              <w:rPr>
                <w:rFonts w:hint="default" w:ascii="Times New Roman" w:hAnsi="Times New Roman" w:cs="Times New Roman" w:eastAsiaTheme="minorEastAsia"/>
                <w:bCs/>
                <w:color w:val="auto"/>
                <w:sz w:val="24"/>
                <w:szCs w:val="24"/>
                <w:highlight w:val="none"/>
                <w:lang w:val="en-US" w:eastAsia="zh-CN"/>
              </w:rPr>
              <w:t>料</w:t>
            </w:r>
            <w:r>
              <w:rPr>
                <w:rFonts w:hint="eastAsia" w:cs="Times New Roman" w:eastAsiaTheme="minorEastAsia"/>
                <w:bCs/>
                <w:color w:val="auto"/>
                <w:sz w:val="24"/>
                <w:szCs w:val="24"/>
                <w:highlight w:val="none"/>
                <w:lang w:val="en-US" w:eastAsia="zh-CN"/>
              </w:rPr>
              <w:t>为</w:t>
            </w:r>
            <w:r>
              <w:rPr>
                <w:rFonts w:hint="eastAsia" w:ascii="Times New Roman" w:hAnsi="Times New Roman" w:eastAsia="宋体" w:cs="Times New Roman"/>
                <w:color w:val="auto"/>
                <w:sz w:val="24"/>
                <w:szCs w:val="24"/>
                <w:highlight w:val="none"/>
                <w:vertAlign w:val="baseline"/>
                <w:lang w:val="en-US" w:eastAsia="zh-CN"/>
              </w:rPr>
              <w:t>木屑、刨花及破碎后的作物</w:t>
            </w:r>
            <w:r>
              <w:rPr>
                <w:rFonts w:hint="default" w:ascii="Times New Roman" w:hAnsi="Times New Roman" w:eastAsia="宋体" w:cs="Times New Roman"/>
                <w:color w:val="auto"/>
                <w:sz w:val="24"/>
                <w:szCs w:val="24"/>
                <w:highlight w:val="none"/>
                <w:vertAlign w:val="baseline"/>
                <w:lang w:val="en-US" w:eastAsia="zh-CN"/>
              </w:rPr>
              <w:t>废弃</w:t>
            </w:r>
            <w:r>
              <w:rPr>
                <w:rFonts w:hint="eastAsia" w:eastAsia="宋体"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rPr>
              <w:t>原料运至项目原料堆场暂存，原料堆场为一层钢架结构，三面围墙围挡，此过程会产生少量粉尘。</w:t>
            </w:r>
          </w:p>
          <w:p w14:paraId="5B7B4C8F">
            <w:pPr>
              <w:numPr>
                <w:ilvl w:val="0"/>
                <w:numId w:val="0"/>
              </w:numPr>
              <w:bidi w:val="0"/>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kern w:val="2"/>
                <w:sz w:val="24"/>
                <w:szCs w:val="24"/>
                <w:lang w:val="en-US" w:eastAsia="zh-CN" w:bidi="ar-SA"/>
              </w:rPr>
              <w:t>（</w:t>
            </w:r>
            <w:r>
              <w:rPr>
                <w:rFonts w:hint="eastAsia" w:ascii="Times New Roman" w:hAnsi="Times New Roman" w:eastAsia="宋体" w:cs="Times New Roman"/>
                <w:b/>
                <w:bCs/>
                <w:color w:val="auto"/>
                <w:kern w:val="2"/>
                <w:sz w:val="24"/>
                <w:szCs w:val="24"/>
                <w:lang w:val="en-US" w:eastAsia="zh-CN" w:bidi="ar-SA"/>
              </w:rPr>
              <w:t>2</w:t>
            </w:r>
            <w:r>
              <w:rPr>
                <w:rFonts w:hint="default" w:ascii="Times New Roman" w:hAnsi="Times New Roman" w:eastAsia="宋体" w:cs="Times New Roman"/>
                <w:b/>
                <w:bCs/>
                <w:color w:val="auto"/>
                <w:kern w:val="2"/>
                <w:sz w:val="24"/>
                <w:szCs w:val="24"/>
                <w:lang w:val="en-US" w:eastAsia="zh-CN" w:bidi="ar-SA"/>
              </w:rPr>
              <w:t>）</w:t>
            </w:r>
            <w:r>
              <w:rPr>
                <w:rFonts w:hint="eastAsia" w:ascii="Times New Roman" w:hAnsi="Times New Roman" w:eastAsia="宋体" w:cs="Times New Roman"/>
                <w:b/>
                <w:bCs/>
                <w:color w:val="auto"/>
                <w:sz w:val="24"/>
                <w:szCs w:val="24"/>
                <w:lang w:val="en-US" w:eastAsia="zh-CN"/>
              </w:rPr>
              <w:t>筛分</w:t>
            </w:r>
          </w:p>
          <w:p w14:paraId="3152060D">
            <w:pPr>
              <w:spacing w:line="360" w:lineRule="auto"/>
              <w:ind w:firstLine="480" w:firstLineChars="200"/>
              <w:rPr>
                <w:rFonts w:hint="eastAsia" w:eastAsia="宋体"/>
                <w:color w:val="auto"/>
                <w:sz w:val="24"/>
                <w:lang w:eastAsia="zh-CN"/>
              </w:rPr>
            </w:pPr>
            <w:r>
              <w:rPr>
                <w:rFonts w:hint="eastAsia"/>
                <w:color w:val="auto"/>
                <w:sz w:val="24"/>
              </w:rPr>
              <w:t>采用地笼将物料绞至滚筒筛进行筛分，筛出部分大料和杂质，该工段主要产生粉尘、噪声、筛分固废</w:t>
            </w:r>
            <w:r>
              <w:rPr>
                <w:rFonts w:hint="eastAsia"/>
                <w:color w:val="auto"/>
                <w:sz w:val="24"/>
                <w:lang w:eastAsia="zh-CN"/>
              </w:rPr>
              <w:t>。</w:t>
            </w:r>
          </w:p>
          <w:p w14:paraId="7BFB1180">
            <w:pPr>
              <w:bidi w:val="0"/>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）烘干</w:t>
            </w:r>
          </w:p>
          <w:p w14:paraId="55F88735">
            <w:p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进厂原料含水率约为20%左右，因此需要对原料进行干燥处理，烘干温度为50-60℃，烘干机主要采用热风炉提供热风对原料进行烘干，烘干后的原料和所产生的水汽被风机吸走，经过管道被送入旋风分离器中，进行水汽和干料的分离。经过烘干的</w:t>
            </w:r>
            <w:r>
              <w:rPr>
                <w:rFonts w:hint="eastAsia" w:cs="Times New Roman"/>
                <w:color w:val="auto"/>
                <w:sz w:val="24"/>
                <w:szCs w:val="24"/>
                <w:lang w:val="en-US" w:eastAsia="zh-CN"/>
              </w:rPr>
              <w:t>原料</w:t>
            </w:r>
            <w:r>
              <w:rPr>
                <w:rFonts w:hint="default" w:ascii="Times New Roman" w:hAnsi="Times New Roman" w:eastAsia="宋体" w:cs="Times New Roman"/>
                <w:color w:val="auto"/>
                <w:sz w:val="24"/>
                <w:szCs w:val="24"/>
                <w:lang w:val="en-US" w:eastAsia="zh-CN"/>
              </w:rPr>
              <w:t>湿度大约在（4%-8%），在旋风分离器中通过重力作用，干木屑从潮湿的空气被分离出来落入</w:t>
            </w:r>
            <w:r>
              <w:rPr>
                <w:rFonts w:hint="eastAsia" w:cs="Times New Roman"/>
                <w:color w:val="auto"/>
                <w:sz w:val="24"/>
                <w:szCs w:val="24"/>
                <w:lang w:val="en-US" w:eastAsia="zh-CN"/>
              </w:rPr>
              <w:t>料仓</w:t>
            </w:r>
            <w:r>
              <w:rPr>
                <w:rFonts w:hint="default" w:ascii="Times New Roman" w:hAnsi="Times New Roman" w:eastAsia="宋体" w:cs="Times New Roman"/>
                <w:color w:val="auto"/>
                <w:sz w:val="24"/>
                <w:szCs w:val="24"/>
                <w:lang w:val="en-US" w:eastAsia="zh-CN"/>
              </w:rPr>
              <w:t>。</w:t>
            </w:r>
          </w:p>
          <w:p w14:paraId="5FB129E0">
            <w:p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烘干过程的污染物为废气、噪声，产生的废气主要为燃烧废气及物料干燥水蒸气的混合气。</w:t>
            </w:r>
          </w:p>
          <w:p w14:paraId="34A25AD5">
            <w:pPr>
              <w:numPr>
                <w:ilvl w:val="0"/>
                <w:numId w:val="7"/>
              </w:numPr>
              <w:bidi w:val="0"/>
              <w:spacing w:line="360" w:lineRule="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粉碎</w:t>
            </w:r>
          </w:p>
          <w:p w14:paraId="636B75B0">
            <w:pPr>
              <w:spacing w:line="360" w:lineRule="auto"/>
              <w:ind w:firstLine="480" w:firstLineChars="200"/>
              <w:rPr>
                <w:rFonts w:hint="default" w:ascii="Times New Roman" w:hAnsi="Times New Roman" w:eastAsia="宋体" w:cs="Times New Roman"/>
                <w:b/>
                <w:bCs/>
                <w:color w:val="FF0000"/>
                <w:sz w:val="24"/>
                <w:szCs w:val="24"/>
                <w:highlight w:val="none"/>
                <w:lang w:val="en-US" w:eastAsia="zh-CN"/>
              </w:rPr>
            </w:pPr>
            <w:r>
              <w:rPr>
                <w:rFonts w:hint="eastAsia"/>
                <w:color w:val="FF0000"/>
                <w:sz w:val="24"/>
                <w:highlight w:val="none"/>
              </w:rPr>
              <w:t>烘干后的物料经过密闭</w:t>
            </w:r>
            <w:r>
              <w:rPr>
                <w:rFonts w:hint="eastAsia"/>
                <w:color w:val="FF0000"/>
                <w:sz w:val="24"/>
                <w:highlight w:val="none"/>
                <w:lang w:val="en-US" w:eastAsia="zh-CN"/>
              </w:rPr>
              <w:t>式的</w:t>
            </w:r>
            <w:r>
              <w:rPr>
                <w:rFonts w:hint="eastAsia"/>
                <w:color w:val="FF0000"/>
                <w:sz w:val="24"/>
                <w:highlight w:val="none"/>
                <w:lang w:eastAsia="zh-CN"/>
              </w:rPr>
              <w:t>粉</w:t>
            </w:r>
            <w:r>
              <w:rPr>
                <w:rFonts w:hint="eastAsia"/>
                <w:color w:val="FF0000"/>
                <w:sz w:val="24"/>
                <w:highlight w:val="none"/>
              </w:rPr>
              <w:t>碎机</w:t>
            </w:r>
            <w:r>
              <w:rPr>
                <w:rFonts w:hint="eastAsia"/>
                <w:color w:val="FF0000"/>
                <w:sz w:val="24"/>
                <w:highlight w:val="none"/>
                <w:lang w:val="en-US" w:eastAsia="zh-CN"/>
              </w:rPr>
              <w:t>进行密闭破碎</w:t>
            </w:r>
            <w:r>
              <w:rPr>
                <w:rFonts w:hint="eastAsia"/>
                <w:color w:val="FF0000"/>
                <w:sz w:val="24"/>
                <w:highlight w:val="none"/>
              </w:rPr>
              <w:t>，小料直接通过，稍大物料密闭破碎后通过，密闭</w:t>
            </w:r>
            <w:r>
              <w:rPr>
                <w:rFonts w:hint="eastAsia"/>
                <w:color w:val="FF0000"/>
                <w:sz w:val="24"/>
                <w:highlight w:val="none"/>
                <w:lang w:eastAsia="zh-CN"/>
              </w:rPr>
              <w:t>粉</w:t>
            </w:r>
            <w:r>
              <w:rPr>
                <w:rFonts w:hint="eastAsia"/>
                <w:color w:val="FF0000"/>
                <w:sz w:val="24"/>
                <w:highlight w:val="none"/>
              </w:rPr>
              <w:t>碎产生的少量粉尘同物料一并进入下一道工序。经粉碎后的物料经</w:t>
            </w:r>
            <w:r>
              <w:rPr>
                <w:rFonts w:hint="eastAsia"/>
                <w:color w:val="FF0000"/>
                <w:sz w:val="24"/>
                <w:highlight w:val="none"/>
                <w:lang w:val="en-US" w:eastAsia="zh-CN"/>
              </w:rPr>
              <w:t>3</w:t>
            </w:r>
            <w:r>
              <w:rPr>
                <w:rFonts w:hint="eastAsia"/>
                <w:color w:val="FF0000"/>
                <w:sz w:val="24"/>
                <w:highlight w:val="none"/>
              </w:rPr>
              <w:t>套旋风</w:t>
            </w:r>
            <w:r>
              <w:rPr>
                <w:rFonts w:hint="eastAsia"/>
                <w:color w:val="FF0000"/>
                <w:sz w:val="24"/>
                <w:highlight w:val="none"/>
                <w:lang w:eastAsia="zh-CN"/>
              </w:rPr>
              <w:t>分离除尘器、</w:t>
            </w:r>
            <w:r>
              <w:rPr>
                <w:rFonts w:hint="eastAsia"/>
                <w:color w:val="FF0000"/>
                <w:sz w:val="24"/>
                <w:highlight w:val="none"/>
              </w:rPr>
              <w:t>绞龙将物料输入密骨料仓暂存，该工段主要产生粉尘、噪声；此过程均在密闭管道和料仓内进行，基本无粉尘外排。</w:t>
            </w:r>
          </w:p>
          <w:p w14:paraId="0149CD2C">
            <w:pPr>
              <w:bidi w:val="0"/>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）制棒：</w:t>
            </w:r>
          </w:p>
          <w:p w14:paraId="6EFEE777">
            <w:p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干燥后的物料暂存于密闭料仓内，制棒工序是在高温、高压条件下通过制棒机将烘干完的木屑制成棒状固体燃料。其工作原理是利用木屑固有的特性，将干燥后的木屑输入制棒机，在电机的带动下，推进器高速旋转，用自身的螺旋将原料带入成型筒，成型筒使用电通过加热圈加温，使原料中的木质素成分软化，粘合能力增强，再加之推进器头道螺旋的高强度挤压，最终得到带中心孔的半成品—薪棒，本项目成型过程中不采用粘合剂，密封进行。制棒过程主要是机械过程，但是会产生少量制棒废气（以水蒸气为主）、噪声</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不合格产品，制棒烟气通过集气罩（集气效率约95%，制棒为机械挤压，无燃烧，产生的烟尘量纳入炭化烟气进行计算）管道接入热风炉，制棒废气同烘干废气一并处置。</w:t>
            </w:r>
          </w:p>
          <w:p w14:paraId="47596EF9">
            <w:pPr>
              <w:bidi w:val="0"/>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lang w:val="en-US" w:eastAsia="zh-CN"/>
              </w:rPr>
              <w:t>）碳化：</w:t>
            </w:r>
          </w:p>
          <w:p w14:paraId="78653103">
            <w:p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将制棒成型机成型后的半成品薪棒转入到炭化窑内在缺氧的条件下干馏成木炭，密闭炭化窑顶端设置可封闭的检查孔，便于炭化期间进行检查，掌握炭化情况；薪棒在炭化炉内的变化过程为：采用机制炭点火自然→加热脱水干燥→高温分解→材料表面炭化烟气燃烧→分解加剧→黑色物质木炭+炭化烟气（木煤气）+木焦油、木醋液；炭化过程一般可以将其分为3个阶段：</w:t>
            </w:r>
          </w:p>
          <w:p w14:paraId="4A697DEC">
            <w:p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①干燥阶段：点燃成型木屑棒，从点火开始，至炉温上升到160℃，这时炭棒所含的水分主要依靠外加热量和本身燃烧所产生的热量进行蒸发。机制棒的化学组成几乎没变。 </w:t>
            </w:r>
          </w:p>
          <w:p w14:paraId="107E89AD">
            <w:p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②炭化初始阶段：这个阶段主要靠炭棒自身的燃烧产生热量，使窑温上升到160～280℃之间。此时，木质材料发生热分解反应，其组成开始发生了变化。其中不稳定组成，如半纤维素发生分解生成CO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、CO等物质。</w:t>
            </w:r>
          </w:p>
          <w:p w14:paraId="3304DF9C">
            <w:p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③全面炭化阶段：在这个阶段中，木质材料急剧地进行热分解，同时生成了大量的木焦油、木醋液、木煤气等可燃性气体。</w:t>
            </w:r>
          </w:p>
          <w:p w14:paraId="5AFE7289">
            <w:p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炭化窑木焦油、木醋液、木煤气烟气回收利用可行性分析：根据《生物质热解气化原理与技术》（化学工业出版社 2013年 4月出版）中典型的热解产物试验数据，木材热解产物的大致产率，其产物质量分数对应于绝干木材：木炭33~38%，澄清木醋液和沉积木焦油 45~50%，木煤气16~ 18%。另外损耗约为0.3~ 1.0%。在澄清木醋液和木焦油中水分约占1/2。其中木焦油沸点200-220℃，木醋液为低沸点物质，炭化热解过程温度一般为 300-650℃ ，因此炭化过程木焦油、木醋液等以气态形式存在，每座炭化窑产生的炭化废气通过高温气体通过密闭管道进入烘干机作为烘干的能量，整套系统气体的输送在密闭的管道内通过负压进行输送，该部分高温气体无需进行燃烧即可用于烘干供热。炭化废气中绝大部分气体可通过密闭管道进入热风炉做燃料，仅有少量炭化废气在日常检查、取炭时以无组织形式排放。</w:t>
            </w:r>
          </w:p>
          <w:p w14:paraId="0DF907F0">
            <w:p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木煤气中的可燃性组分有 CO、CH</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、C</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 xml:space="preserve"> 等，可燃性组分占木煤气总质量数的 34～37%，其中 CO约占 25% ，CH</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约占 9%，C</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约占1.5% ，H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约占 0.2%，其余大都是N</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和 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 xml:space="preserve">气体，占木煤气总质量数的 60%以上，是一种优质煤气。  </w:t>
            </w:r>
          </w:p>
          <w:p w14:paraId="318472A7">
            <w:p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木焦油是一种含烃类、酸类、酯类的复杂混合物，沸点为200~220℃；木醋液是以醋酸、水为主要成分的PH=3程度的酸性混合物，为低沸点物质，炭化热解过程温度一般为280~400℃，因此碳化过程木焦油、木醋液等以气态形式存在，炭 化废气经收集后送热风炉燃烧，其化学反应式：CnHnOn+O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O，其生成物为CO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和H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O。由于竹木在生长的过程中进行光合作用，将空气中的CO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固定于竹木体内，所以高温氧化排放的CO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等于竹木固定的CO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，而水蒸</w:t>
            </w:r>
            <w:r>
              <w:rPr>
                <w:rFonts w:hint="eastAsia" w:cs="Times New Roman"/>
                <w:color w:val="auto"/>
                <w:sz w:val="24"/>
                <w:szCs w:val="24"/>
                <w:lang w:val="en-US" w:eastAsia="zh-CN"/>
              </w:rPr>
              <w:t>气</w:t>
            </w:r>
            <w:r>
              <w:rPr>
                <w:rFonts w:hint="default" w:ascii="Times New Roman" w:hAnsi="Times New Roman" w:eastAsia="宋体" w:cs="Times New Roman"/>
                <w:color w:val="auto"/>
                <w:sz w:val="24"/>
                <w:szCs w:val="24"/>
              </w:rPr>
              <w:t xml:space="preserve">对环境没有任何污染，所以炭化烟气高温氧化后，其排放的尾气对环境影响较小。 </w:t>
            </w:r>
          </w:p>
          <w:p w14:paraId="2C196495">
            <w:pPr>
              <w:bidi w:val="0"/>
              <w:spacing w:line="360" w:lineRule="auto"/>
              <w:ind w:firstLine="480" w:firstLineChars="200"/>
              <w:jc w:val="center"/>
              <w:rPr>
                <w:rFonts w:hint="default" w:cs="Times New Roman"/>
                <w:color w:val="auto"/>
                <w:sz w:val="24"/>
                <w:szCs w:val="24"/>
                <w:highlight w:val="yellow"/>
                <w:lang w:val="en-US" w:eastAsia="zh-CN"/>
              </w:rPr>
            </w:pPr>
            <w:r>
              <w:rPr>
                <w:rFonts w:hint="default" w:ascii="Times New Roman" w:hAnsi="Times New Roman" w:eastAsia="宋体" w:cs="Times New Roman"/>
                <w:color w:val="FF0000"/>
                <w:sz w:val="24"/>
                <w:szCs w:val="24"/>
                <w:highlight w:val="none"/>
              </w:rPr>
              <w:t>项目24小时持续运行</w:t>
            </w:r>
            <w:r>
              <w:rPr>
                <w:rFonts w:hint="eastAsia" w:cs="Times New Roman"/>
                <w:color w:val="FF0000"/>
                <w:sz w:val="24"/>
                <w:szCs w:val="24"/>
                <w:highlight w:val="none"/>
                <w:lang w:eastAsia="zh-CN"/>
              </w:rPr>
              <w:t>，</w:t>
            </w:r>
            <w:r>
              <w:rPr>
                <w:rFonts w:hint="eastAsia" w:cs="Times New Roman"/>
                <w:color w:val="FF0000"/>
                <w:sz w:val="24"/>
                <w:szCs w:val="24"/>
                <w:highlight w:val="none"/>
                <w:lang w:val="en-US" w:eastAsia="zh-CN"/>
              </w:rPr>
              <w:t>炭化窑废气统一经一根直径350mm的不锈钢管道引入热风炉进行燃烧，管道经炭化窑引出约8m处设置1个容积21m</w:t>
            </w:r>
            <w:r>
              <w:rPr>
                <w:rFonts w:hint="eastAsia" w:cs="Times New Roman"/>
                <w:color w:val="FF0000"/>
                <w:sz w:val="24"/>
                <w:szCs w:val="24"/>
                <w:highlight w:val="none"/>
                <w:vertAlign w:val="superscript"/>
                <w:lang w:val="en-US" w:eastAsia="zh-CN"/>
              </w:rPr>
              <w:t>3</w:t>
            </w:r>
            <w:r>
              <w:rPr>
                <w:rFonts w:hint="eastAsia" w:cs="Times New Roman"/>
                <w:color w:val="FF0000"/>
                <w:sz w:val="24"/>
                <w:szCs w:val="24"/>
                <w:highlight w:val="none"/>
                <w:lang w:val="en-US" w:eastAsia="zh-CN"/>
              </w:rPr>
              <w:t>的木醋液、木焦油收集池，用于暂存多余的木醋液和木焦油，在热量不够的情况下经1根直径20mm的不锈钢管道泵入热风炉作为燃料补充；引出的管道裸露在空气中与管道内形成温差进行降温，并在管道中部收集池后方设置向上凸起的拱形管道，炭化废气引入热风炉燃烧，降温后形成的木醋液、木焦油从凸起的拱形管回流至木醋液、木焦油收集池；并在凸起的拱形管道后端设置1个节流阀配套设置1根直径20mm的不锈钢管道将多余未自流的木醋液木焦油截留至木醋液、木焦油收集池暂存备用，木醋液、木焦油引出利用、暂存工艺流程详见图2-2。</w:t>
            </w:r>
            <w:r>
              <w:rPr>
                <w:rFonts w:hint="default" w:cs="Times New Roman"/>
                <w:color w:val="FF0000"/>
                <w:sz w:val="24"/>
                <w:szCs w:val="24"/>
                <w:highlight w:val="none"/>
                <w:lang w:val="en-US" w:eastAsia="zh-CN"/>
              </w:rPr>
              <w:drawing>
                <wp:inline distT="0" distB="0" distL="114300" distR="114300">
                  <wp:extent cx="4740275" cy="2595880"/>
                  <wp:effectExtent l="0" t="0" r="3175" b="13970"/>
                  <wp:docPr id="16" name="ECB019B1-382A-4266-B25C-5B523AA43C14-1" descr="C:/Users/Administrator/AppData/Local/Temp/wps.KYBGSb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CB019B1-382A-4266-B25C-5B523AA43C14-1" descr="C:/Users/Administrator/AppData/Local/Temp/wps.KYBGSbwps"/>
                          <pic:cNvPicPr>
                            <a:picLocks noChangeAspect="1"/>
                          </pic:cNvPicPr>
                        </pic:nvPicPr>
                        <pic:blipFill>
                          <a:blip r:embed="rId16"/>
                          <a:stretch>
                            <a:fillRect/>
                          </a:stretch>
                        </pic:blipFill>
                        <pic:spPr>
                          <a:xfrm>
                            <a:off x="0" y="0"/>
                            <a:ext cx="4740275" cy="2595880"/>
                          </a:xfrm>
                          <a:prstGeom prst="rect">
                            <a:avLst/>
                          </a:prstGeom>
                        </pic:spPr>
                      </pic:pic>
                    </a:graphicData>
                  </a:graphic>
                </wp:inline>
              </w:drawing>
            </w:r>
          </w:p>
          <w:p w14:paraId="411A1E85">
            <w:pPr>
              <w:pStyle w:val="12"/>
              <w:rPr>
                <w:rFonts w:hint="eastAsia" w:cs="Times New Roman"/>
                <w:color w:val="auto"/>
                <w:sz w:val="24"/>
                <w:szCs w:val="24"/>
                <w:highlight w:val="yellow"/>
                <w:lang w:val="en-US" w:eastAsia="zh-CN"/>
              </w:rPr>
            </w:pPr>
          </w:p>
          <w:p w14:paraId="3EB12369">
            <w:pPr>
              <w:bidi w:val="0"/>
              <w:spacing w:line="360" w:lineRule="auto"/>
              <w:ind w:firstLine="480" w:firstLineChars="200"/>
              <w:rPr>
                <w:rFonts w:hint="default" w:ascii="Times New Roman" w:hAnsi="Times New Roman" w:eastAsia="宋体" w:cs="Times New Roman"/>
                <w:color w:val="FF0000"/>
                <w:sz w:val="24"/>
                <w:szCs w:val="24"/>
                <w:highlight w:val="none"/>
              </w:rPr>
            </w:pPr>
            <w:r>
              <w:rPr>
                <w:rFonts w:hint="eastAsia" w:ascii="Times New Roman" w:hAnsi="Times New Roman" w:eastAsia="宋体" w:cs="Times New Roman"/>
                <w:color w:val="FF0000"/>
                <w:sz w:val="24"/>
                <w:szCs w:val="24"/>
                <w:highlight w:val="none"/>
                <w:lang w:val="en-US" w:eastAsia="zh-CN"/>
              </w:rPr>
              <w:t>项目</w:t>
            </w:r>
            <w:r>
              <w:rPr>
                <w:rFonts w:hint="default" w:ascii="Times New Roman" w:hAnsi="Times New Roman" w:eastAsia="宋体" w:cs="Times New Roman"/>
                <w:color w:val="FF0000"/>
                <w:sz w:val="24"/>
                <w:szCs w:val="24"/>
                <w:highlight w:val="none"/>
              </w:rPr>
              <w:t>炭化</w:t>
            </w:r>
            <w:r>
              <w:rPr>
                <w:rFonts w:hint="eastAsia" w:ascii="Times New Roman" w:hAnsi="Times New Roman" w:eastAsia="宋体" w:cs="Times New Roman"/>
                <w:color w:val="FF0000"/>
                <w:sz w:val="24"/>
                <w:szCs w:val="24"/>
                <w:highlight w:val="none"/>
                <w:lang w:eastAsia="zh-CN"/>
              </w:rPr>
              <w:t>、</w:t>
            </w:r>
            <w:r>
              <w:rPr>
                <w:rFonts w:hint="default" w:ascii="Times New Roman" w:hAnsi="Times New Roman" w:eastAsia="宋体" w:cs="Times New Roman"/>
                <w:color w:val="FF0000"/>
                <w:sz w:val="24"/>
                <w:szCs w:val="24"/>
                <w:highlight w:val="none"/>
                <w:lang w:eastAsia="zh-CN"/>
              </w:rPr>
              <w:t>制棒废气</w:t>
            </w:r>
            <w:r>
              <w:rPr>
                <w:rFonts w:hint="eastAsia" w:ascii="Times New Roman" w:hAnsi="Times New Roman" w:eastAsia="宋体" w:cs="Times New Roman"/>
                <w:color w:val="FF0000"/>
                <w:sz w:val="24"/>
                <w:szCs w:val="24"/>
                <w:highlight w:val="none"/>
                <w:lang w:val="en-US" w:eastAsia="zh-CN"/>
              </w:rPr>
              <w:t>引入热风炉</w:t>
            </w:r>
            <w:r>
              <w:rPr>
                <w:rFonts w:hint="default" w:ascii="Times New Roman" w:hAnsi="Times New Roman" w:eastAsia="宋体" w:cs="Times New Roman"/>
                <w:color w:val="FF0000"/>
                <w:sz w:val="24"/>
                <w:szCs w:val="24"/>
                <w:highlight w:val="none"/>
              </w:rPr>
              <w:t>燃烧处理</w:t>
            </w:r>
            <w:r>
              <w:rPr>
                <w:rFonts w:hint="eastAsia" w:ascii="Times New Roman" w:hAnsi="Times New Roman" w:eastAsia="宋体" w:cs="Times New Roman"/>
                <w:color w:val="FF0000"/>
                <w:sz w:val="24"/>
                <w:szCs w:val="24"/>
                <w:highlight w:val="none"/>
                <w:lang w:val="en-US" w:eastAsia="zh-CN"/>
              </w:rPr>
              <w:t>后</w:t>
            </w:r>
            <w:r>
              <w:rPr>
                <w:rFonts w:hint="default" w:ascii="Times New Roman" w:hAnsi="Times New Roman" w:eastAsia="宋体" w:cs="Times New Roman"/>
                <w:color w:val="FF0000"/>
                <w:sz w:val="24"/>
                <w:szCs w:val="24"/>
                <w:highlight w:val="none"/>
                <w:lang w:val="en-US" w:eastAsia="zh-CN"/>
              </w:rPr>
              <w:t>同烘干废气一并经</w:t>
            </w:r>
            <w:r>
              <w:rPr>
                <w:rFonts w:hint="eastAsia" w:cs="Times New Roman"/>
                <w:color w:val="FF0000"/>
                <w:sz w:val="24"/>
                <w:szCs w:val="24"/>
                <w:highlight w:val="none"/>
                <w:lang w:val="en-US" w:eastAsia="zh-CN"/>
              </w:rPr>
              <w:t>旋风分离器、</w:t>
            </w:r>
            <w:r>
              <w:rPr>
                <w:rFonts w:hint="default" w:ascii="Times New Roman" w:hAnsi="Times New Roman" w:eastAsia="宋体" w:cs="Times New Roman"/>
                <w:color w:val="FF0000"/>
                <w:sz w:val="24"/>
                <w:szCs w:val="24"/>
                <w:highlight w:val="none"/>
                <w:lang w:eastAsia="zh-CN"/>
              </w:rPr>
              <w:t>袋式除尘器</w:t>
            </w:r>
            <w:r>
              <w:rPr>
                <w:rFonts w:hint="default" w:ascii="Times New Roman" w:hAnsi="Times New Roman" w:eastAsia="宋体" w:cs="Times New Roman"/>
                <w:color w:val="FF0000"/>
                <w:sz w:val="24"/>
                <w:szCs w:val="24"/>
                <w:highlight w:val="none"/>
              </w:rPr>
              <w:t>处理后经15m高排气筒（DA001）达标外排。制棒、炭化废气</w:t>
            </w:r>
            <w:r>
              <w:rPr>
                <w:rFonts w:hint="default" w:ascii="Times New Roman" w:hAnsi="Times New Roman" w:eastAsia="宋体" w:cs="Times New Roman"/>
                <w:color w:val="FF0000"/>
                <w:sz w:val="24"/>
                <w:szCs w:val="24"/>
                <w:highlight w:val="none"/>
                <w:lang w:val="en-US" w:eastAsia="zh-CN"/>
              </w:rPr>
              <w:t>主要成分为</w:t>
            </w:r>
            <w:r>
              <w:rPr>
                <w:rFonts w:hint="default" w:ascii="Times New Roman" w:hAnsi="Times New Roman" w:eastAsia="宋体" w:cs="Times New Roman"/>
                <w:color w:val="FF0000"/>
                <w:sz w:val="24"/>
                <w:szCs w:val="24"/>
                <w:highlight w:val="none"/>
              </w:rPr>
              <w:t>木焦油、木醋液、木煤气用于烘干炉做燃料即可节约燃料又可对废气进一步处理，采取该处理措施是合理可行的。</w:t>
            </w:r>
          </w:p>
          <w:p w14:paraId="4AC9C70A">
            <w:pPr>
              <w:bidi w:val="0"/>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lang w:val="en-US" w:eastAsia="zh-CN"/>
              </w:rPr>
              <w:t>）闭火：</w:t>
            </w:r>
          </w:p>
          <w:p w14:paraId="3E76A1E4">
            <w:p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产品满足炭化时间后，采用地轨行车将装有产品的铁箱调出暂放于闭火区进行闭火，闭火区地面设置10cm水面，并对取出的产品进行洒水降温，采用闭火罩子对铁箱进行密闭阻隔空气进行闭火，闭火时间约为24小时。</w:t>
            </w:r>
          </w:p>
          <w:p w14:paraId="31D0F0D4">
            <w:pPr>
              <w:bidi w:val="0"/>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8</w:t>
            </w:r>
            <w:r>
              <w:rPr>
                <w:rFonts w:hint="default" w:ascii="Times New Roman" w:hAnsi="Times New Roman" w:eastAsia="宋体" w:cs="Times New Roman"/>
                <w:b/>
                <w:bCs/>
                <w:color w:val="auto"/>
                <w:sz w:val="24"/>
                <w:szCs w:val="24"/>
                <w:lang w:val="en-US" w:eastAsia="zh-CN"/>
              </w:rPr>
              <w:t>）冷却：</w:t>
            </w:r>
          </w:p>
          <w:p w14:paraId="6185AFDC">
            <w:p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闭火后的产品通过自然冷却降温，使其温度能够达到包装储存的条件。</w:t>
            </w:r>
          </w:p>
          <w:p w14:paraId="2A607A9A">
            <w:pPr>
              <w:bidi w:val="0"/>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9</w:t>
            </w:r>
            <w:r>
              <w:rPr>
                <w:rFonts w:hint="default" w:ascii="Times New Roman" w:hAnsi="Times New Roman" w:eastAsia="宋体" w:cs="Times New Roman"/>
                <w:b/>
                <w:bCs/>
                <w:color w:val="auto"/>
                <w:sz w:val="24"/>
                <w:szCs w:val="24"/>
                <w:lang w:val="en-US" w:eastAsia="zh-CN"/>
              </w:rPr>
              <w:t>）包装：</w:t>
            </w:r>
          </w:p>
          <w:p w14:paraId="7E52C8A8">
            <w:pPr>
              <w:bidi w:val="0"/>
              <w:spacing w:line="360" w:lineRule="auto"/>
              <w:ind w:firstLine="480" w:firstLineChars="200"/>
              <w:rPr>
                <w:rFonts w:hint="eastAsia"/>
                <w:bCs/>
                <w:color w:val="auto"/>
              </w:rPr>
            </w:pPr>
            <w:r>
              <w:rPr>
                <w:rFonts w:hint="default" w:ascii="Times New Roman" w:hAnsi="Times New Roman" w:eastAsia="宋体" w:cs="Times New Roman"/>
                <w:color w:val="auto"/>
                <w:sz w:val="24"/>
                <w:szCs w:val="24"/>
              </w:rPr>
              <w:t>木炭冷却后，将木炭分选出不同规格的产品进行包装后入库待售。</w:t>
            </w:r>
          </w:p>
        </w:tc>
      </w:tr>
      <w:tr w14:paraId="55D47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2498" w:type="dxa"/>
            <w:gridSpan w:val="2"/>
            <w:vAlign w:val="center"/>
          </w:tcPr>
          <w:p w14:paraId="382A46C5">
            <w:pPr>
              <w:pStyle w:val="20"/>
              <w:keepNext w:val="0"/>
              <w:keepLines w:val="0"/>
              <w:pageBreakBefore w:val="0"/>
              <w:widowControl/>
              <w:numPr>
                <w:ilvl w:val="0"/>
                <w:numId w:val="0"/>
              </w:numPr>
              <w:tabs>
                <w:tab w:val="left" w:pos="261"/>
              </w:tabs>
              <w:kinsoku/>
              <w:wordWrap/>
              <w:overflowPunct/>
              <w:topLinePunct w:val="0"/>
              <w:autoSpaceDE/>
              <w:autoSpaceDN/>
              <w:bidi w:val="0"/>
              <w:adjustRightInd/>
              <w:snapToGrid/>
              <w:spacing w:before="0" w:beforeAutospacing="0" w:after="0" w:afterAutospacing="0"/>
              <w:ind w:left="0" w:leftChars="0" w:firstLine="0" w:firstLineChars="0"/>
              <w:jc w:val="left"/>
              <w:textAlignment w:val="auto"/>
              <w:outlineLvl w:val="0"/>
              <w:rPr>
                <w:rFonts w:hint="eastAsia"/>
                <w:color w:val="auto"/>
                <w:sz w:val="24"/>
                <w:szCs w:val="24"/>
                <w:lang w:eastAsia="zh-CN"/>
              </w:rPr>
            </w:pPr>
            <w:r>
              <w:rPr>
                <w:rFonts w:hint="default" w:ascii="Times New Roman" w:hAnsi="Times New Roman" w:eastAsia="宋体" w:cs="Times New Roman"/>
                <w:b/>
                <w:bCs/>
                <w:color w:val="auto"/>
                <w:kern w:val="2"/>
                <w:sz w:val="24"/>
                <w:szCs w:val="24"/>
                <w:highlight w:val="none"/>
              </w:rPr>
              <w:t>与项目有关的原有环境污染问题</w:t>
            </w:r>
          </w:p>
        </w:tc>
        <w:tc>
          <w:tcPr>
            <w:tcW w:w="5741" w:type="dxa"/>
            <w:vAlign w:val="top"/>
          </w:tcPr>
          <w:p w14:paraId="46201B30">
            <w:pPr>
              <w:pStyle w:val="42"/>
              <w:bidi w:val="0"/>
              <w:spacing w:line="360" w:lineRule="auto"/>
              <w:rPr>
                <w:rFonts w:hint="default" w:ascii="Times New Roman" w:hAnsi="Times New Roman" w:eastAsia="宋体" w:cs="Times New Roman"/>
                <w:bCs/>
                <w:color w:val="auto"/>
                <w:sz w:val="24"/>
                <w:szCs w:val="24"/>
              </w:rPr>
            </w:pPr>
            <w:r>
              <w:rPr>
                <w:rFonts w:hint="eastAsia" w:cs="Times New Roman" w:eastAsiaTheme="minorEastAsia"/>
                <w:color w:val="auto"/>
                <w:sz w:val="21"/>
                <w:szCs w:val="21"/>
                <w:lang w:val="en-US" w:eastAsia="zh-CN"/>
              </w:rPr>
              <w:t>无</w:t>
            </w:r>
          </w:p>
        </w:tc>
      </w:tr>
    </w:tbl>
    <w:p w14:paraId="6F5BC3B8">
      <w:pPr>
        <w:bidi w:val="0"/>
        <w:rPr>
          <w:rFonts w:hint="eastAsia"/>
          <w:lang w:eastAsia="zh-CN"/>
        </w:rPr>
      </w:pPr>
    </w:p>
    <w:p w14:paraId="12CC4431">
      <w:pPr>
        <w:rPr>
          <w:rFonts w:hint="eastAsia" w:eastAsia="宋体"/>
          <w:lang w:eastAsia="zh-CN"/>
        </w:rPr>
        <w:sectPr>
          <w:pgSz w:w="11906" w:h="16838"/>
          <w:pgMar w:top="1440" w:right="1800" w:bottom="1440" w:left="1800" w:header="851" w:footer="794" w:gutter="0"/>
          <w:pgNumType w:fmt="decimal"/>
          <w:cols w:space="425" w:num="1"/>
          <w:docGrid w:type="lines" w:linePitch="312" w:charSpace="0"/>
        </w:sectPr>
      </w:pPr>
    </w:p>
    <w:p w14:paraId="1D310E81">
      <w:pPr>
        <w:pStyle w:val="20"/>
        <w:numPr>
          <w:ilvl w:val="0"/>
          <w:numId w:val="0"/>
        </w:numPr>
        <w:spacing w:before="0" w:beforeAutospacing="0" w:after="0" w:afterAutospacing="0"/>
        <w:jc w:val="center"/>
        <w:outlineLvl w:val="0"/>
        <w:rPr>
          <w:rFonts w:hint="eastAsia" w:ascii="黑体" w:hAnsi="黑体" w:eastAsia="黑体"/>
          <w:snapToGrid w:val="0"/>
          <w:sz w:val="30"/>
          <w:szCs w:val="30"/>
        </w:rPr>
      </w:pPr>
      <w:r>
        <w:rPr>
          <w:rFonts w:hint="eastAsia" w:ascii="黑体" w:hAnsi="黑体" w:eastAsia="黑体" w:cs="Times New Roman"/>
          <w:snapToGrid w:val="0"/>
          <w:kern w:val="0"/>
          <w:sz w:val="30"/>
          <w:szCs w:val="30"/>
          <w:lang w:val="en-US" w:eastAsia="zh-CN" w:bidi="ar-SA"/>
        </w:rPr>
        <w:t>三、</w:t>
      </w:r>
      <w:r>
        <w:rPr>
          <w:rFonts w:hint="eastAsia" w:ascii="黑体" w:hAnsi="黑体" w:eastAsia="黑体"/>
          <w:snapToGrid w:val="0"/>
          <w:sz w:val="30"/>
          <w:szCs w:val="30"/>
        </w:rPr>
        <w:t>区域环境质量现状、环境保护目标及评价标准</w:t>
      </w:r>
      <w:bookmarkEnd w:id="6"/>
    </w:p>
    <w:tbl>
      <w:tblPr>
        <w:tblStyle w:val="24"/>
        <w:tblW w:w="8418" w:type="dxa"/>
        <w:tblInd w:w="-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7960"/>
      </w:tblGrid>
      <w:tr w14:paraId="358B2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3" w:hRule="atLeast"/>
        </w:trPr>
        <w:tc>
          <w:tcPr>
            <w:tcW w:w="458" w:type="dxa"/>
            <w:textDirection w:val="tbRlV"/>
            <w:vAlign w:val="center"/>
          </w:tcPr>
          <w:p w14:paraId="08B651B1">
            <w:pPr>
              <w:pStyle w:val="20"/>
              <w:numPr>
                <w:ilvl w:val="0"/>
                <w:numId w:val="0"/>
              </w:numPr>
              <w:spacing w:before="0" w:beforeAutospacing="0" w:after="0" w:afterAutospacing="0" w:line="240" w:lineRule="auto"/>
              <w:ind w:left="113" w:right="113" w:firstLine="0"/>
              <w:jc w:val="center"/>
              <w:outlineLvl w:val="0"/>
              <w:rPr>
                <w:rFonts w:hint="eastAsia" w:ascii="黑体" w:hAnsi="黑体" w:eastAsia="黑体"/>
                <w:snapToGrid w:val="0"/>
                <w:sz w:val="30"/>
                <w:szCs w:val="30"/>
                <w:vertAlign w:val="baseline"/>
                <w:lang w:eastAsia="zh-CN"/>
              </w:rPr>
            </w:pPr>
            <w:r>
              <w:rPr>
                <w:rFonts w:hint="eastAsia" w:asciiTheme="majorEastAsia" w:hAnsiTheme="majorEastAsia" w:eastAsiaTheme="majorEastAsia" w:cstheme="majorEastAsia"/>
                <w:b/>
                <w:bCs/>
                <w:snapToGrid w:val="0"/>
                <w:sz w:val="24"/>
                <w:szCs w:val="24"/>
                <w:vertAlign w:val="baseline"/>
                <w:lang w:eastAsia="zh-CN"/>
              </w:rPr>
              <w:t>区域环境质量现状</w:t>
            </w:r>
          </w:p>
        </w:tc>
        <w:tc>
          <w:tcPr>
            <w:tcW w:w="7960" w:type="dxa"/>
          </w:tcPr>
          <w:p w14:paraId="7E7B15F0">
            <w:pPr>
              <w:pStyle w:val="20"/>
              <w:numPr>
                <w:ilvl w:val="0"/>
                <w:numId w:val="0"/>
              </w:numPr>
              <w:spacing w:before="0" w:beforeAutospacing="0" w:after="0" w:afterAutospacing="0"/>
              <w:jc w:val="both"/>
              <w:outlineLvl w:val="0"/>
              <w:rPr>
                <w:rFonts w:hint="eastAsia" w:ascii="黑体" w:hAnsi="黑体" w:eastAsia="黑体"/>
                <w:snapToGrid w:val="0"/>
                <w:sz w:val="30"/>
                <w:szCs w:val="30"/>
                <w:vertAlign w:val="baseline"/>
                <w:lang w:val="en-US" w:eastAsia="zh-CN"/>
              </w:rPr>
            </w:pPr>
            <w:r>
              <w:rPr>
                <w:rFonts w:hint="eastAsia" w:ascii="黑体" w:hAnsi="黑体" w:eastAsia="黑体" w:cs="Times New Roman"/>
                <w:snapToGrid w:val="0"/>
                <w:kern w:val="0"/>
                <w:sz w:val="30"/>
                <w:szCs w:val="30"/>
                <w:vertAlign w:val="baseline"/>
                <w:lang w:val="en-US" w:eastAsia="zh-CN" w:bidi="ar-SA"/>
              </w:rPr>
              <w:t>1.</w:t>
            </w:r>
            <w:r>
              <w:rPr>
                <w:rFonts w:hint="eastAsia" w:ascii="黑体" w:hAnsi="黑体" w:eastAsia="黑体"/>
                <w:snapToGrid w:val="0"/>
                <w:sz w:val="30"/>
                <w:szCs w:val="30"/>
                <w:vertAlign w:val="baseline"/>
                <w:lang w:val="en-US" w:eastAsia="zh-CN"/>
              </w:rPr>
              <w:t>环境空气质量现状</w:t>
            </w:r>
          </w:p>
          <w:p w14:paraId="0A37DDBA">
            <w:pPr>
              <w:adjustRightInd w:val="0"/>
              <w:snapToGrid w:val="0"/>
              <w:spacing w:line="360" w:lineRule="auto"/>
              <w:ind w:firstLine="482" w:firstLineChars="200"/>
              <w:rPr>
                <w:rFonts w:hint="eastAsia" w:ascii="宋体" w:hAnsi="宋体" w:cs="宋体"/>
                <w:b/>
                <w:bCs/>
                <w:sz w:val="24"/>
              </w:rPr>
            </w:pPr>
            <w:r>
              <w:rPr>
                <w:rFonts w:hint="eastAsia" w:ascii="宋体" w:hAnsi="宋体" w:cs="宋体"/>
                <w:b/>
                <w:bCs/>
                <w:sz w:val="24"/>
              </w:rPr>
              <w:t>（1）空气质量达标区判定</w:t>
            </w:r>
          </w:p>
          <w:p w14:paraId="7E0D6774">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根据</w:t>
            </w:r>
            <w:r>
              <w:rPr>
                <w:rFonts w:hint="default" w:ascii="Times New Roman" w:hAnsi="Times New Roman" w:eastAsia="宋体" w:cs="Times New Roman"/>
                <w:color w:val="000000"/>
                <w:kern w:val="0"/>
                <w:sz w:val="24"/>
                <w:szCs w:val="24"/>
                <w:highlight w:val="none"/>
                <w:u w:val="none"/>
              </w:rPr>
              <w:t>《环境空气质量标准》（GB3095-2012）</w:t>
            </w:r>
            <w:r>
              <w:rPr>
                <w:rFonts w:hint="default" w:ascii="Times New Roman" w:hAnsi="Times New Roman" w:eastAsia="宋体" w:cs="Times New Roman"/>
                <w:color w:val="000000"/>
                <w:sz w:val="24"/>
                <w:szCs w:val="24"/>
              </w:rPr>
              <w:t>环境空气功能区</w:t>
            </w:r>
            <w:r>
              <w:rPr>
                <w:rFonts w:hint="eastAsia" w:ascii="Times New Roman" w:hAnsi="Times New Roman" w:cs="Times New Roman"/>
                <w:color w:val="000000"/>
                <w:sz w:val="24"/>
                <w:szCs w:val="24"/>
                <w:lang w:eastAsia="zh-CN"/>
              </w:rPr>
              <w:t>分为两类</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一类区为自然保护区、风景名胜区和其他需要特殊保护的区域</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二类区为居住区、商业交通居民混合区、文化区、工业区和农村地区</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评价区域位于</w:t>
            </w:r>
            <w:r>
              <w:rPr>
                <w:rFonts w:hint="default" w:ascii="Times New Roman" w:hAnsi="Times New Roman" w:eastAsia="宋体" w:cs="Times New Roman"/>
                <w:color w:val="auto"/>
                <w:sz w:val="24"/>
                <w:szCs w:val="24"/>
                <w:highlight w:val="none"/>
                <w:lang w:val="en-US" w:eastAsia="zh-CN"/>
              </w:rPr>
              <w:t>云南省德宏州芒市遮放农场晓阳社区居民委员会第七居民小组</w:t>
            </w:r>
            <w:r>
              <w:rPr>
                <w:rFonts w:hint="default" w:ascii="Times New Roman" w:hAnsi="Times New Roman" w:eastAsia="宋体" w:cs="Times New Roman"/>
                <w:color w:val="000000"/>
                <w:sz w:val="24"/>
                <w:szCs w:val="24"/>
              </w:rPr>
              <w:t>，按环境空气功能区划为二类区，环境空气质量执行《环境空气质量标准》（GB3095-2012）二级标准。</w:t>
            </w:r>
          </w:p>
          <w:p w14:paraId="159A4D26">
            <w:pPr>
              <w:keepNext w:val="0"/>
              <w:keepLines w:val="0"/>
              <w:pageBreakBefore w:val="0"/>
              <w:widowControl w:val="0"/>
              <w:tabs>
                <w:tab w:val="left" w:pos="6153"/>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sz w:val="24"/>
              </w:rPr>
            </w:pPr>
            <w:r>
              <w:rPr>
                <w:rFonts w:hint="default" w:ascii="Times New Roman" w:hAnsi="Times New Roman" w:eastAsia="宋体" w:cs="Times New Roman"/>
                <w:snapToGrid w:val="0"/>
                <w:kern w:val="0"/>
                <w:sz w:val="24"/>
              </w:rPr>
              <w:t>据《德宏州20</w:t>
            </w:r>
            <w:r>
              <w:rPr>
                <w:rFonts w:hint="default" w:ascii="Times New Roman" w:hAnsi="Times New Roman" w:eastAsia="宋体" w:cs="Times New Roman"/>
                <w:snapToGrid w:val="0"/>
                <w:kern w:val="0"/>
                <w:sz w:val="24"/>
                <w:lang w:val="en-US" w:eastAsia="zh-CN"/>
              </w:rPr>
              <w:t>23</w:t>
            </w:r>
            <w:r>
              <w:rPr>
                <w:rFonts w:hint="default" w:ascii="Times New Roman" w:hAnsi="Times New Roman" w:eastAsia="宋体" w:cs="Times New Roman"/>
                <w:snapToGrid w:val="0"/>
                <w:kern w:val="0"/>
                <w:sz w:val="24"/>
              </w:rPr>
              <w:t>年环境质量状况公报》，</w:t>
            </w:r>
            <w:r>
              <w:rPr>
                <w:rFonts w:hint="default" w:ascii="Times New Roman" w:hAnsi="Times New Roman" w:eastAsia="宋体" w:cs="Times New Roman"/>
                <w:snapToGrid w:val="0"/>
                <w:kern w:val="0"/>
                <w:sz w:val="24"/>
                <w:lang w:eastAsia="zh-CN"/>
              </w:rPr>
              <w:t>芒市</w:t>
            </w:r>
            <w:r>
              <w:rPr>
                <w:rFonts w:hint="default" w:ascii="Times New Roman" w:hAnsi="Times New Roman" w:eastAsia="宋体" w:cs="Times New Roman"/>
                <w:snapToGrid w:val="0"/>
                <w:kern w:val="0"/>
                <w:sz w:val="24"/>
                <w:lang w:val="en-US" w:eastAsia="zh-CN"/>
              </w:rPr>
              <w:t>6项污染物</w:t>
            </w:r>
            <w:r>
              <w:rPr>
                <w:rFonts w:hint="default" w:ascii="Times New Roman" w:hAnsi="Times New Roman" w:eastAsia="宋体" w:cs="Times New Roman"/>
                <w:snapToGrid w:val="0"/>
                <w:kern w:val="0"/>
                <w:sz w:val="24"/>
              </w:rPr>
              <w:t>年</w:t>
            </w:r>
            <w:r>
              <w:rPr>
                <w:rFonts w:hint="default" w:ascii="Times New Roman" w:hAnsi="Times New Roman" w:eastAsia="宋体" w:cs="Times New Roman"/>
                <w:snapToGrid w:val="0"/>
                <w:kern w:val="0"/>
                <w:sz w:val="24"/>
                <w:lang w:eastAsia="zh-CN"/>
              </w:rPr>
              <w:t>均值及相应百分位数平均值</w:t>
            </w:r>
            <w:r>
              <w:rPr>
                <w:rFonts w:hint="default" w:ascii="Times New Roman" w:hAnsi="Times New Roman" w:eastAsia="宋体" w:cs="Times New Roman"/>
                <w:snapToGrid w:val="0"/>
                <w:kern w:val="0"/>
                <w:sz w:val="24"/>
              </w:rPr>
              <w:t>均达到</w:t>
            </w:r>
            <w:r>
              <w:rPr>
                <w:rFonts w:hint="default" w:ascii="Times New Roman" w:hAnsi="Times New Roman" w:eastAsia="宋体" w:cs="Times New Roman"/>
                <w:snapToGrid w:val="0"/>
                <w:kern w:val="0"/>
                <w:sz w:val="24"/>
                <w:lang w:eastAsia="zh-CN"/>
              </w:rPr>
              <w:t>或优于</w:t>
            </w:r>
            <w:r>
              <w:rPr>
                <w:rFonts w:hint="default" w:ascii="Times New Roman" w:hAnsi="Times New Roman" w:eastAsia="宋体" w:cs="Times New Roman"/>
                <w:snapToGrid w:val="0"/>
                <w:kern w:val="0"/>
                <w:sz w:val="24"/>
              </w:rPr>
              <w:t>《环境空气质量标准》（GB3095-2012）二级标准要求。其中，二氧化氮年均值、一氧化碳相应百分位数达到一级标准，二氧化硫、可吸入颗粒、细颗粒物年均值及臭氧相应百分位数达到二级标准。各指标监测数据如下表</w:t>
            </w:r>
            <w:r>
              <w:rPr>
                <w:rFonts w:hint="default" w:ascii="Times New Roman" w:hAnsi="Times New Roman" w:eastAsia="宋体" w:cs="Times New Roman"/>
                <w:snapToGrid w:val="0"/>
                <w:kern w:val="0"/>
                <w:sz w:val="24"/>
                <w:lang w:val="en-US" w:eastAsia="zh-CN"/>
              </w:rPr>
              <w:t>3-1</w:t>
            </w:r>
            <w:r>
              <w:rPr>
                <w:rFonts w:hint="default" w:ascii="Times New Roman" w:hAnsi="Times New Roman" w:eastAsia="宋体" w:cs="Times New Roman"/>
                <w:snapToGrid w:val="0"/>
                <w:kern w:val="0"/>
                <w:sz w:val="24"/>
              </w:rPr>
              <w:t>所示</w:t>
            </w:r>
            <w:r>
              <w:rPr>
                <w:rFonts w:hint="default" w:ascii="Times New Roman" w:hAnsi="Times New Roman" w:eastAsia="宋体" w:cs="Times New Roman"/>
                <w:snapToGrid w:val="0"/>
                <w:sz w:val="24"/>
              </w:rPr>
              <w:t>。</w:t>
            </w:r>
          </w:p>
          <w:p w14:paraId="6F008E08">
            <w:pPr>
              <w:widowControl/>
              <w:spacing w:line="360" w:lineRule="auto"/>
              <w:ind w:firstLine="482"/>
              <w:jc w:val="center"/>
              <w:rPr>
                <w:rFonts w:hint="default" w:ascii="Times New Roman" w:hAnsi="Times New Roman" w:eastAsia="宋体" w:cs="Times New Roman"/>
                <w:b/>
                <w:bCs/>
                <w:sz w:val="24"/>
              </w:rPr>
            </w:pPr>
            <w:r>
              <w:rPr>
                <w:rFonts w:hint="default" w:ascii="Times New Roman" w:hAnsi="Times New Roman" w:eastAsia="宋体" w:cs="Times New Roman"/>
                <w:b/>
                <w:bCs/>
                <w:snapToGrid w:val="0"/>
                <w:kern w:val="0"/>
                <w:sz w:val="24"/>
              </w:rPr>
              <w:t>表3-1  20</w:t>
            </w:r>
            <w:r>
              <w:rPr>
                <w:rFonts w:hint="default" w:ascii="Times New Roman" w:hAnsi="Times New Roman" w:eastAsia="宋体" w:cs="Times New Roman"/>
                <w:b/>
                <w:bCs/>
                <w:snapToGrid w:val="0"/>
                <w:kern w:val="0"/>
                <w:sz w:val="24"/>
                <w:lang w:val="en-US" w:eastAsia="zh-CN"/>
              </w:rPr>
              <w:t>23</w:t>
            </w:r>
            <w:r>
              <w:rPr>
                <w:rFonts w:hint="default" w:ascii="Times New Roman" w:hAnsi="Times New Roman" w:eastAsia="宋体" w:cs="Times New Roman"/>
                <w:b/>
                <w:bCs/>
                <w:snapToGrid w:val="0"/>
                <w:kern w:val="0"/>
                <w:sz w:val="24"/>
              </w:rPr>
              <w:t>年芒市</w:t>
            </w:r>
            <w:r>
              <w:rPr>
                <w:rFonts w:hint="default" w:ascii="Times New Roman" w:hAnsi="Times New Roman" w:eastAsia="宋体" w:cs="Times New Roman"/>
                <w:b/>
                <w:bCs/>
                <w:sz w:val="24"/>
              </w:rPr>
              <w:t>环境空气质量监测指标达标情况</w:t>
            </w:r>
          </w:p>
          <w:tbl>
            <w:tblPr>
              <w:tblStyle w:val="24"/>
              <w:tblW w:w="77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964"/>
              <w:gridCol w:w="964"/>
              <w:gridCol w:w="964"/>
              <w:gridCol w:w="964"/>
              <w:gridCol w:w="964"/>
              <w:gridCol w:w="965"/>
              <w:gridCol w:w="965"/>
            </w:tblGrid>
            <w:tr w14:paraId="6B715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964" w:type="dxa"/>
                  <w:vMerge w:val="restart"/>
                  <w:vAlign w:val="center"/>
                </w:tcPr>
                <w:p w14:paraId="0549E6F5">
                  <w:pPr>
                    <w:widowControl/>
                    <w:spacing w:line="360" w:lineRule="auto"/>
                    <w:jc w:val="center"/>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sz w:val="21"/>
                      <w:szCs w:val="21"/>
                    </w:rPr>
                    <w:t>城市</w:t>
                  </w:r>
                </w:p>
              </w:tc>
              <w:tc>
                <w:tcPr>
                  <w:tcW w:w="964" w:type="dxa"/>
                  <w:vAlign w:val="center"/>
                </w:tcPr>
                <w:p w14:paraId="3504E81E">
                  <w:pPr>
                    <w:keepNext w:val="0"/>
                    <w:keepLines w:val="0"/>
                    <w:pageBreakBefore w:val="0"/>
                    <w:kinsoku/>
                    <w:wordWrap/>
                    <w:overflowPunct/>
                    <w:topLinePunct w:val="0"/>
                    <w:autoSpaceDN/>
                    <w:bidi w:val="0"/>
                    <w:adjustRightInd/>
                    <w:snapToGrid/>
                    <w:spacing w:line="360" w:lineRule="exact"/>
                    <w:jc w:val="center"/>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sz w:val="21"/>
                      <w:szCs w:val="21"/>
                    </w:rPr>
                    <w:t>SO</w:t>
                  </w:r>
                  <w:r>
                    <w:rPr>
                      <w:rFonts w:hint="default" w:ascii="Times New Roman" w:hAnsi="Times New Roman" w:eastAsia="宋体" w:cs="Times New Roman"/>
                      <w:sz w:val="21"/>
                      <w:szCs w:val="21"/>
                      <w:vertAlign w:val="subscript"/>
                    </w:rPr>
                    <w:t>2</w:t>
                  </w:r>
                </w:p>
              </w:tc>
              <w:tc>
                <w:tcPr>
                  <w:tcW w:w="964" w:type="dxa"/>
                  <w:vAlign w:val="center"/>
                </w:tcPr>
                <w:p w14:paraId="7BECF583">
                  <w:pPr>
                    <w:keepNext w:val="0"/>
                    <w:keepLines w:val="0"/>
                    <w:pageBreakBefore w:val="0"/>
                    <w:kinsoku/>
                    <w:wordWrap/>
                    <w:overflowPunct/>
                    <w:topLinePunct w:val="0"/>
                    <w:autoSpaceDN/>
                    <w:bidi w:val="0"/>
                    <w:adjustRightInd/>
                    <w:snapToGrid/>
                    <w:spacing w:line="360" w:lineRule="exact"/>
                    <w:jc w:val="center"/>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sz w:val="21"/>
                      <w:szCs w:val="21"/>
                    </w:rPr>
                    <w:t>NO</w:t>
                  </w:r>
                  <w:r>
                    <w:rPr>
                      <w:rFonts w:hint="default" w:ascii="Times New Roman" w:hAnsi="Times New Roman" w:eastAsia="宋体" w:cs="Times New Roman"/>
                      <w:sz w:val="21"/>
                      <w:szCs w:val="21"/>
                      <w:vertAlign w:val="subscript"/>
                    </w:rPr>
                    <w:t>2</w:t>
                  </w:r>
                </w:p>
              </w:tc>
              <w:tc>
                <w:tcPr>
                  <w:tcW w:w="964" w:type="dxa"/>
                  <w:vAlign w:val="center"/>
                </w:tcPr>
                <w:p w14:paraId="6A0A5B39">
                  <w:pPr>
                    <w:keepNext w:val="0"/>
                    <w:keepLines w:val="0"/>
                    <w:pageBreakBefore w:val="0"/>
                    <w:kinsoku/>
                    <w:wordWrap/>
                    <w:overflowPunct/>
                    <w:topLinePunct w:val="0"/>
                    <w:autoSpaceDN/>
                    <w:bidi w:val="0"/>
                    <w:adjustRightInd/>
                    <w:snapToGrid/>
                    <w:spacing w:line="360" w:lineRule="exact"/>
                    <w:jc w:val="center"/>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sz w:val="21"/>
                      <w:szCs w:val="21"/>
                    </w:rPr>
                    <w:t>PM</w:t>
                  </w:r>
                  <w:r>
                    <w:rPr>
                      <w:rFonts w:hint="default" w:ascii="Times New Roman" w:hAnsi="Times New Roman" w:eastAsia="宋体" w:cs="Times New Roman"/>
                      <w:sz w:val="21"/>
                      <w:szCs w:val="21"/>
                      <w:vertAlign w:val="subscript"/>
                    </w:rPr>
                    <w:t>10</w:t>
                  </w:r>
                </w:p>
              </w:tc>
              <w:tc>
                <w:tcPr>
                  <w:tcW w:w="964" w:type="dxa"/>
                  <w:vAlign w:val="center"/>
                </w:tcPr>
                <w:p w14:paraId="3DBDCD71">
                  <w:pPr>
                    <w:keepNext w:val="0"/>
                    <w:keepLines w:val="0"/>
                    <w:pageBreakBefore w:val="0"/>
                    <w:kinsoku/>
                    <w:wordWrap/>
                    <w:overflowPunct/>
                    <w:topLinePunct w:val="0"/>
                    <w:autoSpaceDN/>
                    <w:bidi w:val="0"/>
                    <w:adjustRightInd/>
                    <w:snapToGrid/>
                    <w:spacing w:line="360" w:lineRule="exact"/>
                    <w:jc w:val="center"/>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sz w:val="21"/>
                      <w:szCs w:val="21"/>
                    </w:rPr>
                    <w:t>PM</w:t>
                  </w:r>
                  <w:r>
                    <w:rPr>
                      <w:rFonts w:hint="default" w:ascii="Times New Roman" w:hAnsi="Times New Roman" w:eastAsia="宋体" w:cs="Times New Roman"/>
                      <w:sz w:val="21"/>
                      <w:szCs w:val="21"/>
                      <w:vertAlign w:val="subscript"/>
                    </w:rPr>
                    <w:t>2.5</w:t>
                  </w:r>
                </w:p>
              </w:tc>
              <w:tc>
                <w:tcPr>
                  <w:tcW w:w="964" w:type="dxa"/>
                  <w:vAlign w:val="center"/>
                </w:tcPr>
                <w:p w14:paraId="5A044D2B">
                  <w:pPr>
                    <w:keepNext w:val="0"/>
                    <w:keepLines w:val="0"/>
                    <w:pageBreakBefore w:val="0"/>
                    <w:kinsoku/>
                    <w:wordWrap/>
                    <w:overflowPunct/>
                    <w:topLinePunct w:val="0"/>
                    <w:autoSpaceDN/>
                    <w:bidi w:val="0"/>
                    <w:adjustRightInd/>
                    <w:snapToGrid/>
                    <w:spacing w:line="360" w:lineRule="exact"/>
                    <w:jc w:val="center"/>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sz w:val="21"/>
                      <w:szCs w:val="21"/>
                    </w:rPr>
                    <w:t>CO</w:t>
                  </w:r>
                </w:p>
              </w:tc>
              <w:tc>
                <w:tcPr>
                  <w:tcW w:w="965" w:type="dxa"/>
                  <w:vAlign w:val="center"/>
                </w:tcPr>
                <w:p w14:paraId="29ACFF0B">
                  <w:pPr>
                    <w:keepNext w:val="0"/>
                    <w:keepLines w:val="0"/>
                    <w:pageBreakBefore w:val="0"/>
                    <w:kinsoku/>
                    <w:wordWrap/>
                    <w:overflowPunct/>
                    <w:topLinePunct w:val="0"/>
                    <w:autoSpaceDN/>
                    <w:bidi w:val="0"/>
                    <w:adjustRightInd/>
                    <w:snapToGrid/>
                    <w:spacing w:line="360" w:lineRule="exact"/>
                    <w:jc w:val="center"/>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3</w:t>
                  </w:r>
                </w:p>
              </w:tc>
              <w:tc>
                <w:tcPr>
                  <w:tcW w:w="965" w:type="dxa"/>
                  <w:vMerge w:val="restart"/>
                  <w:vAlign w:val="center"/>
                </w:tcPr>
                <w:p w14:paraId="5C19AACB">
                  <w:pPr>
                    <w:keepNext w:val="0"/>
                    <w:keepLines w:val="0"/>
                    <w:pageBreakBefore w:val="0"/>
                    <w:kinsoku/>
                    <w:wordWrap/>
                    <w:overflowPunct/>
                    <w:topLinePunct w:val="0"/>
                    <w:autoSpaceDN/>
                    <w:bidi w:val="0"/>
                    <w:adjustRightInd/>
                    <w:snapToGrid/>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p w14:paraId="7000948A">
                  <w:pPr>
                    <w:widowControl/>
                    <w:spacing w:line="360" w:lineRule="auto"/>
                    <w:jc w:val="center"/>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sz w:val="21"/>
                      <w:szCs w:val="21"/>
                    </w:rPr>
                    <w:t>情况</w:t>
                  </w:r>
                </w:p>
              </w:tc>
            </w:tr>
            <w:tr w14:paraId="74B6B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964" w:type="dxa"/>
                  <w:vMerge w:val="continue"/>
                  <w:vAlign w:val="center"/>
                </w:tcPr>
                <w:p w14:paraId="66AA3B19">
                  <w:pPr>
                    <w:widowControl/>
                    <w:spacing w:line="360" w:lineRule="auto"/>
                    <w:jc w:val="center"/>
                    <w:rPr>
                      <w:rFonts w:hint="default" w:ascii="Times New Roman" w:hAnsi="Times New Roman" w:eastAsia="宋体" w:cs="Times New Roman"/>
                      <w:b/>
                      <w:bCs/>
                      <w:sz w:val="21"/>
                      <w:szCs w:val="21"/>
                      <w:vertAlign w:val="baseline"/>
                    </w:rPr>
                  </w:pPr>
                </w:p>
              </w:tc>
              <w:tc>
                <w:tcPr>
                  <w:tcW w:w="964" w:type="dxa"/>
                  <w:vAlign w:val="center"/>
                </w:tcPr>
                <w:p w14:paraId="6CF31198">
                  <w:pPr>
                    <w:keepNext w:val="0"/>
                    <w:keepLines w:val="0"/>
                    <w:pageBreakBefore w:val="0"/>
                    <w:widowControl/>
                    <w:kinsoku/>
                    <w:wordWrap/>
                    <w:overflowPunct/>
                    <w:topLinePunct w:val="0"/>
                    <w:autoSpaceDN/>
                    <w:bidi w:val="0"/>
                    <w:adjustRightInd/>
                    <w:snapToGrid/>
                    <w:spacing w:line="360" w:lineRule="exact"/>
                    <w:jc w:val="center"/>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sz w:val="21"/>
                      <w:szCs w:val="21"/>
                    </w:rPr>
                    <w:t>年均值</w:t>
                  </w:r>
                </w:p>
              </w:tc>
              <w:tc>
                <w:tcPr>
                  <w:tcW w:w="964" w:type="dxa"/>
                  <w:vAlign w:val="center"/>
                </w:tcPr>
                <w:p w14:paraId="0F2DC5BB">
                  <w:pPr>
                    <w:keepNext w:val="0"/>
                    <w:keepLines w:val="0"/>
                    <w:pageBreakBefore w:val="0"/>
                    <w:widowControl/>
                    <w:kinsoku/>
                    <w:wordWrap/>
                    <w:overflowPunct/>
                    <w:topLinePunct w:val="0"/>
                    <w:autoSpaceDN/>
                    <w:bidi w:val="0"/>
                    <w:adjustRightInd/>
                    <w:snapToGrid/>
                    <w:spacing w:line="360" w:lineRule="exact"/>
                    <w:jc w:val="center"/>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sz w:val="21"/>
                      <w:szCs w:val="21"/>
                    </w:rPr>
                    <w:t>年均值</w:t>
                  </w:r>
                </w:p>
              </w:tc>
              <w:tc>
                <w:tcPr>
                  <w:tcW w:w="964" w:type="dxa"/>
                  <w:vAlign w:val="center"/>
                </w:tcPr>
                <w:p w14:paraId="06493DE8">
                  <w:pPr>
                    <w:keepNext w:val="0"/>
                    <w:keepLines w:val="0"/>
                    <w:pageBreakBefore w:val="0"/>
                    <w:widowControl/>
                    <w:kinsoku/>
                    <w:wordWrap/>
                    <w:overflowPunct/>
                    <w:topLinePunct w:val="0"/>
                    <w:autoSpaceDN/>
                    <w:bidi w:val="0"/>
                    <w:adjustRightInd/>
                    <w:snapToGrid/>
                    <w:spacing w:line="360" w:lineRule="exact"/>
                    <w:jc w:val="center"/>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sz w:val="21"/>
                      <w:szCs w:val="21"/>
                    </w:rPr>
                    <w:t>年均值</w:t>
                  </w:r>
                </w:p>
              </w:tc>
              <w:tc>
                <w:tcPr>
                  <w:tcW w:w="964" w:type="dxa"/>
                  <w:vAlign w:val="center"/>
                </w:tcPr>
                <w:p w14:paraId="4272CC16">
                  <w:pPr>
                    <w:keepNext w:val="0"/>
                    <w:keepLines w:val="0"/>
                    <w:pageBreakBefore w:val="0"/>
                    <w:widowControl/>
                    <w:kinsoku/>
                    <w:wordWrap/>
                    <w:overflowPunct/>
                    <w:topLinePunct w:val="0"/>
                    <w:autoSpaceDN/>
                    <w:bidi w:val="0"/>
                    <w:adjustRightInd/>
                    <w:snapToGrid/>
                    <w:spacing w:line="360" w:lineRule="exact"/>
                    <w:jc w:val="center"/>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sz w:val="21"/>
                      <w:szCs w:val="21"/>
                    </w:rPr>
                    <w:t>年均值</w:t>
                  </w:r>
                </w:p>
              </w:tc>
              <w:tc>
                <w:tcPr>
                  <w:tcW w:w="964" w:type="dxa"/>
                  <w:vAlign w:val="center"/>
                </w:tcPr>
                <w:p w14:paraId="100E9DB5">
                  <w:pPr>
                    <w:keepNext w:val="0"/>
                    <w:keepLines w:val="0"/>
                    <w:pageBreakBefore w:val="0"/>
                    <w:widowControl/>
                    <w:kinsoku/>
                    <w:wordWrap/>
                    <w:overflowPunct/>
                    <w:topLinePunct w:val="0"/>
                    <w:autoSpaceDN/>
                    <w:bidi w:val="0"/>
                    <w:adjustRightInd/>
                    <w:snapToGrid/>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95百分</w:t>
                  </w:r>
                </w:p>
                <w:p w14:paraId="38E47A1D">
                  <w:pPr>
                    <w:keepNext w:val="0"/>
                    <w:keepLines w:val="0"/>
                    <w:pageBreakBefore w:val="0"/>
                    <w:widowControl/>
                    <w:kinsoku/>
                    <w:wordWrap/>
                    <w:overflowPunct/>
                    <w:topLinePunct w:val="0"/>
                    <w:autoSpaceDN/>
                    <w:bidi w:val="0"/>
                    <w:adjustRightInd/>
                    <w:snapToGrid/>
                    <w:spacing w:line="360" w:lineRule="exact"/>
                    <w:jc w:val="center"/>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sz w:val="21"/>
                      <w:szCs w:val="21"/>
                    </w:rPr>
                    <w:t>位数</w:t>
                  </w:r>
                </w:p>
              </w:tc>
              <w:tc>
                <w:tcPr>
                  <w:tcW w:w="965" w:type="dxa"/>
                  <w:vAlign w:val="center"/>
                </w:tcPr>
                <w:p w14:paraId="3DCF7A92">
                  <w:pPr>
                    <w:keepNext w:val="0"/>
                    <w:keepLines w:val="0"/>
                    <w:pageBreakBefore w:val="0"/>
                    <w:widowControl/>
                    <w:kinsoku/>
                    <w:wordWrap/>
                    <w:overflowPunct/>
                    <w:topLinePunct w:val="0"/>
                    <w:autoSpaceDN/>
                    <w:bidi w:val="0"/>
                    <w:adjustRightInd/>
                    <w:snapToGrid/>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90百分</w:t>
                  </w:r>
                </w:p>
                <w:p w14:paraId="58FD614B">
                  <w:pPr>
                    <w:keepNext w:val="0"/>
                    <w:keepLines w:val="0"/>
                    <w:pageBreakBefore w:val="0"/>
                    <w:widowControl/>
                    <w:kinsoku/>
                    <w:wordWrap/>
                    <w:overflowPunct/>
                    <w:topLinePunct w:val="0"/>
                    <w:autoSpaceDN/>
                    <w:bidi w:val="0"/>
                    <w:adjustRightInd/>
                    <w:snapToGrid/>
                    <w:spacing w:line="360" w:lineRule="exact"/>
                    <w:jc w:val="center"/>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sz w:val="21"/>
                      <w:szCs w:val="21"/>
                    </w:rPr>
                    <w:t>位数</w:t>
                  </w:r>
                </w:p>
              </w:tc>
              <w:tc>
                <w:tcPr>
                  <w:tcW w:w="965" w:type="dxa"/>
                  <w:vMerge w:val="continue"/>
                  <w:vAlign w:val="center"/>
                </w:tcPr>
                <w:p w14:paraId="2610A104">
                  <w:pPr>
                    <w:widowControl/>
                    <w:spacing w:line="360" w:lineRule="auto"/>
                    <w:jc w:val="center"/>
                    <w:rPr>
                      <w:rFonts w:hint="default" w:ascii="Times New Roman" w:hAnsi="Times New Roman" w:eastAsia="宋体" w:cs="Times New Roman"/>
                      <w:b/>
                      <w:bCs/>
                      <w:sz w:val="21"/>
                      <w:szCs w:val="21"/>
                      <w:vertAlign w:val="baseline"/>
                    </w:rPr>
                  </w:pPr>
                </w:p>
              </w:tc>
            </w:tr>
            <w:tr w14:paraId="4AC65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964" w:type="dxa"/>
                  <w:vMerge w:val="restart"/>
                  <w:vAlign w:val="center"/>
                </w:tcPr>
                <w:p w14:paraId="107E8685">
                  <w:pPr>
                    <w:widowControl/>
                    <w:spacing w:line="360" w:lineRule="auto"/>
                    <w:jc w:val="center"/>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sz w:val="21"/>
                      <w:szCs w:val="21"/>
                    </w:rPr>
                    <w:t>芒市</w:t>
                  </w:r>
                </w:p>
              </w:tc>
              <w:tc>
                <w:tcPr>
                  <w:tcW w:w="964" w:type="dxa"/>
                  <w:vAlign w:val="center"/>
                </w:tcPr>
                <w:p w14:paraId="32E6E38D">
                  <w:pPr>
                    <w:keepNext w:val="0"/>
                    <w:keepLines w:val="0"/>
                    <w:pageBreakBefore w:val="0"/>
                    <w:kinsoku/>
                    <w:wordWrap/>
                    <w:overflowPunct/>
                    <w:topLinePunct w:val="0"/>
                    <w:autoSpaceDN/>
                    <w:bidi w:val="0"/>
                    <w:adjustRightInd/>
                    <w:snapToGrid/>
                    <w:spacing w:line="360" w:lineRule="exact"/>
                    <w:jc w:val="center"/>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sz w:val="21"/>
                      <w:szCs w:val="21"/>
                    </w:rPr>
                    <w:t>13</w:t>
                  </w:r>
                </w:p>
              </w:tc>
              <w:tc>
                <w:tcPr>
                  <w:tcW w:w="964" w:type="dxa"/>
                  <w:vAlign w:val="center"/>
                </w:tcPr>
                <w:p w14:paraId="2D1F7B40">
                  <w:pPr>
                    <w:keepNext w:val="0"/>
                    <w:keepLines w:val="0"/>
                    <w:pageBreakBefore w:val="0"/>
                    <w:kinsoku/>
                    <w:wordWrap/>
                    <w:overflowPunct/>
                    <w:topLinePunct w:val="0"/>
                    <w:autoSpaceDN/>
                    <w:bidi w:val="0"/>
                    <w:adjustRightInd/>
                    <w:snapToGrid/>
                    <w:spacing w:line="360" w:lineRule="exact"/>
                    <w:jc w:val="center"/>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sz w:val="21"/>
                      <w:szCs w:val="21"/>
                    </w:rPr>
                    <w:t>16</w:t>
                  </w:r>
                </w:p>
              </w:tc>
              <w:tc>
                <w:tcPr>
                  <w:tcW w:w="964" w:type="dxa"/>
                  <w:vAlign w:val="center"/>
                </w:tcPr>
                <w:p w14:paraId="5E884C69">
                  <w:pPr>
                    <w:keepNext w:val="0"/>
                    <w:keepLines w:val="0"/>
                    <w:pageBreakBefore w:val="0"/>
                    <w:kinsoku/>
                    <w:wordWrap/>
                    <w:overflowPunct/>
                    <w:topLinePunct w:val="0"/>
                    <w:autoSpaceDN/>
                    <w:bidi w:val="0"/>
                    <w:adjustRightInd/>
                    <w:snapToGrid/>
                    <w:spacing w:line="360" w:lineRule="exact"/>
                    <w:jc w:val="center"/>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sz w:val="21"/>
                      <w:szCs w:val="21"/>
                    </w:rPr>
                    <w:t>48</w:t>
                  </w:r>
                </w:p>
              </w:tc>
              <w:tc>
                <w:tcPr>
                  <w:tcW w:w="964" w:type="dxa"/>
                  <w:vAlign w:val="center"/>
                </w:tcPr>
                <w:p w14:paraId="76EA828F">
                  <w:pPr>
                    <w:keepNext w:val="0"/>
                    <w:keepLines w:val="0"/>
                    <w:pageBreakBefore w:val="0"/>
                    <w:kinsoku/>
                    <w:wordWrap/>
                    <w:overflowPunct/>
                    <w:topLinePunct w:val="0"/>
                    <w:autoSpaceDN/>
                    <w:bidi w:val="0"/>
                    <w:adjustRightInd/>
                    <w:snapToGrid/>
                    <w:spacing w:line="360" w:lineRule="exact"/>
                    <w:jc w:val="center"/>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sz w:val="21"/>
                      <w:szCs w:val="21"/>
                    </w:rPr>
                    <w:t>26</w:t>
                  </w:r>
                </w:p>
              </w:tc>
              <w:tc>
                <w:tcPr>
                  <w:tcW w:w="964" w:type="dxa"/>
                  <w:vAlign w:val="center"/>
                </w:tcPr>
                <w:p w14:paraId="21143DD0">
                  <w:pPr>
                    <w:keepNext w:val="0"/>
                    <w:keepLines w:val="0"/>
                    <w:pageBreakBefore w:val="0"/>
                    <w:kinsoku/>
                    <w:wordWrap/>
                    <w:overflowPunct/>
                    <w:topLinePunct w:val="0"/>
                    <w:autoSpaceDN/>
                    <w:bidi w:val="0"/>
                    <w:adjustRightInd/>
                    <w:snapToGrid/>
                    <w:spacing w:line="360" w:lineRule="exact"/>
                    <w:jc w:val="center"/>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sz w:val="21"/>
                      <w:szCs w:val="21"/>
                    </w:rPr>
                    <w:t>1.1</w:t>
                  </w:r>
                </w:p>
              </w:tc>
              <w:tc>
                <w:tcPr>
                  <w:tcW w:w="965" w:type="dxa"/>
                  <w:vAlign w:val="center"/>
                </w:tcPr>
                <w:p w14:paraId="0D325359">
                  <w:pPr>
                    <w:keepNext w:val="0"/>
                    <w:keepLines w:val="0"/>
                    <w:pageBreakBefore w:val="0"/>
                    <w:kinsoku/>
                    <w:wordWrap/>
                    <w:overflowPunct/>
                    <w:topLinePunct w:val="0"/>
                    <w:autoSpaceDN/>
                    <w:bidi w:val="0"/>
                    <w:adjustRightInd/>
                    <w:snapToGrid/>
                    <w:spacing w:line="360" w:lineRule="exact"/>
                    <w:jc w:val="center"/>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sz w:val="21"/>
                      <w:szCs w:val="21"/>
                    </w:rPr>
                    <w:t>132</w:t>
                  </w:r>
                </w:p>
              </w:tc>
              <w:tc>
                <w:tcPr>
                  <w:tcW w:w="965" w:type="dxa"/>
                  <w:vMerge w:val="restart"/>
                  <w:vAlign w:val="center"/>
                </w:tcPr>
                <w:p w14:paraId="4F656AC9">
                  <w:pPr>
                    <w:widowControl/>
                    <w:spacing w:line="360" w:lineRule="auto"/>
                    <w:jc w:val="center"/>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sz w:val="21"/>
                      <w:szCs w:val="21"/>
                    </w:rPr>
                    <w:t>二级</w:t>
                  </w:r>
                </w:p>
              </w:tc>
            </w:tr>
            <w:tr w14:paraId="46081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964" w:type="dxa"/>
                  <w:vMerge w:val="continue"/>
                  <w:vAlign w:val="center"/>
                </w:tcPr>
                <w:p w14:paraId="1B09BD29">
                  <w:pPr>
                    <w:widowControl/>
                    <w:spacing w:line="360" w:lineRule="auto"/>
                    <w:jc w:val="center"/>
                    <w:rPr>
                      <w:rFonts w:hint="default" w:ascii="Times New Roman" w:hAnsi="Times New Roman" w:eastAsia="宋体" w:cs="Times New Roman"/>
                      <w:b/>
                      <w:bCs/>
                      <w:sz w:val="21"/>
                      <w:szCs w:val="21"/>
                      <w:vertAlign w:val="baseline"/>
                    </w:rPr>
                  </w:pPr>
                </w:p>
              </w:tc>
              <w:tc>
                <w:tcPr>
                  <w:tcW w:w="964" w:type="dxa"/>
                  <w:vAlign w:val="center"/>
                </w:tcPr>
                <w:p w14:paraId="6C58A988">
                  <w:pPr>
                    <w:keepNext w:val="0"/>
                    <w:keepLines w:val="0"/>
                    <w:pageBreakBefore w:val="0"/>
                    <w:kinsoku/>
                    <w:wordWrap/>
                    <w:overflowPunct/>
                    <w:topLinePunct w:val="0"/>
                    <w:autoSpaceDN/>
                    <w:bidi w:val="0"/>
                    <w:adjustRightInd/>
                    <w:snapToGrid/>
                    <w:spacing w:line="360" w:lineRule="exact"/>
                    <w:jc w:val="center"/>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sz w:val="21"/>
                      <w:szCs w:val="21"/>
                    </w:rPr>
                    <w:t>一级</w:t>
                  </w:r>
                </w:p>
              </w:tc>
              <w:tc>
                <w:tcPr>
                  <w:tcW w:w="964" w:type="dxa"/>
                  <w:vAlign w:val="center"/>
                </w:tcPr>
                <w:p w14:paraId="0860CCC2">
                  <w:pPr>
                    <w:keepNext w:val="0"/>
                    <w:keepLines w:val="0"/>
                    <w:pageBreakBefore w:val="0"/>
                    <w:kinsoku/>
                    <w:wordWrap/>
                    <w:overflowPunct/>
                    <w:topLinePunct w:val="0"/>
                    <w:autoSpaceDN/>
                    <w:bidi w:val="0"/>
                    <w:adjustRightInd/>
                    <w:snapToGrid/>
                    <w:spacing w:line="360" w:lineRule="exact"/>
                    <w:jc w:val="center"/>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sz w:val="21"/>
                      <w:szCs w:val="21"/>
                    </w:rPr>
                    <w:t>一级</w:t>
                  </w:r>
                </w:p>
              </w:tc>
              <w:tc>
                <w:tcPr>
                  <w:tcW w:w="964" w:type="dxa"/>
                  <w:vAlign w:val="center"/>
                </w:tcPr>
                <w:p w14:paraId="5AFF1940">
                  <w:pPr>
                    <w:keepNext w:val="0"/>
                    <w:keepLines w:val="0"/>
                    <w:pageBreakBefore w:val="0"/>
                    <w:kinsoku/>
                    <w:wordWrap/>
                    <w:overflowPunct/>
                    <w:topLinePunct w:val="0"/>
                    <w:autoSpaceDN/>
                    <w:bidi w:val="0"/>
                    <w:adjustRightInd/>
                    <w:snapToGrid/>
                    <w:spacing w:line="360" w:lineRule="exact"/>
                    <w:jc w:val="center"/>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sz w:val="21"/>
                      <w:szCs w:val="21"/>
                    </w:rPr>
                    <w:t>二级</w:t>
                  </w:r>
                </w:p>
              </w:tc>
              <w:tc>
                <w:tcPr>
                  <w:tcW w:w="964" w:type="dxa"/>
                  <w:vAlign w:val="center"/>
                </w:tcPr>
                <w:p w14:paraId="56D69BBA">
                  <w:pPr>
                    <w:keepNext w:val="0"/>
                    <w:keepLines w:val="0"/>
                    <w:pageBreakBefore w:val="0"/>
                    <w:kinsoku/>
                    <w:wordWrap/>
                    <w:overflowPunct/>
                    <w:topLinePunct w:val="0"/>
                    <w:autoSpaceDN/>
                    <w:bidi w:val="0"/>
                    <w:adjustRightInd/>
                    <w:snapToGrid/>
                    <w:spacing w:line="360" w:lineRule="exact"/>
                    <w:jc w:val="center"/>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sz w:val="21"/>
                      <w:szCs w:val="21"/>
                    </w:rPr>
                    <w:t>二级</w:t>
                  </w:r>
                </w:p>
              </w:tc>
              <w:tc>
                <w:tcPr>
                  <w:tcW w:w="964" w:type="dxa"/>
                  <w:vAlign w:val="center"/>
                </w:tcPr>
                <w:p w14:paraId="5E6E890A">
                  <w:pPr>
                    <w:keepNext w:val="0"/>
                    <w:keepLines w:val="0"/>
                    <w:pageBreakBefore w:val="0"/>
                    <w:kinsoku/>
                    <w:wordWrap/>
                    <w:overflowPunct/>
                    <w:topLinePunct w:val="0"/>
                    <w:autoSpaceDN/>
                    <w:bidi w:val="0"/>
                    <w:adjustRightInd/>
                    <w:snapToGrid/>
                    <w:spacing w:line="360" w:lineRule="exact"/>
                    <w:jc w:val="center"/>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sz w:val="21"/>
                      <w:szCs w:val="21"/>
                    </w:rPr>
                    <w:t>一级</w:t>
                  </w:r>
                </w:p>
              </w:tc>
              <w:tc>
                <w:tcPr>
                  <w:tcW w:w="965" w:type="dxa"/>
                  <w:vAlign w:val="center"/>
                </w:tcPr>
                <w:p w14:paraId="3C37970A">
                  <w:pPr>
                    <w:keepNext w:val="0"/>
                    <w:keepLines w:val="0"/>
                    <w:pageBreakBefore w:val="0"/>
                    <w:kinsoku/>
                    <w:wordWrap/>
                    <w:overflowPunct/>
                    <w:topLinePunct w:val="0"/>
                    <w:autoSpaceDN/>
                    <w:bidi w:val="0"/>
                    <w:adjustRightInd/>
                    <w:snapToGrid/>
                    <w:spacing w:line="360" w:lineRule="exact"/>
                    <w:jc w:val="center"/>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sz w:val="21"/>
                      <w:szCs w:val="21"/>
                    </w:rPr>
                    <w:t>二级</w:t>
                  </w:r>
                </w:p>
              </w:tc>
              <w:tc>
                <w:tcPr>
                  <w:tcW w:w="965" w:type="dxa"/>
                  <w:vMerge w:val="continue"/>
                  <w:vAlign w:val="center"/>
                </w:tcPr>
                <w:p w14:paraId="03AA5E63">
                  <w:pPr>
                    <w:widowControl/>
                    <w:spacing w:line="360" w:lineRule="auto"/>
                    <w:jc w:val="center"/>
                    <w:rPr>
                      <w:rFonts w:hint="default" w:ascii="Times New Roman" w:hAnsi="Times New Roman" w:eastAsia="宋体" w:cs="Times New Roman"/>
                      <w:b/>
                      <w:bCs/>
                      <w:sz w:val="21"/>
                      <w:szCs w:val="21"/>
                      <w:vertAlign w:val="baseline"/>
                    </w:rPr>
                  </w:pPr>
                </w:p>
              </w:tc>
            </w:tr>
          </w:tbl>
          <w:p w14:paraId="18DE9CB3">
            <w:pPr>
              <w:widowControl/>
              <w:spacing w:line="360" w:lineRule="auto"/>
              <w:jc w:val="both"/>
              <w:rPr>
                <w:rFonts w:hint="eastAsia" w:ascii="宋体" w:hAnsi="宋体" w:eastAsia="宋体" w:cs="宋体"/>
                <w:b/>
                <w:bCs/>
                <w:sz w:val="24"/>
              </w:rPr>
            </w:pPr>
          </w:p>
          <w:p w14:paraId="69C350ED">
            <w:pPr>
              <w:adjustRightInd w:val="0"/>
              <w:snapToGrid w:val="0"/>
              <w:spacing w:line="360" w:lineRule="auto"/>
              <w:ind w:firstLine="480" w:firstLineChars="200"/>
              <w:rPr>
                <w:bCs/>
                <w:kern w:val="0"/>
                <w:sz w:val="24"/>
              </w:rPr>
            </w:pPr>
            <w:r>
              <w:rPr>
                <w:bCs/>
                <w:kern w:val="0"/>
                <w:sz w:val="24"/>
                <w:lang w:bidi="ar"/>
              </w:rPr>
              <w:t>由上表可知：</w:t>
            </w:r>
            <w:r>
              <w:rPr>
                <w:rFonts w:hint="eastAsia"/>
                <w:bCs/>
                <w:kern w:val="0"/>
                <w:sz w:val="24"/>
                <w:lang w:eastAsia="zh-CN" w:bidi="ar"/>
              </w:rPr>
              <w:t>区域</w:t>
            </w:r>
            <w:r>
              <w:rPr>
                <w:bCs/>
                <w:kern w:val="28"/>
                <w:sz w:val="24"/>
              </w:rPr>
              <w:t>PM</w:t>
            </w:r>
            <w:r>
              <w:rPr>
                <w:bCs/>
                <w:kern w:val="28"/>
                <w:sz w:val="24"/>
                <w:vertAlign w:val="subscript"/>
              </w:rPr>
              <w:t>10</w:t>
            </w:r>
            <w:r>
              <w:rPr>
                <w:rFonts w:hint="eastAsia"/>
                <w:bCs/>
                <w:kern w:val="28"/>
                <w:sz w:val="24"/>
              </w:rPr>
              <w:t>、</w:t>
            </w:r>
            <w:r>
              <w:rPr>
                <w:bCs/>
                <w:kern w:val="28"/>
                <w:sz w:val="24"/>
              </w:rPr>
              <w:t>PM</w:t>
            </w:r>
            <w:r>
              <w:rPr>
                <w:bCs/>
                <w:kern w:val="28"/>
                <w:sz w:val="24"/>
                <w:vertAlign w:val="subscript"/>
              </w:rPr>
              <w:t>2.5</w:t>
            </w:r>
            <w:r>
              <w:rPr>
                <w:rFonts w:hint="eastAsia"/>
                <w:bCs/>
                <w:kern w:val="28"/>
                <w:sz w:val="24"/>
              </w:rPr>
              <w:t>、</w:t>
            </w:r>
            <w:r>
              <w:rPr>
                <w:bCs/>
                <w:kern w:val="28"/>
                <w:sz w:val="24"/>
              </w:rPr>
              <w:t>SO</w:t>
            </w:r>
            <w:r>
              <w:rPr>
                <w:bCs/>
                <w:kern w:val="28"/>
                <w:sz w:val="24"/>
                <w:vertAlign w:val="subscript"/>
              </w:rPr>
              <w:t>2</w:t>
            </w:r>
            <w:r>
              <w:rPr>
                <w:rFonts w:hint="eastAsia"/>
                <w:bCs/>
                <w:kern w:val="28"/>
                <w:sz w:val="24"/>
              </w:rPr>
              <w:t>、</w:t>
            </w:r>
            <w:r>
              <w:rPr>
                <w:bCs/>
                <w:kern w:val="28"/>
                <w:sz w:val="24"/>
              </w:rPr>
              <w:t>NO</w:t>
            </w:r>
            <w:r>
              <w:rPr>
                <w:bCs/>
                <w:kern w:val="28"/>
                <w:sz w:val="24"/>
                <w:vertAlign w:val="subscript"/>
              </w:rPr>
              <w:t>2</w:t>
            </w:r>
            <w:r>
              <w:rPr>
                <w:rFonts w:hint="eastAsia"/>
                <w:bCs/>
                <w:kern w:val="28"/>
                <w:sz w:val="24"/>
              </w:rPr>
              <w:t>、</w:t>
            </w:r>
            <w:r>
              <w:rPr>
                <w:bCs/>
                <w:kern w:val="28"/>
                <w:sz w:val="24"/>
              </w:rPr>
              <w:t>CO</w:t>
            </w:r>
            <w:r>
              <w:rPr>
                <w:rFonts w:hint="eastAsia"/>
                <w:bCs/>
                <w:kern w:val="28"/>
                <w:sz w:val="24"/>
              </w:rPr>
              <w:t>、</w:t>
            </w:r>
            <w:r>
              <w:rPr>
                <w:bCs/>
                <w:kern w:val="28"/>
                <w:sz w:val="24"/>
              </w:rPr>
              <w:t>O</w:t>
            </w:r>
            <w:r>
              <w:rPr>
                <w:bCs/>
                <w:kern w:val="28"/>
                <w:sz w:val="24"/>
                <w:vertAlign w:val="subscript"/>
              </w:rPr>
              <w:t>3</w:t>
            </w:r>
            <w:r>
              <w:rPr>
                <w:rFonts w:hint="eastAsia"/>
                <w:bCs/>
                <w:kern w:val="28"/>
                <w:sz w:val="24"/>
              </w:rPr>
              <w:t>六项污染物</w:t>
            </w:r>
            <w:r>
              <w:rPr>
                <w:bCs/>
                <w:kern w:val="28"/>
                <w:sz w:val="24"/>
              </w:rPr>
              <w:t>均达到《环境空气质量标准》（GB3095-2012）二级标准要求</w:t>
            </w:r>
            <w:r>
              <w:rPr>
                <w:rFonts w:hint="eastAsia"/>
                <w:bCs/>
                <w:kern w:val="28"/>
                <w:sz w:val="24"/>
                <w:lang w:eastAsia="zh-CN"/>
              </w:rPr>
              <w:t>，</w:t>
            </w:r>
            <w:r>
              <w:rPr>
                <w:bCs/>
                <w:sz w:val="24"/>
              </w:rPr>
              <w:t>区域环境空气质量良好</w:t>
            </w:r>
            <w:r>
              <w:rPr>
                <w:bCs/>
                <w:kern w:val="0"/>
                <w:sz w:val="24"/>
              </w:rPr>
              <w:t>，属于达标区。</w:t>
            </w:r>
          </w:p>
          <w:p w14:paraId="044C5B8D">
            <w:pPr>
              <w:adjustRightInd w:val="0"/>
              <w:snapToGrid w:val="0"/>
              <w:spacing w:line="360" w:lineRule="auto"/>
              <w:ind w:firstLine="482" w:firstLineChars="200"/>
              <w:rPr>
                <w:rFonts w:hint="eastAsia" w:ascii="宋体" w:hAnsi="宋体" w:cs="宋体"/>
                <w:b/>
                <w:bCs/>
                <w:sz w:val="24"/>
              </w:rPr>
            </w:pPr>
            <w:r>
              <w:rPr>
                <w:rFonts w:hint="eastAsia" w:ascii="宋体" w:hAnsi="宋体" w:cs="宋体"/>
                <w:b/>
                <w:bCs/>
                <w:sz w:val="24"/>
              </w:rPr>
              <w:t>（2）其他污染因子、特征污染因子环境质量现状</w:t>
            </w:r>
          </w:p>
          <w:p w14:paraId="70F6E7BD">
            <w:pPr>
              <w:spacing w:line="440" w:lineRule="exact"/>
              <w:ind w:firstLine="480" w:firstLineChars="200"/>
              <w:jc w:val="both"/>
              <w:rPr>
                <w:rFonts w:hint="eastAsia"/>
                <w:color w:val="000000" w:themeColor="text1"/>
                <w:lang w:val="en-US" w:eastAsia="zh-CN"/>
                <w14:textFill>
                  <w14:solidFill>
                    <w14:schemeClr w14:val="tx1"/>
                  </w14:solidFill>
                </w14:textFill>
              </w:rPr>
            </w:pPr>
            <w:r>
              <w:rPr>
                <w:rFonts w:hint="eastAsia"/>
                <w:color w:val="000000"/>
                <w:sz w:val="24"/>
              </w:rPr>
              <w:t>根据项目特点，本项目特征污染物为TSP、挥发性有机物，本环评TSP现状监测数据引用项目</w:t>
            </w:r>
            <w:r>
              <w:rPr>
                <w:rFonts w:hint="eastAsia"/>
                <w:color w:val="000000"/>
                <w:sz w:val="24"/>
                <w:lang w:eastAsia="zh-CN"/>
              </w:rPr>
              <w:t>东南</w:t>
            </w:r>
            <w:r>
              <w:rPr>
                <w:rFonts w:hint="eastAsia"/>
                <w:color w:val="000000"/>
                <w:sz w:val="24"/>
              </w:rPr>
              <w:t>侧约</w:t>
            </w:r>
            <w:r>
              <w:rPr>
                <w:rFonts w:hint="eastAsia"/>
                <w:color w:val="000000"/>
                <w:sz w:val="24"/>
                <w:lang w:val="en-US" w:eastAsia="zh-CN"/>
              </w:rPr>
              <w:t>4.5</w:t>
            </w:r>
            <w:r>
              <w:rPr>
                <w:rFonts w:hint="eastAsia"/>
                <w:color w:val="000000"/>
                <w:sz w:val="24"/>
              </w:rPr>
              <w:t>km处的</w:t>
            </w:r>
            <w:r>
              <w:rPr>
                <w:rFonts w:hint="eastAsia"/>
                <w:color w:val="000000"/>
                <w:sz w:val="24"/>
                <w:lang w:eastAsia="zh-CN"/>
              </w:rPr>
              <w:t>《</w:t>
            </w:r>
            <w:r>
              <w:rPr>
                <w:rFonts w:hint="eastAsia" w:ascii="Times New Roman" w:hAnsi="Times New Roman" w:cs="Times New Roman"/>
                <w:b w:val="0"/>
                <w:bCs w:val="0"/>
                <w:color w:val="auto"/>
                <w:sz w:val="24"/>
                <w:szCs w:val="24"/>
                <w:lang w:eastAsia="zh-CN"/>
              </w:rPr>
              <w:t>芒市遮放镇户拉鑫鸿木材加工厂建设项目</w:t>
            </w:r>
            <w:r>
              <w:rPr>
                <w:rFonts w:hint="eastAsia"/>
                <w:color w:val="auto"/>
                <w:sz w:val="24"/>
              </w:rPr>
              <w:t>》于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2023年3月5日-8日现状监测，监测报告编号（H202212077）详见附件</w:t>
            </w:r>
            <w:r>
              <w:rPr>
                <w:rFonts w:hint="eastAsia" w:cs="Times New Roman"/>
                <w:color w:val="000000" w:themeColor="text1"/>
                <w:sz w:val="24"/>
                <w:szCs w:val="24"/>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，项目区域TSP、非甲烷总烃现状监测结果详见表3-2。</w:t>
            </w:r>
            <w:bookmarkStart w:id="7" w:name="_Hlk88470256"/>
          </w:p>
          <w:p w14:paraId="177F83A0">
            <w:pPr>
              <w:spacing w:line="240" w:lineRule="auto"/>
              <w:jc w:val="both"/>
              <w:rPr>
                <w:rFonts w:ascii="Times New Roman" w:hAnsi="宋体" w:eastAsia="宋体" w:cs="Times New Roman"/>
                <w:b/>
                <w:bCs/>
                <w:color w:val="auto"/>
                <w:sz w:val="24"/>
                <w:szCs w:val="24"/>
                <w:highlight w:val="none"/>
              </w:rPr>
            </w:pPr>
          </w:p>
          <w:p w14:paraId="421B2875">
            <w:pPr>
              <w:spacing w:line="240" w:lineRule="auto"/>
              <w:jc w:val="center"/>
            </w:pPr>
            <w:r>
              <w:rPr>
                <w:rFonts w:ascii="Times New Roman" w:hAnsi="宋体" w:eastAsia="宋体" w:cs="Times New Roman"/>
                <w:b/>
                <w:bCs/>
                <w:color w:val="auto"/>
                <w:sz w:val="24"/>
                <w:szCs w:val="24"/>
                <w:highlight w:val="none"/>
              </w:rPr>
              <w:t>表</w:t>
            </w:r>
            <w:r>
              <w:rPr>
                <w:rFonts w:ascii="Times New Roman" w:hAnsi="Times New Roman" w:eastAsia="宋体" w:cs="Times New Roman"/>
                <w:b/>
                <w:bCs/>
                <w:color w:val="auto"/>
                <w:sz w:val="24"/>
                <w:szCs w:val="24"/>
                <w:highlight w:val="none"/>
              </w:rPr>
              <w:t>3-</w:t>
            </w:r>
            <w:r>
              <w:rPr>
                <w:rFonts w:hint="eastAsia" w:ascii="Times New Roman" w:hAnsi="Times New Roman" w:eastAsia="宋体" w:cs="Times New Roman"/>
                <w:b/>
                <w:bCs/>
                <w:color w:val="auto"/>
                <w:sz w:val="24"/>
                <w:szCs w:val="24"/>
                <w:highlight w:val="none"/>
                <w:lang w:val="en-US" w:eastAsia="zh-CN"/>
              </w:rPr>
              <w:t>2 现状监测TSP、非甲烷总烃</w:t>
            </w:r>
            <w:r>
              <w:rPr>
                <w:rFonts w:ascii="Times New Roman" w:hAnsi="宋体" w:eastAsia="宋体" w:cs="Times New Roman"/>
                <w:b/>
                <w:bCs/>
                <w:color w:val="auto"/>
                <w:sz w:val="24"/>
                <w:szCs w:val="24"/>
                <w:highlight w:val="none"/>
              </w:rPr>
              <w:t>废气检测结果一览表（标准状态）</w:t>
            </w:r>
          </w:p>
          <w:tbl>
            <w:tblPr>
              <w:tblStyle w:val="23"/>
              <w:tblW w:w="751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02"/>
              <w:gridCol w:w="1178"/>
              <w:gridCol w:w="733"/>
              <w:gridCol w:w="1293"/>
              <w:gridCol w:w="1100"/>
              <w:gridCol w:w="807"/>
              <w:gridCol w:w="683"/>
              <w:gridCol w:w="921"/>
            </w:tblGrid>
            <w:tr w14:paraId="760CC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4" w:hRule="atLeast"/>
                <w:jc w:val="center"/>
              </w:trPr>
              <w:tc>
                <w:tcPr>
                  <w:tcW w:w="533" w:type="pct"/>
                  <w:noWrap w:val="0"/>
                  <w:tcMar>
                    <w:top w:w="15" w:type="dxa"/>
                    <w:left w:w="15" w:type="dxa"/>
                    <w:bottom w:w="15" w:type="dxa"/>
                    <w:right w:w="15" w:type="dxa"/>
                  </w:tcMar>
                  <w:vAlign w:val="center"/>
                </w:tcPr>
                <w:p w14:paraId="6345F872">
                  <w:pPr>
                    <w:spacing w:line="360" w:lineRule="auto"/>
                    <w:jc w:val="center"/>
                    <w:rPr>
                      <w:rFonts w:hint="default" w:ascii="Times New Roman" w:hAnsi="Times New Roman" w:cs="Times New Roman"/>
                      <w:b/>
                      <w:bCs/>
                      <w:kern w:val="2"/>
                      <w:sz w:val="21"/>
                      <w:szCs w:val="24"/>
                      <w:highlight w:val="none"/>
                      <w:lang w:val="en-US" w:eastAsia="zh-CN" w:bidi="ar-SA"/>
                    </w:rPr>
                  </w:pPr>
                  <w:r>
                    <w:rPr>
                      <w:rFonts w:hint="default" w:ascii="Times New Roman" w:hAnsi="Times New Roman" w:cs="Times New Roman"/>
                      <w:b/>
                      <w:bCs/>
                      <w:highlight w:val="none"/>
                    </w:rPr>
                    <w:t>分析项目</w:t>
                  </w:r>
                </w:p>
              </w:tc>
              <w:tc>
                <w:tcPr>
                  <w:tcW w:w="1271" w:type="pct"/>
                  <w:gridSpan w:val="2"/>
                  <w:noWrap w:val="0"/>
                  <w:tcMar>
                    <w:top w:w="15" w:type="dxa"/>
                    <w:left w:w="15" w:type="dxa"/>
                    <w:bottom w:w="15" w:type="dxa"/>
                    <w:right w:w="15" w:type="dxa"/>
                  </w:tcMar>
                  <w:vAlign w:val="center"/>
                </w:tcPr>
                <w:p w14:paraId="23ABEFD9">
                  <w:pPr>
                    <w:spacing w:line="360" w:lineRule="auto"/>
                    <w:jc w:val="center"/>
                    <w:rPr>
                      <w:rFonts w:hint="default" w:ascii="Times New Roman" w:hAnsi="Times New Roman" w:cs="Times New Roman"/>
                      <w:b/>
                      <w:bCs/>
                      <w:kern w:val="2"/>
                      <w:sz w:val="21"/>
                      <w:szCs w:val="24"/>
                      <w:highlight w:val="none"/>
                      <w:lang w:val="en-US" w:eastAsia="zh-CN" w:bidi="ar-SA"/>
                    </w:rPr>
                  </w:pPr>
                  <w:r>
                    <w:rPr>
                      <w:rFonts w:hint="default" w:ascii="Times New Roman" w:hAnsi="Times New Roman" w:cs="Times New Roman"/>
                      <w:b/>
                      <w:bCs/>
                      <w:highlight w:val="none"/>
                    </w:rPr>
                    <w:t>采样日期</w:t>
                  </w:r>
                </w:p>
              </w:tc>
              <w:tc>
                <w:tcPr>
                  <w:tcW w:w="860" w:type="pct"/>
                  <w:noWrap w:val="0"/>
                  <w:vAlign w:val="center"/>
                </w:tcPr>
                <w:p w14:paraId="5CA597C7">
                  <w:pPr>
                    <w:spacing w:line="360" w:lineRule="auto"/>
                    <w:jc w:val="center"/>
                    <w:rPr>
                      <w:rFonts w:hint="default" w:ascii="Times New Roman" w:hAnsi="Times New Roman" w:cs="Times New Roman"/>
                      <w:b/>
                      <w:bCs/>
                      <w:kern w:val="2"/>
                      <w:sz w:val="21"/>
                      <w:szCs w:val="24"/>
                      <w:highlight w:val="none"/>
                      <w:lang w:val="en-US" w:eastAsia="zh-CN" w:bidi="ar-SA"/>
                    </w:rPr>
                  </w:pPr>
                  <w:r>
                    <w:rPr>
                      <w:rFonts w:hint="default" w:ascii="Times New Roman" w:hAnsi="Times New Roman" w:cs="Times New Roman"/>
                      <w:b/>
                      <w:bCs/>
                      <w:highlight w:val="none"/>
                    </w:rPr>
                    <w:t>样品编号</w:t>
                  </w:r>
                </w:p>
              </w:tc>
              <w:tc>
                <w:tcPr>
                  <w:tcW w:w="731" w:type="pct"/>
                  <w:noWrap w:val="0"/>
                  <w:vAlign w:val="center"/>
                </w:tcPr>
                <w:p w14:paraId="6CD13728">
                  <w:pPr>
                    <w:spacing w:line="360" w:lineRule="auto"/>
                    <w:jc w:val="center"/>
                    <w:rPr>
                      <w:rFonts w:hint="default" w:ascii="Times New Roman" w:hAnsi="Times New Roman" w:cs="Times New Roman"/>
                      <w:b/>
                      <w:bCs/>
                      <w:kern w:val="2"/>
                      <w:sz w:val="21"/>
                      <w:szCs w:val="24"/>
                      <w:highlight w:val="none"/>
                      <w:lang w:val="en-US" w:eastAsia="zh-CN" w:bidi="ar-SA"/>
                    </w:rPr>
                  </w:pPr>
                  <w:r>
                    <w:rPr>
                      <w:rFonts w:hint="default" w:ascii="Times New Roman" w:hAnsi="Times New Roman" w:cs="Times New Roman"/>
                      <w:b/>
                      <w:bCs/>
                      <w:highlight w:val="none"/>
                      <w:lang w:val="en-US" w:eastAsia="zh-CN"/>
                    </w:rPr>
                    <w:t>结果</w:t>
                  </w:r>
                </w:p>
              </w:tc>
              <w:tc>
                <w:tcPr>
                  <w:tcW w:w="536" w:type="pct"/>
                  <w:noWrap w:val="0"/>
                  <w:vAlign w:val="center"/>
                </w:tcPr>
                <w:p w14:paraId="536ABBC0">
                  <w:pPr>
                    <w:spacing w:line="360" w:lineRule="auto"/>
                    <w:jc w:val="center"/>
                    <w:rPr>
                      <w:rFonts w:hint="default" w:ascii="Times New Roman" w:hAnsi="Times New Roman" w:cs="Times New Roman"/>
                      <w:b/>
                      <w:bCs/>
                      <w:kern w:val="2"/>
                      <w:sz w:val="21"/>
                      <w:szCs w:val="24"/>
                      <w:highlight w:val="none"/>
                      <w:lang w:val="en-US" w:eastAsia="zh-CN" w:bidi="ar-SA"/>
                    </w:rPr>
                  </w:pPr>
                  <w:r>
                    <w:rPr>
                      <w:rFonts w:hint="default" w:ascii="Times New Roman" w:hAnsi="Times New Roman" w:cs="Times New Roman"/>
                      <w:b/>
                      <w:bCs/>
                      <w:highlight w:val="none"/>
                    </w:rPr>
                    <w:t>单位</w:t>
                  </w:r>
                </w:p>
              </w:tc>
              <w:tc>
                <w:tcPr>
                  <w:tcW w:w="454" w:type="pct"/>
                  <w:noWrap w:val="0"/>
                  <w:vAlign w:val="center"/>
                </w:tcPr>
                <w:p w14:paraId="58AEB67B">
                  <w:pPr>
                    <w:spacing w:line="360" w:lineRule="auto"/>
                    <w:jc w:val="center"/>
                    <w:rPr>
                      <w:rFonts w:hint="default" w:ascii="Times New Roman" w:hAnsi="Times New Roman" w:eastAsia="宋体" w:cs="Times New Roman"/>
                      <w:b/>
                      <w:bCs/>
                      <w:highlight w:val="none"/>
                      <w:lang w:val="en-US" w:eastAsia="zh-CN"/>
                    </w:rPr>
                  </w:pPr>
                  <w:r>
                    <w:rPr>
                      <w:rFonts w:hint="default" w:ascii="Times New Roman" w:hAnsi="Times New Roman" w:cs="Times New Roman"/>
                      <w:b/>
                      <w:bCs/>
                      <w:highlight w:val="none"/>
                      <w:lang w:val="en-US" w:eastAsia="zh-CN"/>
                    </w:rPr>
                    <w:t>标准限值</w:t>
                  </w:r>
                </w:p>
              </w:tc>
              <w:tc>
                <w:tcPr>
                  <w:tcW w:w="612" w:type="pct"/>
                  <w:noWrap w:val="0"/>
                  <w:vAlign w:val="center"/>
                </w:tcPr>
                <w:p w14:paraId="0E4D897C">
                  <w:pPr>
                    <w:spacing w:line="360" w:lineRule="auto"/>
                    <w:jc w:val="center"/>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达标情况</w:t>
                  </w:r>
                </w:p>
              </w:tc>
            </w:tr>
            <w:tr w14:paraId="456EAB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533" w:type="pct"/>
                  <w:vMerge w:val="restart"/>
                  <w:noWrap w:val="0"/>
                  <w:tcMar>
                    <w:top w:w="15" w:type="dxa"/>
                    <w:left w:w="15" w:type="dxa"/>
                    <w:bottom w:w="15" w:type="dxa"/>
                    <w:right w:w="15" w:type="dxa"/>
                  </w:tcMar>
                  <w:vAlign w:val="center"/>
                </w:tcPr>
                <w:p w14:paraId="109CB8C9">
                  <w:pPr>
                    <w:jc w:val="center"/>
                    <w:rPr>
                      <w:rFonts w:hint="default" w:ascii="Times New Roman" w:hAnsi="Times New Roman" w:cs="Times New Roman"/>
                      <w:sz w:val="21"/>
                      <w:szCs w:val="21"/>
                    </w:rPr>
                  </w:pPr>
                  <w:r>
                    <w:rPr>
                      <w:rFonts w:hint="default" w:ascii="Times New Roman" w:hAnsi="Times New Roman" w:cs="Times New Roman"/>
                      <w:sz w:val="21"/>
                      <w:szCs w:val="21"/>
                    </w:rPr>
                    <w:t>总悬浮</w:t>
                  </w:r>
                </w:p>
                <w:p w14:paraId="48A6656E">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rPr>
                    <w:t>颗粒物</w:t>
                  </w:r>
                </w:p>
              </w:tc>
              <w:tc>
                <w:tcPr>
                  <w:tcW w:w="1271" w:type="pct"/>
                  <w:gridSpan w:val="2"/>
                  <w:noWrap w:val="0"/>
                  <w:tcMar>
                    <w:top w:w="15" w:type="dxa"/>
                    <w:left w:w="15" w:type="dxa"/>
                    <w:bottom w:w="15" w:type="dxa"/>
                    <w:right w:w="15" w:type="dxa"/>
                  </w:tcMar>
                  <w:vAlign w:val="center"/>
                </w:tcPr>
                <w:p w14:paraId="145DD869">
                  <w:pPr>
                    <w:keepNext w:val="0"/>
                    <w:keepLines w:val="0"/>
                    <w:widowControl/>
                    <w:suppressLineNumbers w:val="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202</w:t>
                  </w:r>
                  <w:r>
                    <w:rPr>
                      <w:rFonts w:hint="default" w:ascii="Times New Roman" w:hAnsi="Times New Roman"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03</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05(</w:t>
                  </w:r>
                  <w:r>
                    <w:rPr>
                      <w:rFonts w:hint="default" w:ascii="Times New Roman" w:hAnsi="Times New Roman" w:cs="Times New Roman"/>
                      <w:color w:val="auto"/>
                      <w:sz w:val="21"/>
                      <w:szCs w:val="21"/>
                      <w:highlight w:val="none"/>
                      <w:lang w:val="en-US" w:eastAsia="zh-CN"/>
                    </w:rPr>
                    <w:t>11:00</w:t>
                  </w:r>
                  <w:r>
                    <w:rPr>
                      <w:rFonts w:hint="default" w:ascii="Times New Roman" w:hAnsi="Times New Roman" w:cs="Times New Roman"/>
                      <w:i w:val="0"/>
                      <w:iCs w:val="0"/>
                      <w:color w:val="auto"/>
                      <w:kern w:val="0"/>
                      <w:sz w:val="21"/>
                      <w:szCs w:val="21"/>
                      <w:u w:val="none"/>
                      <w:lang w:val="en-US" w:eastAsia="zh-CN" w:bidi="ar"/>
                    </w:rPr>
                    <w:t>)~2023.03</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06(</w:t>
                  </w:r>
                  <w:r>
                    <w:rPr>
                      <w:rFonts w:hint="default" w:ascii="Times New Roman" w:hAnsi="Times New Roman" w:cs="Times New Roman"/>
                      <w:color w:val="auto"/>
                      <w:sz w:val="21"/>
                      <w:szCs w:val="21"/>
                      <w:highlight w:val="none"/>
                      <w:lang w:val="en-US" w:eastAsia="zh-CN"/>
                    </w:rPr>
                    <w:t>11:00</w:t>
                  </w:r>
                  <w:r>
                    <w:rPr>
                      <w:rFonts w:hint="default" w:ascii="Times New Roman" w:hAnsi="Times New Roman" w:cs="Times New Roman"/>
                      <w:i w:val="0"/>
                      <w:iCs w:val="0"/>
                      <w:color w:val="auto"/>
                      <w:kern w:val="0"/>
                      <w:sz w:val="21"/>
                      <w:szCs w:val="21"/>
                      <w:u w:val="none"/>
                      <w:lang w:val="en-US" w:eastAsia="zh-CN" w:bidi="ar"/>
                    </w:rPr>
                    <w:t>)</w:t>
                  </w:r>
                </w:p>
              </w:tc>
              <w:tc>
                <w:tcPr>
                  <w:tcW w:w="860" w:type="pct"/>
                  <w:noWrap w:val="0"/>
                  <w:vAlign w:val="center"/>
                </w:tcPr>
                <w:p w14:paraId="7CAEC19B">
                  <w:pPr>
                    <w:jc w:val="center"/>
                    <w:rPr>
                      <w:rFonts w:hint="default" w:ascii="Times New Roman" w:hAnsi="Times New Roman" w:cs="Times New Roman"/>
                      <w:bCs/>
                      <w:sz w:val="21"/>
                      <w:szCs w:val="21"/>
                      <w:highlight w:val="none"/>
                    </w:rPr>
                  </w:pPr>
                  <w:r>
                    <w:rPr>
                      <w:rFonts w:hint="default" w:ascii="Times New Roman" w:hAnsi="Times New Roman" w:cs="Times New Roman"/>
                      <w:sz w:val="21"/>
                      <w:szCs w:val="21"/>
                      <w:highlight w:val="none"/>
                      <w:lang w:eastAsia="zh-CN"/>
                    </w:rPr>
                    <w:t>2303016</w:t>
                  </w:r>
                  <w:r>
                    <w:rPr>
                      <w:rFonts w:hint="default" w:ascii="Times New Roman" w:hAnsi="Times New Roman" w:cs="Times New Roman"/>
                      <w:sz w:val="21"/>
                      <w:szCs w:val="21"/>
                      <w:highlight w:val="none"/>
                    </w:rPr>
                    <w:t>HQ01-1</w:t>
                  </w:r>
                  <w:r>
                    <w:rPr>
                      <w:rFonts w:hint="default" w:ascii="Times New Roman" w:hAnsi="Times New Roman" w:cs="Times New Roman"/>
                      <w:color w:val="auto"/>
                      <w:sz w:val="21"/>
                      <w:szCs w:val="21"/>
                      <w:highlight w:val="none"/>
                      <w:lang w:val="en-US" w:eastAsia="zh-CN"/>
                    </w:rPr>
                    <w:t>A</w:t>
                  </w:r>
                </w:p>
              </w:tc>
              <w:tc>
                <w:tcPr>
                  <w:tcW w:w="731" w:type="pct"/>
                  <w:noWrap w:val="0"/>
                  <w:vAlign w:val="center"/>
                </w:tcPr>
                <w:p w14:paraId="7C8AE45E">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42</w:t>
                  </w:r>
                </w:p>
              </w:tc>
              <w:tc>
                <w:tcPr>
                  <w:tcW w:w="536" w:type="pct"/>
                  <w:noWrap w:val="0"/>
                  <w:vAlign w:val="center"/>
                </w:tcPr>
                <w:p w14:paraId="566E50ED">
                  <w:pPr>
                    <w:jc w:val="center"/>
                    <w:rPr>
                      <w:rFonts w:hint="default" w:ascii="Times New Roman" w:hAnsi="Times New Roman" w:cs="Times New Roman"/>
                      <w:bCs/>
                      <w:sz w:val="21"/>
                      <w:szCs w:val="21"/>
                      <w:highlight w:val="none"/>
                    </w:rPr>
                  </w:pPr>
                  <w:r>
                    <w:rPr>
                      <w:rFonts w:hint="default" w:ascii="Times New Roman" w:hAnsi="Times New Roman" w:eastAsia="华文隶书" w:cs="Times New Roman"/>
                      <w:color w:val="auto"/>
                      <w:kern w:val="2"/>
                      <w:sz w:val="21"/>
                      <w:szCs w:val="21"/>
                      <w:lang w:val="en-US" w:eastAsia="zh-CN"/>
                    </w:rPr>
                    <w:t>μ</w:t>
                  </w:r>
                  <w:r>
                    <w:rPr>
                      <w:rFonts w:hint="default" w:ascii="Times New Roman" w:hAnsi="Times New Roman" w:eastAsia="宋体" w:cs="Times New Roman"/>
                      <w:color w:val="auto"/>
                      <w:kern w:val="2"/>
                      <w:sz w:val="21"/>
                      <w:szCs w:val="21"/>
                      <w:lang w:val="en-US" w:eastAsia="zh-CN"/>
                    </w:rPr>
                    <w:t>g/m</w:t>
                  </w:r>
                  <w:r>
                    <w:rPr>
                      <w:rFonts w:hint="default" w:ascii="Times New Roman" w:hAnsi="Times New Roman" w:eastAsia="宋体" w:cs="Times New Roman"/>
                      <w:color w:val="auto"/>
                      <w:kern w:val="2"/>
                      <w:sz w:val="21"/>
                      <w:szCs w:val="21"/>
                      <w:vertAlign w:val="superscript"/>
                      <w:lang w:val="en-US" w:eastAsia="zh-CN"/>
                    </w:rPr>
                    <w:t>3</w:t>
                  </w:r>
                </w:p>
              </w:tc>
              <w:tc>
                <w:tcPr>
                  <w:tcW w:w="454" w:type="pct"/>
                  <w:noWrap w:val="0"/>
                  <w:vAlign w:val="center"/>
                </w:tcPr>
                <w:p w14:paraId="17186AA9">
                  <w:pPr>
                    <w:jc w:val="center"/>
                    <w:rPr>
                      <w:rFonts w:hint="default" w:ascii="Times New Roman" w:hAnsi="Times New Roman" w:eastAsia="华文隶书" w:cs="Times New Roman"/>
                      <w:color w:val="auto"/>
                      <w:kern w:val="2"/>
                      <w:sz w:val="21"/>
                      <w:szCs w:val="21"/>
                      <w:lang w:val="en-US" w:eastAsia="zh-CN"/>
                    </w:rPr>
                  </w:pPr>
                  <w:r>
                    <w:rPr>
                      <w:rFonts w:hint="eastAsia" w:ascii="Times New Roman" w:hAnsi="Times New Roman" w:eastAsia="华文隶书" w:cs="Times New Roman"/>
                      <w:color w:val="auto"/>
                      <w:kern w:val="2"/>
                      <w:sz w:val="21"/>
                      <w:szCs w:val="21"/>
                      <w:lang w:val="en-US" w:eastAsia="zh-CN"/>
                    </w:rPr>
                    <w:t>300</w:t>
                  </w:r>
                </w:p>
              </w:tc>
              <w:tc>
                <w:tcPr>
                  <w:tcW w:w="612" w:type="pct"/>
                  <w:noWrap w:val="0"/>
                  <w:vAlign w:val="center"/>
                </w:tcPr>
                <w:p w14:paraId="6CD3C568">
                  <w:pPr>
                    <w:jc w:val="center"/>
                    <w:rPr>
                      <w:rFonts w:hint="default" w:ascii="Times New Roman" w:hAnsi="Times New Roman" w:eastAsia="华文隶书"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达标</w:t>
                  </w:r>
                </w:p>
              </w:tc>
            </w:tr>
            <w:tr w14:paraId="70A0B4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533" w:type="pct"/>
                  <w:vMerge w:val="continue"/>
                  <w:noWrap w:val="0"/>
                  <w:tcMar>
                    <w:top w:w="15" w:type="dxa"/>
                    <w:left w:w="15" w:type="dxa"/>
                    <w:bottom w:w="15" w:type="dxa"/>
                    <w:right w:w="15" w:type="dxa"/>
                  </w:tcMar>
                  <w:vAlign w:val="center"/>
                </w:tcPr>
                <w:p w14:paraId="1DAD9B0D">
                  <w:pPr>
                    <w:jc w:val="center"/>
                    <w:rPr>
                      <w:rFonts w:hint="default" w:ascii="Times New Roman" w:hAnsi="Times New Roman" w:cs="Times New Roman"/>
                      <w:sz w:val="21"/>
                      <w:szCs w:val="21"/>
                      <w:highlight w:val="none"/>
                    </w:rPr>
                  </w:pPr>
                </w:p>
              </w:tc>
              <w:tc>
                <w:tcPr>
                  <w:tcW w:w="1271" w:type="pct"/>
                  <w:gridSpan w:val="2"/>
                  <w:noWrap w:val="0"/>
                  <w:tcMar>
                    <w:top w:w="15" w:type="dxa"/>
                    <w:left w:w="15" w:type="dxa"/>
                    <w:bottom w:w="15" w:type="dxa"/>
                    <w:right w:w="15" w:type="dxa"/>
                  </w:tcMar>
                  <w:vAlign w:val="center"/>
                </w:tcPr>
                <w:p w14:paraId="3FC99D3F">
                  <w:pPr>
                    <w:keepNext w:val="0"/>
                    <w:keepLines w:val="0"/>
                    <w:widowControl/>
                    <w:suppressLineNumbers w:val="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202</w:t>
                  </w:r>
                  <w:r>
                    <w:rPr>
                      <w:rFonts w:hint="default" w:ascii="Times New Roman" w:hAnsi="Times New Roman"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03</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06(</w:t>
                  </w:r>
                  <w:r>
                    <w:rPr>
                      <w:rFonts w:hint="default" w:ascii="Times New Roman" w:hAnsi="Times New Roman" w:cs="Times New Roman"/>
                      <w:color w:val="auto"/>
                      <w:sz w:val="21"/>
                      <w:szCs w:val="21"/>
                      <w:highlight w:val="none"/>
                      <w:lang w:val="en-US" w:eastAsia="zh-CN"/>
                    </w:rPr>
                    <w:t>11:15</w:t>
                  </w:r>
                  <w:r>
                    <w:rPr>
                      <w:rFonts w:hint="default" w:ascii="Times New Roman" w:hAnsi="Times New Roman" w:cs="Times New Roman"/>
                      <w:i w:val="0"/>
                      <w:iCs w:val="0"/>
                      <w:color w:val="auto"/>
                      <w:kern w:val="0"/>
                      <w:sz w:val="21"/>
                      <w:szCs w:val="21"/>
                      <w:u w:val="none"/>
                      <w:lang w:val="en-US" w:eastAsia="zh-CN" w:bidi="ar"/>
                    </w:rPr>
                    <w:t>)~2023.03</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07(</w:t>
                  </w:r>
                  <w:r>
                    <w:rPr>
                      <w:rFonts w:hint="default" w:ascii="Times New Roman" w:hAnsi="Times New Roman" w:cs="Times New Roman"/>
                      <w:color w:val="auto"/>
                      <w:sz w:val="21"/>
                      <w:szCs w:val="21"/>
                      <w:highlight w:val="none"/>
                      <w:lang w:val="en-US" w:eastAsia="zh-CN"/>
                    </w:rPr>
                    <w:t>11:15</w:t>
                  </w:r>
                  <w:r>
                    <w:rPr>
                      <w:rFonts w:hint="default" w:ascii="Times New Roman" w:hAnsi="Times New Roman" w:cs="Times New Roman"/>
                      <w:i w:val="0"/>
                      <w:iCs w:val="0"/>
                      <w:color w:val="auto"/>
                      <w:kern w:val="0"/>
                      <w:sz w:val="21"/>
                      <w:szCs w:val="21"/>
                      <w:u w:val="none"/>
                      <w:lang w:val="en-US" w:eastAsia="zh-CN" w:bidi="ar"/>
                    </w:rPr>
                    <w:t>)</w:t>
                  </w:r>
                </w:p>
              </w:tc>
              <w:tc>
                <w:tcPr>
                  <w:tcW w:w="860" w:type="pct"/>
                  <w:noWrap w:val="0"/>
                  <w:vAlign w:val="center"/>
                </w:tcPr>
                <w:p w14:paraId="7067CD0A">
                  <w:pPr>
                    <w:jc w:val="center"/>
                    <w:rPr>
                      <w:rFonts w:hint="default" w:ascii="Times New Roman" w:hAnsi="Times New Roman" w:cs="Times New Roman"/>
                      <w:bCs/>
                      <w:sz w:val="21"/>
                      <w:szCs w:val="21"/>
                      <w:highlight w:val="none"/>
                    </w:rPr>
                  </w:pPr>
                  <w:r>
                    <w:rPr>
                      <w:rFonts w:hint="default" w:ascii="Times New Roman" w:hAnsi="Times New Roman" w:cs="Times New Roman"/>
                      <w:sz w:val="21"/>
                      <w:szCs w:val="21"/>
                      <w:highlight w:val="none"/>
                      <w:lang w:eastAsia="zh-CN"/>
                    </w:rPr>
                    <w:t>2303016</w:t>
                  </w:r>
                  <w:r>
                    <w:rPr>
                      <w:rFonts w:hint="default" w:ascii="Times New Roman" w:hAnsi="Times New Roman" w:cs="Times New Roman"/>
                      <w:sz w:val="21"/>
                      <w:szCs w:val="21"/>
                      <w:highlight w:val="none"/>
                    </w:rPr>
                    <w:t>HQ01-2</w:t>
                  </w:r>
                  <w:r>
                    <w:rPr>
                      <w:rFonts w:hint="default" w:ascii="Times New Roman" w:hAnsi="Times New Roman" w:cs="Times New Roman"/>
                      <w:sz w:val="21"/>
                      <w:szCs w:val="21"/>
                      <w:highlight w:val="none"/>
                      <w:lang w:val="en-US" w:eastAsia="zh-CN"/>
                    </w:rPr>
                    <w:t>A</w:t>
                  </w:r>
                </w:p>
              </w:tc>
              <w:tc>
                <w:tcPr>
                  <w:tcW w:w="731" w:type="pct"/>
                  <w:noWrap w:val="0"/>
                  <w:vAlign w:val="center"/>
                </w:tcPr>
                <w:p w14:paraId="31FDB2E6">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38</w:t>
                  </w:r>
                </w:p>
              </w:tc>
              <w:tc>
                <w:tcPr>
                  <w:tcW w:w="536" w:type="pct"/>
                  <w:noWrap w:val="0"/>
                  <w:vAlign w:val="center"/>
                </w:tcPr>
                <w:p w14:paraId="2B3B382F">
                  <w:pPr>
                    <w:jc w:val="center"/>
                    <w:rPr>
                      <w:rFonts w:hint="default" w:ascii="Times New Roman" w:hAnsi="Times New Roman" w:cs="Times New Roman"/>
                      <w:bCs/>
                      <w:sz w:val="21"/>
                      <w:szCs w:val="21"/>
                      <w:highlight w:val="none"/>
                    </w:rPr>
                  </w:pPr>
                  <w:r>
                    <w:rPr>
                      <w:rFonts w:hint="default" w:ascii="Times New Roman" w:hAnsi="Times New Roman" w:eastAsia="华文隶书" w:cs="Times New Roman"/>
                      <w:color w:val="auto"/>
                      <w:kern w:val="2"/>
                      <w:sz w:val="21"/>
                      <w:szCs w:val="21"/>
                      <w:lang w:val="en-US" w:eastAsia="zh-CN"/>
                    </w:rPr>
                    <w:t>μ</w:t>
                  </w:r>
                  <w:r>
                    <w:rPr>
                      <w:rFonts w:hint="default" w:ascii="Times New Roman" w:hAnsi="Times New Roman" w:eastAsia="宋体" w:cs="Times New Roman"/>
                      <w:color w:val="auto"/>
                      <w:kern w:val="2"/>
                      <w:sz w:val="21"/>
                      <w:szCs w:val="21"/>
                      <w:lang w:val="en-US" w:eastAsia="zh-CN"/>
                    </w:rPr>
                    <w:t>g/m</w:t>
                  </w:r>
                  <w:r>
                    <w:rPr>
                      <w:rFonts w:hint="default" w:ascii="Times New Roman" w:hAnsi="Times New Roman" w:eastAsia="宋体" w:cs="Times New Roman"/>
                      <w:color w:val="auto"/>
                      <w:kern w:val="2"/>
                      <w:sz w:val="21"/>
                      <w:szCs w:val="21"/>
                      <w:vertAlign w:val="superscript"/>
                      <w:lang w:val="en-US" w:eastAsia="zh-CN"/>
                    </w:rPr>
                    <w:t>3</w:t>
                  </w:r>
                </w:p>
              </w:tc>
              <w:tc>
                <w:tcPr>
                  <w:tcW w:w="454" w:type="pct"/>
                  <w:noWrap w:val="0"/>
                  <w:vAlign w:val="center"/>
                </w:tcPr>
                <w:p w14:paraId="162B0752">
                  <w:pPr>
                    <w:jc w:val="center"/>
                    <w:rPr>
                      <w:rFonts w:hint="default" w:ascii="Times New Roman" w:hAnsi="Times New Roman" w:eastAsia="华文隶书" w:cs="Times New Roman"/>
                      <w:color w:val="auto"/>
                      <w:kern w:val="2"/>
                      <w:sz w:val="21"/>
                      <w:szCs w:val="21"/>
                      <w:lang w:val="en-US" w:eastAsia="zh-CN"/>
                    </w:rPr>
                  </w:pPr>
                  <w:r>
                    <w:rPr>
                      <w:rFonts w:hint="eastAsia" w:ascii="Times New Roman" w:hAnsi="Times New Roman" w:eastAsia="华文隶书" w:cs="Times New Roman"/>
                      <w:color w:val="auto"/>
                      <w:kern w:val="2"/>
                      <w:sz w:val="21"/>
                      <w:szCs w:val="21"/>
                      <w:lang w:val="en-US" w:eastAsia="zh-CN"/>
                    </w:rPr>
                    <w:t>300</w:t>
                  </w:r>
                </w:p>
              </w:tc>
              <w:tc>
                <w:tcPr>
                  <w:tcW w:w="612" w:type="pct"/>
                  <w:noWrap w:val="0"/>
                  <w:vAlign w:val="center"/>
                </w:tcPr>
                <w:p w14:paraId="1362AB47">
                  <w:pPr>
                    <w:jc w:val="center"/>
                    <w:rPr>
                      <w:rFonts w:hint="default" w:ascii="Times New Roman" w:hAnsi="Times New Roman" w:eastAsia="华文隶书"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达标</w:t>
                  </w:r>
                </w:p>
              </w:tc>
            </w:tr>
            <w:tr w14:paraId="4842B2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533" w:type="pct"/>
                  <w:vMerge w:val="continue"/>
                  <w:noWrap w:val="0"/>
                  <w:tcMar>
                    <w:top w:w="15" w:type="dxa"/>
                    <w:left w:w="15" w:type="dxa"/>
                    <w:bottom w:w="15" w:type="dxa"/>
                    <w:right w:w="15" w:type="dxa"/>
                  </w:tcMar>
                  <w:vAlign w:val="center"/>
                </w:tcPr>
                <w:p w14:paraId="6761A690">
                  <w:pPr>
                    <w:jc w:val="center"/>
                    <w:rPr>
                      <w:rFonts w:hint="default" w:ascii="Times New Roman" w:hAnsi="Times New Roman" w:cs="Times New Roman"/>
                      <w:sz w:val="21"/>
                      <w:szCs w:val="21"/>
                      <w:highlight w:val="none"/>
                    </w:rPr>
                  </w:pPr>
                </w:p>
              </w:tc>
              <w:tc>
                <w:tcPr>
                  <w:tcW w:w="1271" w:type="pct"/>
                  <w:gridSpan w:val="2"/>
                  <w:noWrap w:val="0"/>
                  <w:tcMar>
                    <w:top w:w="15" w:type="dxa"/>
                    <w:left w:w="15" w:type="dxa"/>
                    <w:bottom w:w="15" w:type="dxa"/>
                    <w:right w:w="15" w:type="dxa"/>
                  </w:tcMar>
                  <w:vAlign w:val="center"/>
                </w:tcPr>
                <w:p w14:paraId="4137E4EB">
                  <w:pPr>
                    <w:keepNext w:val="0"/>
                    <w:keepLines w:val="0"/>
                    <w:widowControl/>
                    <w:suppressLineNumbers w:val="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202</w:t>
                  </w:r>
                  <w:r>
                    <w:rPr>
                      <w:rFonts w:hint="default" w:ascii="Times New Roman" w:hAnsi="Times New Roman"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03</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07(</w:t>
                  </w:r>
                  <w:r>
                    <w:rPr>
                      <w:rFonts w:hint="default" w:ascii="Times New Roman" w:hAnsi="Times New Roman" w:cs="Times New Roman"/>
                      <w:color w:val="auto"/>
                      <w:sz w:val="21"/>
                      <w:szCs w:val="21"/>
                      <w:highlight w:val="none"/>
                      <w:lang w:val="en-US" w:eastAsia="zh-CN"/>
                    </w:rPr>
                    <w:t>11:30</w:t>
                  </w:r>
                  <w:r>
                    <w:rPr>
                      <w:rFonts w:hint="default" w:ascii="Times New Roman" w:hAnsi="Times New Roman" w:cs="Times New Roman"/>
                      <w:i w:val="0"/>
                      <w:iCs w:val="0"/>
                      <w:color w:val="auto"/>
                      <w:kern w:val="0"/>
                      <w:sz w:val="21"/>
                      <w:szCs w:val="21"/>
                      <w:u w:val="none"/>
                      <w:lang w:val="en-US" w:eastAsia="zh-CN" w:bidi="ar"/>
                    </w:rPr>
                    <w:t>)~2023.03</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08(</w:t>
                  </w:r>
                  <w:r>
                    <w:rPr>
                      <w:rFonts w:hint="default" w:ascii="Times New Roman" w:hAnsi="Times New Roman" w:cs="Times New Roman"/>
                      <w:color w:val="auto"/>
                      <w:sz w:val="21"/>
                      <w:szCs w:val="21"/>
                      <w:highlight w:val="none"/>
                      <w:lang w:val="en-US" w:eastAsia="zh-CN"/>
                    </w:rPr>
                    <w:t>11:30</w:t>
                  </w:r>
                  <w:r>
                    <w:rPr>
                      <w:rFonts w:hint="default" w:ascii="Times New Roman" w:hAnsi="Times New Roman" w:cs="Times New Roman"/>
                      <w:i w:val="0"/>
                      <w:iCs w:val="0"/>
                      <w:color w:val="auto"/>
                      <w:kern w:val="0"/>
                      <w:sz w:val="21"/>
                      <w:szCs w:val="21"/>
                      <w:u w:val="none"/>
                      <w:lang w:val="en-US" w:eastAsia="zh-CN" w:bidi="ar"/>
                    </w:rPr>
                    <w:t>)</w:t>
                  </w:r>
                </w:p>
              </w:tc>
              <w:tc>
                <w:tcPr>
                  <w:tcW w:w="860" w:type="pct"/>
                  <w:noWrap w:val="0"/>
                  <w:vAlign w:val="center"/>
                </w:tcPr>
                <w:p w14:paraId="7B59DFC1">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eastAsia="zh-CN"/>
                    </w:rPr>
                    <w:t>2303016</w:t>
                  </w:r>
                  <w:r>
                    <w:rPr>
                      <w:rFonts w:hint="default" w:ascii="Times New Roman" w:hAnsi="Times New Roman" w:cs="Times New Roman"/>
                      <w:sz w:val="21"/>
                      <w:szCs w:val="21"/>
                      <w:highlight w:val="none"/>
                    </w:rPr>
                    <w:t>HQ01-3</w:t>
                  </w:r>
                  <w:r>
                    <w:rPr>
                      <w:rFonts w:hint="default" w:ascii="Times New Roman" w:hAnsi="Times New Roman" w:cs="Times New Roman"/>
                      <w:sz w:val="21"/>
                      <w:szCs w:val="21"/>
                      <w:highlight w:val="none"/>
                      <w:lang w:val="en-US" w:eastAsia="zh-CN"/>
                    </w:rPr>
                    <w:t>A</w:t>
                  </w:r>
                </w:p>
              </w:tc>
              <w:tc>
                <w:tcPr>
                  <w:tcW w:w="731" w:type="pct"/>
                  <w:noWrap w:val="0"/>
                  <w:vAlign w:val="center"/>
                </w:tcPr>
                <w:p w14:paraId="49B959C6">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43</w:t>
                  </w:r>
                </w:p>
              </w:tc>
              <w:tc>
                <w:tcPr>
                  <w:tcW w:w="536" w:type="pct"/>
                  <w:noWrap w:val="0"/>
                  <w:vAlign w:val="center"/>
                </w:tcPr>
                <w:p w14:paraId="6FFCE82E">
                  <w:pPr>
                    <w:jc w:val="center"/>
                    <w:rPr>
                      <w:rFonts w:hint="default" w:ascii="Times New Roman" w:hAnsi="Times New Roman" w:cs="Times New Roman"/>
                      <w:bCs/>
                      <w:sz w:val="21"/>
                      <w:szCs w:val="21"/>
                      <w:highlight w:val="none"/>
                    </w:rPr>
                  </w:pPr>
                  <w:r>
                    <w:rPr>
                      <w:rFonts w:hint="default" w:ascii="Times New Roman" w:hAnsi="Times New Roman" w:eastAsia="华文隶书" w:cs="Times New Roman"/>
                      <w:color w:val="auto"/>
                      <w:kern w:val="2"/>
                      <w:sz w:val="21"/>
                      <w:szCs w:val="21"/>
                      <w:lang w:val="en-US" w:eastAsia="zh-CN"/>
                    </w:rPr>
                    <w:t>μ</w:t>
                  </w:r>
                  <w:r>
                    <w:rPr>
                      <w:rFonts w:hint="default" w:ascii="Times New Roman" w:hAnsi="Times New Roman" w:eastAsia="宋体" w:cs="Times New Roman"/>
                      <w:color w:val="auto"/>
                      <w:kern w:val="2"/>
                      <w:sz w:val="21"/>
                      <w:szCs w:val="21"/>
                      <w:lang w:val="en-US" w:eastAsia="zh-CN"/>
                    </w:rPr>
                    <w:t>g/m</w:t>
                  </w:r>
                  <w:r>
                    <w:rPr>
                      <w:rFonts w:hint="default" w:ascii="Times New Roman" w:hAnsi="Times New Roman" w:eastAsia="宋体" w:cs="Times New Roman"/>
                      <w:color w:val="auto"/>
                      <w:kern w:val="2"/>
                      <w:sz w:val="21"/>
                      <w:szCs w:val="21"/>
                      <w:vertAlign w:val="superscript"/>
                      <w:lang w:val="en-US" w:eastAsia="zh-CN"/>
                    </w:rPr>
                    <w:t>3</w:t>
                  </w:r>
                </w:p>
              </w:tc>
              <w:tc>
                <w:tcPr>
                  <w:tcW w:w="454" w:type="pct"/>
                  <w:noWrap w:val="0"/>
                  <w:vAlign w:val="center"/>
                </w:tcPr>
                <w:p w14:paraId="679C6236">
                  <w:pPr>
                    <w:jc w:val="center"/>
                    <w:rPr>
                      <w:rFonts w:hint="default" w:ascii="Times New Roman" w:hAnsi="Times New Roman" w:eastAsia="华文隶书" w:cs="Times New Roman"/>
                      <w:color w:val="auto"/>
                      <w:kern w:val="2"/>
                      <w:sz w:val="21"/>
                      <w:szCs w:val="21"/>
                      <w:lang w:val="en-US" w:eastAsia="zh-CN"/>
                    </w:rPr>
                  </w:pPr>
                  <w:r>
                    <w:rPr>
                      <w:rFonts w:hint="eastAsia" w:ascii="Times New Roman" w:hAnsi="Times New Roman" w:eastAsia="华文隶书" w:cs="Times New Roman"/>
                      <w:color w:val="auto"/>
                      <w:kern w:val="2"/>
                      <w:sz w:val="21"/>
                      <w:szCs w:val="21"/>
                      <w:lang w:val="en-US" w:eastAsia="zh-CN"/>
                    </w:rPr>
                    <w:t>300</w:t>
                  </w:r>
                </w:p>
              </w:tc>
              <w:tc>
                <w:tcPr>
                  <w:tcW w:w="612" w:type="pct"/>
                  <w:noWrap w:val="0"/>
                  <w:vAlign w:val="center"/>
                </w:tcPr>
                <w:p w14:paraId="148DB74B">
                  <w:pPr>
                    <w:jc w:val="center"/>
                    <w:rPr>
                      <w:rFonts w:hint="default" w:ascii="Times New Roman" w:hAnsi="Times New Roman" w:eastAsia="华文隶书"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达标</w:t>
                  </w:r>
                </w:p>
              </w:tc>
            </w:tr>
            <w:tr w14:paraId="66184B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533" w:type="pct"/>
                  <w:vMerge w:val="restart"/>
                  <w:noWrap w:val="0"/>
                  <w:tcMar>
                    <w:top w:w="15" w:type="dxa"/>
                    <w:left w:w="15" w:type="dxa"/>
                    <w:bottom w:w="15" w:type="dxa"/>
                    <w:right w:w="15" w:type="dxa"/>
                  </w:tcMar>
                  <w:vAlign w:val="center"/>
                </w:tcPr>
                <w:p w14:paraId="4E1422F5">
                  <w:pPr>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非甲烷总烃</w:t>
                  </w:r>
                </w:p>
              </w:tc>
              <w:tc>
                <w:tcPr>
                  <w:tcW w:w="783" w:type="pct"/>
                  <w:vMerge w:val="restart"/>
                  <w:noWrap w:val="0"/>
                  <w:tcMar>
                    <w:top w:w="15" w:type="dxa"/>
                    <w:left w:w="15" w:type="dxa"/>
                    <w:bottom w:w="15" w:type="dxa"/>
                    <w:right w:w="15" w:type="dxa"/>
                  </w:tcMar>
                  <w:vAlign w:val="center"/>
                </w:tcPr>
                <w:p w14:paraId="040C6243">
                  <w:pPr>
                    <w:jc w:val="center"/>
                    <w:rPr>
                      <w:rFonts w:hint="default" w:ascii="Times New Roman" w:hAnsi="Times New Roman" w:cs="Times New Roman"/>
                      <w:color w:val="FF0000"/>
                      <w:highlight w:val="none"/>
                    </w:rPr>
                  </w:pPr>
                  <w:r>
                    <w:rPr>
                      <w:rFonts w:hint="default" w:ascii="Times New Roman" w:hAnsi="Times New Roman" w:cs="Times New Roman"/>
                      <w:color w:val="auto"/>
                      <w:highlight w:val="none"/>
                      <w:lang w:val="en-US" w:eastAsia="zh-CN"/>
                    </w:rPr>
                    <w:t>2023.03.06</w:t>
                  </w:r>
                </w:p>
              </w:tc>
              <w:tc>
                <w:tcPr>
                  <w:tcW w:w="1347" w:type="pct"/>
                  <w:gridSpan w:val="2"/>
                  <w:noWrap w:val="0"/>
                  <w:vAlign w:val="center"/>
                </w:tcPr>
                <w:p w14:paraId="24ECA333">
                  <w:pPr>
                    <w:jc w:val="center"/>
                    <w:rPr>
                      <w:rFonts w:hint="default" w:ascii="Times New Roman" w:hAnsi="Times New Roman" w:eastAsia="宋体" w:cs="Times New Roman"/>
                      <w:highlight w:val="none"/>
                      <w:lang w:eastAsia="zh-CN"/>
                    </w:rPr>
                  </w:pPr>
                  <w:r>
                    <w:rPr>
                      <w:rFonts w:hint="default" w:ascii="Times New Roman" w:hAnsi="Times New Roman" w:cs="Times New Roman"/>
                      <w:highlight w:val="none"/>
                      <w:lang w:eastAsia="zh-CN"/>
                    </w:rPr>
                    <w:t>2303016</w:t>
                  </w:r>
                  <w:r>
                    <w:rPr>
                      <w:rFonts w:hint="default" w:ascii="Times New Roman" w:hAnsi="Times New Roman" w:cs="Times New Roman"/>
                      <w:highlight w:val="none"/>
                    </w:rPr>
                    <w:t>HQ01-1</w:t>
                  </w:r>
                  <w:r>
                    <w:rPr>
                      <w:rFonts w:hint="default" w:ascii="Times New Roman" w:hAnsi="Times New Roman" w:cs="Times New Roman"/>
                      <w:color w:val="auto"/>
                      <w:highlight w:val="none"/>
                      <w:lang w:val="en-US" w:eastAsia="zh-CN"/>
                    </w:rPr>
                    <w:t>-1C</w:t>
                  </w:r>
                </w:p>
              </w:tc>
              <w:tc>
                <w:tcPr>
                  <w:tcW w:w="731" w:type="pct"/>
                  <w:noWrap w:val="0"/>
                  <w:vAlign w:val="center"/>
                </w:tcPr>
                <w:p w14:paraId="4E29D80C">
                  <w:pPr>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0.44</w:t>
                  </w:r>
                </w:p>
              </w:tc>
              <w:tc>
                <w:tcPr>
                  <w:tcW w:w="536" w:type="pct"/>
                  <w:noWrap w:val="0"/>
                  <w:vAlign w:val="center"/>
                </w:tcPr>
                <w:p w14:paraId="35148998">
                  <w:pPr>
                    <w:jc w:val="center"/>
                    <w:rPr>
                      <w:rFonts w:hint="default" w:ascii="Times New Roman" w:hAnsi="Times New Roman" w:cs="Times New Roman"/>
                      <w:highlight w:val="none"/>
                    </w:rPr>
                  </w:pPr>
                  <w:r>
                    <w:rPr>
                      <w:rFonts w:hint="default" w:ascii="Times New Roman" w:hAnsi="Times New Roman" w:cs="Times New Roman"/>
                      <w:highlight w:val="none"/>
                    </w:rPr>
                    <w:t>mg/m</w:t>
                  </w:r>
                  <w:r>
                    <w:rPr>
                      <w:rFonts w:hint="default" w:ascii="Times New Roman" w:hAnsi="Times New Roman" w:cs="Times New Roman"/>
                      <w:highlight w:val="none"/>
                      <w:vertAlign w:val="superscript"/>
                    </w:rPr>
                    <w:t>3</w:t>
                  </w:r>
                </w:p>
              </w:tc>
              <w:tc>
                <w:tcPr>
                  <w:tcW w:w="454" w:type="pct"/>
                  <w:noWrap w:val="0"/>
                  <w:vAlign w:val="center"/>
                </w:tcPr>
                <w:p w14:paraId="70C40310">
                  <w:pPr>
                    <w:jc w:val="center"/>
                    <w:rPr>
                      <w:rFonts w:hint="default" w:ascii="Times New Roman" w:hAnsi="Times New Roman" w:eastAsia="宋体" w:cs="Times New Roman"/>
                      <w:highlight w:val="none"/>
                      <w:lang w:val="en-US" w:eastAsia="zh-CN"/>
                    </w:rPr>
                  </w:pPr>
                  <w:r>
                    <w:rPr>
                      <w:rFonts w:hint="eastAsia" w:ascii="Times New Roman" w:hAnsi="Times New Roman" w:cs="Times New Roman"/>
                      <w:highlight w:val="none"/>
                      <w:lang w:val="en-US" w:eastAsia="zh-CN"/>
                    </w:rPr>
                    <w:t>2</w:t>
                  </w:r>
                </w:p>
              </w:tc>
              <w:tc>
                <w:tcPr>
                  <w:tcW w:w="612" w:type="pct"/>
                  <w:noWrap w:val="0"/>
                  <w:vAlign w:val="center"/>
                </w:tcPr>
                <w:p w14:paraId="3D76258A">
                  <w:pPr>
                    <w:jc w:val="center"/>
                    <w:rPr>
                      <w:rFonts w:hint="default" w:ascii="Times New Roman" w:hAnsi="Times New Roman" w:cs="Times New Roman"/>
                      <w:highlight w:val="none"/>
                    </w:rPr>
                  </w:pPr>
                  <w:r>
                    <w:rPr>
                      <w:rFonts w:hint="default" w:ascii="Times New Roman" w:hAnsi="Times New Roman" w:eastAsia="宋体" w:cs="Times New Roman"/>
                      <w:color w:val="auto"/>
                      <w:kern w:val="2"/>
                      <w:sz w:val="21"/>
                      <w:szCs w:val="21"/>
                      <w:lang w:val="en-US" w:eastAsia="zh-CN"/>
                    </w:rPr>
                    <w:t>达标</w:t>
                  </w:r>
                </w:p>
              </w:tc>
            </w:tr>
            <w:tr w14:paraId="605E3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533" w:type="pct"/>
                  <w:vMerge w:val="continue"/>
                  <w:noWrap w:val="0"/>
                  <w:tcMar>
                    <w:top w:w="15" w:type="dxa"/>
                    <w:left w:w="15" w:type="dxa"/>
                    <w:bottom w:w="15" w:type="dxa"/>
                    <w:right w:w="15" w:type="dxa"/>
                  </w:tcMar>
                  <w:vAlign w:val="center"/>
                </w:tcPr>
                <w:p w14:paraId="4D1F52F0">
                  <w:pPr>
                    <w:jc w:val="center"/>
                    <w:rPr>
                      <w:rFonts w:hint="default" w:ascii="Times New Roman" w:hAnsi="Times New Roman" w:cs="Times New Roman"/>
                      <w:highlight w:val="none"/>
                    </w:rPr>
                  </w:pPr>
                </w:p>
              </w:tc>
              <w:tc>
                <w:tcPr>
                  <w:tcW w:w="783" w:type="pct"/>
                  <w:vMerge w:val="continue"/>
                  <w:noWrap w:val="0"/>
                  <w:tcMar>
                    <w:top w:w="15" w:type="dxa"/>
                    <w:left w:w="15" w:type="dxa"/>
                    <w:bottom w:w="15" w:type="dxa"/>
                    <w:right w:w="15" w:type="dxa"/>
                  </w:tcMar>
                  <w:vAlign w:val="center"/>
                </w:tcPr>
                <w:p w14:paraId="63C7CD8F">
                  <w:pPr>
                    <w:jc w:val="center"/>
                    <w:rPr>
                      <w:rFonts w:hint="default" w:ascii="Times New Roman" w:hAnsi="Times New Roman" w:cs="Times New Roman"/>
                      <w:color w:val="FF0000"/>
                      <w:highlight w:val="none"/>
                    </w:rPr>
                  </w:pPr>
                </w:p>
              </w:tc>
              <w:tc>
                <w:tcPr>
                  <w:tcW w:w="1347" w:type="pct"/>
                  <w:gridSpan w:val="2"/>
                  <w:noWrap w:val="0"/>
                  <w:vAlign w:val="center"/>
                </w:tcPr>
                <w:p w14:paraId="169D571B">
                  <w:pPr>
                    <w:jc w:val="center"/>
                    <w:rPr>
                      <w:rFonts w:hint="default" w:ascii="Times New Roman" w:hAnsi="Times New Roman" w:eastAsia="宋体" w:cs="Times New Roman"/>
                      <w:highlight w:val="none"/>
                      <w:lang w:eastAsia="zh-CN"/>
                    </w:rPr>
                  </w:pPr>
                  <w:r>
                    <w:rPr>
                      <w:rFonts w:hint="default" w:ascii="Times New Roman" w:hAnsi="Times New Roman" w:cs="Times New Roman"/>
                      <w:highlight w:val="none"/>
                      <w:lang w:eastAsia="zh-CN"/>
                    </w:rPr>
                    <w:t>2303016</w:t>
                  </w:r>
                  <w:r>
                    <w:rPr>
                      <w:rFonts w:hint="default" w:ascii="Times New Roman" w:hAnsi="Times New Roman" w:cs="Times New Roman"/>
                      <w:highlight w:val="none"/>
                    </w:rPr>
                    <w:t>HQ01-</w:t>
                  </w:r>
                  <w:r>
                    <w:rPr>
                      <w:rFonts w:hint="default" w:ascii="Times New Roman" w:hAnsi="Times New Roman" w:cs="Times New Roman"/>
                      <w:highlight w:val="none"/>
                      <w:lang w:val="en-US" w:eastAsia="zh-CN"/>
                    </w:rPr>
                    <w:t>1-</w:t>
                  </w:r>
                  <w:r>
                    <w:rPr>
                      <w:rFonts w:hint="default" w:ascii="Times New Roman" w:hAnsi="Times New Roman" w:cs="Times New Roman"/>
                      <w:highlight w:val="none"/>
                    </w:rPr>
                    <w:t>2</w:t>
                  </w:r>
                  <w:r>
                    <w:rPr>
                      <w:rFonts w:hint="default" w:ascii="Times New Roman" w:hAnsi="Times New Roman" w:cs="Times New Roman"/>
                      <w:highlight w:val="none"/>
                      <w:lang w:val="en-US" w:eastAsia="zh-CN"/>
                    </w:rPr>
                    <w:t>C</w:t>
                  </w:r>
                </w:p>
              </w:tc>
              <w:tc>
                <w:tcPr>
                  <w:tcW w:w="731" w:type="pct"/>
                  <w:noWrap w:val="0"/>
                  <w:vAlign w:val="center"/>
                </w:tcPr>
                <w:p w14:paraId="6DC7CD1F">
                  <w:pPr>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0.48</w:t>
                  </w:r>
                </w:p>
              </w:tc>
              <w:tc>
                <w:tcPr>
                  <w:tcW w:w="536" w:type="pct"/>
                  <w:noWrap w:val="0"/>
                  <w:vAlign w:val="center"/>
                </w:tcPr>
                <w:p w14:paraId="39F368D7">
                  <w:pPr>
                    <w:jc w:val="center"/>
                    <w:rPr>
                      <w:rFonts w:hint="default" w:ascii="Times New Roman" w:hAnsi="Times New Roman" w:cs="Times New Roman"/>
                      <w:highlight w:val="none"/>
                    </w:rPr>
                  </w:pPr>
                  <w:r>
                    <w:rPr>
                      <w:rFonts w:hint="default" w:ascii="Times New Roman" w:hAnsi="Times New Roman" w:cs="Times New Roman"/>
                      <w:highlight w:val="none"/>
                    </w:rPr>
                    <w:t>mg/m</w:t>
                  </w:r>
                  <w:r>
                    <w:rPr>
                      <w:rFonts w:hint="default" w:ascii="Times New Roman" w:hAnsi="Times New Roman" w:cs="Times New Roman"/>
                      <w:highlight w:val="none"/>
                      <w:vertAlign w:val="superscript"/>
                    </w:rPr>
                    <w:t>3</w:t>
                  </w:r>
                </w:p>
              </w:tc>
              <w:tc>
                <w:tcPr>
                  <w:tcW w:w="454" w:type="pct"/>
                  <w:noWrap w:val="0"/>
                  <w:vAlign w:val="center"/>
                </w:tcPr>
                <w:p w14:paraId="798E429A">
                  <w:pPr>
                    <w:jc w:val="center"/>
                    <w:rPr>
                      <w:rFonts w:hint="default" w:ascii="Times New Roman" w:hAnsi="Times New Roman" w:cs="Times New Roman"/>
                      <w:highlight w:val="none"/>
                    </w:rPr>
                  </w:pPr>
                  <w:r>
                    <w:rPr>
                      <w:rFonts w:hint="eastAsia" w:ascii="Times New Roman" w:hAnsi="Times New Roman" w:cs="Times New Roman"/>
                      <w:highlight w:val="none"/>
                      <w:lang w:val="en-US" w:eastAsia="zh-CN"/>
                    </w:rPr>
                    <w:t>2</w:t>
                  </w:r>
                </w:p>
              </w:tc>
              <w:tc>
                <w:tcPr>
                  <w:tcW w:w="612" w:type="pct"/>
                  <w:noWrap w:val="0"/>
                  <w:vAlign w:val="center"/>
                </w:tcPr>
                <w:p w14:paraId="524A254D">
                  <w:pPr>
                    <w:jc w:val="center"/>
                    <w:rPr>
                      <w:rFonts w:hint="default" w:ascii="Times New Roman" w:hAnsi="Times New Roman" w:cs="Times New Roman"/>
                      <w:highlight w:val="none"/>
                    </w:rPr>
                  </w:pPr>
                  <w:r>
                    <w:rPr>
                      <w:rFonts w:hint="default" w:ascii="Times New Roman" w:hAnsi="Times New Roman" w:eastAsia="宋体" w:cs="Times New Roman"/>
                      <w:color w:val="auto"/>
                      <w:kern w:val="2"/>
                      <w:sz w:val="21"/>
                      <w:szCs w:val="21"/>
                      <w:lang w:val="en-US" w:eastAsia="zh-CN"/>
                    </w:rPr>
                    <w:t>达标</w:t>
                  </w:r>
                </w:p>
              </w:tc>
            </w:tr>
            <w:tr w14:paraId="4C5D2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533" w:type="pct"/>
                  <w:vMerge w:val="continue"/>
                  <w:noWrap w:val="0"/>
                  <w:tcMar>
                    <w:top w:w="15" w:type="dxa"/>
                    <w:left w:w="15" w:type="dxa"/>
                    <w:bottom w:w="15" w:type="dxa"/>
                    <w:right w:w="15" w:type="dxa"/>
                  </w:tcMar>
                  <w:vAlign w:val="center"/>
                </w:tcPr>
                <w:p w14:paraId="2EAEFD55">
                  <w:pPr>
                    <w:jc w:val="center"/>
                    <w:rPr>
                      <w:rFonts w:hint="default" w:ascii="Times New Roman" w:hAnsi="Times New Roman" w:cs="Times New Roman"/>
                      <w:highlight w:val="none"/>
                    </w:rPr>
                  </w:pPr>
                </w:p>
              </w:tc>
              <w:tc>
                <w:tcPr>
                  <w:tcW w:w="783" w:type="pct"/>
                  <w:vMerge w:val="continue"/>
                  <w:noWrap w:val="0"/>
                  <w:tcMar>
                    <w:top w:w="15" w:type="dxa"/>
                    <w:left w:w="15" w:type="dxa"/>
                    <w:bottom w:w="15" w:type="dxa"/>
                    <w:right w:w="15" w:type="dxa"/>
                  </w:tcMar>
                  <w:vAlign w:val="center"/>
                </w:tcPr>
                <w:p w14:paraId="3EFD6A4B">
                  <w:pPr>
                    <w:jc w:val="center"/>
                    <w:rPr>
                      <w:rFonts w:hint="default" w:ascii="Times New Roman" w:hAnsi="Times New Roman" w:cs="Times New Roman"/>
                      <w:color w:val="FF0000"/>
                      <w:highlight w:val="none"/>
                    </w:rPr>
                  </w:pPr>
                </w:p>
              </w:tc>
              <w:tc>
                <w:tcPr>
                  <w:tcW w:w="1347" w:type="pct"/>
                  <w:gridSpan w:val="2"/>
                  <w:noWrap w:val="0"/>
                  <w:vAlign w:val="center"/>
                </w:tcPr>
                <w:p w14:paraId="567B60A8">
                  <w:pPr>
                    <w:jc w:val="center"/>
                    <w:rPr>
                      <w:rFonts w:hint="default" w:ascii="Times New Roman" w:hAnsi="Times New Roman" w:eastAsia="宋体" w:cs="Times New Roman"/>
                      <w:highlight w:val="none"/>
                      <w:lang w:eastAsia="zh-CN"/>
                    </w:rPr>
                  </w:pPr>
                  <w:r>
                    <w:rPr>
                      <w:rFonts w:hint="default" w:ascii="Times New Roman" w:hAnsi="Times New Roman" w:cs="Times New Roman"/>
                      <w:highlight w:val="none"/>
                      <w:lang w:eastAsia="zh-CN"/>
                    </w:rPr>
                    <w:t>2303016</w:t>
                  </w:r>
                  <w:r>
                    <w:rPr>
                      <w:rFonts w:hint="default" w:ascii="Times New Roman" w:hAnsi="Times New Roman" w:cs="Times New Roman"/>
                      <w:highlight w:val="none"/>
                    </w:rPr>
                    <w:t>HQ01-</w:t>
                  </w:r>
                  <w:r>
                    <w:rPr>
                      <w:rFonts w:hint="default" w:ascii="Times New Roman" w:hAnsi="Times New Roman" w:cs="Times New Roman"/>
                      <w:highlight w:val="none"/>
                      <w:lang w:val="en-US" w:eastAsia="zh-CN"/>
                    </w:rPr>
                    <w:t>1-</w:t>
                  </w:r>
                  <w:r>
                    <w:rPr>
                      <w:rFonts w:hint="default" w:ascii="Times New Roman" w:hAnsi="Times New Roman" w:cs="Times New Roman"/>
                      <w:highlight w:val="none"/>
                    </w:rPr>
                    <w:t>3</w:t>
                  </w:r>
                  <w:r>
                    <w:rPr>
                      <w:rFonts w:hint="default" w:ascii="Times New Roman" w:hAnsi="Times New Roman" w:cs="Times New Roman"/>
                      <w:highlight w:val="none"/>
                      <w:lang w:val="en-US" w:eastAsia="zh-CN"/>
                    </w:rPr>
                    <w:t>C</w:t>
                  </w:r>
                </w:p>
              </w:tc>
              <w:tc>
                <w:tcPr>
                  <w:tcW w:w="731" w:type="pct"/>
                  <w:noWrap w:val="0"/>
                  <w:vAlign w:val="center"/>
                </w:tcPr>
                <w:p w14:paraId="69989B74">
                  <w:pPr>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0.40</w:t>
                  </w:r>
                </w:p>
              </w:tc>
              <w:tc>
                <w:tcPr>
                  <w:tcW w:w="536" w:type="pct"/>
                  <w:noWrap w:val="0"/>
                  <w:vAlign w:val="center"/>
                </w:tcPr>
                <w:p w14:paraId="725A66D6">
                  <w:pPr>
                    <w:jc w:val="center"/>
                    <w:rPr>
                      <w:rFonts w:hint="default" w:ascii="Times New Roman" w:hAnsi="Times New Roman" w:cs="Times New Roman"/>
                      <w:highlight w:val="none"/>
                    </w:rPr>
                  </w:pPr>
                  <w:r>
                    <w:rPr>
                      <w:rFonts w:hint="default" w:ascii="Times New Roman" w:hAnsi="Times New Roman" w:cs="Times New Roman"/>
                      <w:highlight w:val="none"/>
                    </w:rPr>
                    <w:t>mg/m</w:t>
                  </w:r>
                  <w:r>
                    <w:rPr>
                      <w:rFonts w:hint="default" w:ascii="Times New Roman" w:hAnsi="Times New Roman" w:cs="Times New Roman"/>
                      <w:highlight w:val="none"/>
                      <w:vertAlign w:val="superscript"/>
                    </w:rPr>
                    <w:t>3</w:t>
                  </w:r>
                </w:p>
              </w:tc>
              <w:tc>
                <w:tcPr>
                  <w:tcW w:w="454" w:type="pct"/>
                  <w:noWrap w:val="0"/>
                  <w:vAlign w:val="center"/>
                </w:tcPr>
                <w:p w14:paraId="1082D187">
                  <w:pPr>
                    <w:jc w:val="center"/>
                    <w:rPr>
                      <w:rFonts w:hint="default" w:ascii="Times New Roman" w:hAnsi="Times New Roman" w:cs="Times New Roman"/>
                      <w:highlight w:val="none"/>
                    </w:rPr>
                  </w:pPr>
                  <w:r>
                    <w:rPr>
                      <w:rFonts w:hint="eastAsia" w:ascii="Times New Roman" w:hAnsi="Times New Roman" w:cs="Times New Roman"/>
                      <w:highlight w:val="none"/>
                      <w:lang w:val="en-US" w:eastAsia="zh-CN"/>
                    </w:rPr>
                    <w:t>2</w:t>
                  </w:r>
                </w:p>
              </w:tc>
              <w:tc>
                <w:tcPr>
                  <w:tcW w:w="612" w:type="pct"/>
                  <w:noWrap w:val="0"/>
                  <w:vAlign w:val="center"/>
                </w:tcPr>
                <w:p w14:paraId="009325B9">
                  <w:pPr>
                    <w:jc w:val="center"/>
                    <w:rPr>
                      <w:rFonts w:hint="default" w:ascii="Times New Roman" w:hAnsi="Times New Roman" w:cs="Times New Roman"/>
                      <w:highlight w:val="none"/>
                    </w:rPr>
                  </w:pPr>
                  <w:r>
                    <w:rPr>
                      <w:rFonts w:hint="default" w:ascii="Times New Roman" w:hAnsi="Times New Roman" w:eastAsia="宋体" w:cs="Times New Roman"/>
                      <w:color w:val="auto"/>
                      <w:kern w:val="2"/>
                      <w:sz w:val="21"/>
                      <w:szCs w:val="21"/>
                      <w:lang w:val="en-US" w:eastAsia="zh-CN"/>
                    </w:rPr>
                    <w:t>达标</w:t>
                  </w:r>
                </w:p>
              </w:tc>
            </w:tr>
            <w:tr w14:paraId="4650E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533" w:type="pct"/>
                  <w:vMerge w:val="continue"/>
                  <w:noWrap w:val="0"/>
                  <w:tcMar>
                    <w:top w:w="15" w:type="dxa"/>
                    <w:left w:w="15" w:type="dxa"/>
                    <w:bottom w:w="15" w:type="dxa"/>
                    <w:right w:w="15" w:type="dxa"/>
                  </w:tcMar>
                  <w:vAlign w:val="center"/>
                </w:tcPr>
                <w:p w14:paraId="6E525F02">
                  <w:pPr>
                    <w:jc w:val="center"/>
                    <w:rPr>
                      <w:rFonts w:hint="default" w:ascii="Times New Roman" w:hAnsi="Times New Roman" w:cs="Times New Roman"/>
                      <w:highlight w:val="none"/>
                    </w:rPr>
                  </w:pPr>
                </w:p>
              </w:tc>
              <w:tc>
                <w:tcPr>
                  <w:tcW w:w="783" w:type="pct"/>
                  <w:vMerge w:val="continue"/>
                  <w:noWrap w:val="0"/>
                  <w:tcMar>
                    <w:top w:w="15" w:type="dxa"/>
                    <w:left w:w="15" w:type="dxa"/>
                    <w:bottom w:w="15" w:type="dxa"/>
                    <w:right w:w="15" w:type="dxa"/>
                  </w:tcMar>
                  <w:vAlign w:val="center"/>
                </w:tcPr>
                <w:p w14:paraId="4814B287">
                  <w:pPr>
                    <w:jc w:val="center"/>
                    <w:rPr>
                      <w:rFonts w:hint="default" w:ascii="Times New Roman" w:hAnsi="Times New Roman" w:cs="Times New Roman"/>
                      <w:color w:val="FF0000"/>
                      <w:highlight w:val="none"/>
                    </w:rPr>
                  </w:pPr>
                </w:p>
              </w:tc>
              <w:tc>
                <w:tcPr>
                  <w:tcW w:w="1347" w:type="pct"/>
                  <w:gridSpan w:val="2"/>
                  <w:noWrap w:val="0"/>
                  <w:vAlign w:val="center"/>
                </w:tcPr>
                <w:p w14:paraId="28DEFCD0">
                  <w:pPr>
                    <w:jc w:val="center"/>
                    <w:rPr>
                      <w:rFonts w:hint="default" w:ascii="Times New Roman" w:hAnsi="Times New Roman" w:eastAsia="宋体" w:cs="Times New Roman"/>
                      <w:highlight w:val="none"/>
                      <w:lang w:eastAsia="zh-CN"/>
                    </w:rPr>
                  </w:pPr>
                  <w:r>
                    <w:rPr>
                      <w:rFonts w:hint="default" w:ascii="Times New Roman" w:hAnsi="Times New Roman" w:cs="Times New Roman"/>
                      <w:highlight w:val="none"/>
                      <w:lang w:eastAsia="zh-CN"/>
                    </w:rPr>
                    <w:t>2303016</w:t>
                  </w:r>
                  <w:r>
                    <w:rPr>
                      <w:rFonts w:hint="default" w:ascii="Times New Roman" w:hAnsi="Times New Roman" w:cs="Times New Roman"/>
                      <w:highlight w:val="none"/>
                    </w:rPr>
                    <w:t>HQ01-</w:t>
                  </w:r>
                  <w:r>
                    <w:rPr>
                      <w:rFonts w:hint="default" w:ascii="Times New Roman" w:hAnsi="Times New Roman" w:cs="Times New Roman"/>
                      <w:highlight w:val="none"/>
                      <w:lang w:val="en-US" w:eastAsia="zh-CN"/>
                    </w:rPr>
                    <w:t>1-</w:t>
                  </w:r>
                  <w:r>
                    <w:rPr>
                      <w:rFonts w:hint="default" w:ascii="Times New Roman" w:hAnsi="Times New Roman" w:cs="Times New Roman"/>
                      <w:highlight w:val="none"/>
                    </w:rPr>
                    <w:t>4</w:t>
                  </w:r>
                  <w:r>
                    <w:rPr>
                      <w:rFonts w:hint="default" w:ascii="Times New Roman" w:hAnsi="Times New Roman" w:cs="Times New Roman"/>
                      <w:highlight w:val="none"/>
                      <w:lang w:val="en-US" w:eastAsia="zh-CN"/>
                    </w:rPr>
                    <w:t>C</w:t>
                  </w:r>
                </w:p>
              </w:tc>
              <w:tc>
                <w:tcPr>
                  <w:tcW w:w="731" w:type="pct"/>
                  <w:noWrap w:val="0"/>
                  <w:vAlign w:val="center"/>
                </w:tcPr>
                <w:p w14:paraId="0095DB20">
                  <w:pPr>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0.41</w:t>
                  </w:r>
                </w:p>
              </w:tc>
              <w:tc>
                <w:tcPr>
                  <w:tcW w:w="536" w:type="pct"/>
                  <w:noWrap w:val="0"/>
                  <w:vAlign w:val="center"/>
                </w:tcPr>
                <w:p w14:paraId="45E26057">
                  <w:pPr>
                    <w:jc w:val="center"/>
                    <w:rPr>
                      <w:rFonts w:hint="default" w:ascii="Times New Roman" w:hAnsi="Times New Roman" w:cs="Times New Roman"/>
                      <w:highlight w:val="none"/>
                    </w:rPr>
                  </w:pPr>
                  <w:r>
                    <w:rPr>
                      <w:rFonts w:hint="default" w:ascii="Times New Roman" w:hAnsi="Times New Roman" w:cs="Times New Roman"/>
                      <w:highlight w:val="none"/>
                    </w:rPr>
                    <w:t>mg/m</w:t>
                  </w:r>
                  <w:r>
                    <w:rPr>
                      <w:rFonts w:hint="default" w:ascii="Times New Roman" w:hAnsi="Times New Roman" w:cs="Times New Roman"/>
                      <w:highlight w:val="none"/>
                      <w:vertAlign w:val="superscript"/>
                    </w:rPr>
                    <w:t>3</w:t>
                  </w:r>
                </w:p>
              </w:tc>
              <w:tc>
                <w:tcPr>
                  <w:tcW w:w="454" w:type="pct"/>
                  <w:noWrap w:val="0"/>
                  <w:vAlign w:val="center"/>
                </w:tcPr>
                <w:p w14:paraId="720D5AA0">
                  <w:pPr>
                    <w:jc w:val="center"/>
                    <w:rPr>
                      <w:rFonts w:hint="default" w:ascii="Times New Roman" w:hAnsi="Times New Roman" w:cs="Times New Roman"/>
                      <w:highlight w:val="none"/>
                    </w:rPr>
                  </w:pPr>
                  <w:r>
                    <w:rPr>
                      <w:rFonts w:hint="eastAsia" w:ascii="Times New Roman" w:hAnsi="Times New Roman" w:cs="Times New Roman"/>
                      <w:highlight w:val="none"/>
                      <w:lang w:val="en-US" w:eastAsia="zh-CN"/>
                    </w:rPr>
                    <w:t>2</w:t>
                  </w:r>
                </w:p>
              </w:tc>
              <w:tc>
                <w:tcPr>
                  <w:tcW w:w="612" w:type="pct"/>
                  <w:noWrap w:val="0"/>
                  <w:vAlign w:val="center"/>
                </w:tcPr>
                <w:p w14:paraId="5A187DEB">
                  <w:pPr>
                    <w:jc w:val="center"/>
                    <w:rPr>
                      <w:rFonts w:hint="default" w:ascii="Times New Roman" w:hAnsi="Times New Roman" w:cs="Times New Roman"/>
                      <w:highlight w:val="none"/>
                    </w:rPr>
                  </w:pPr>
                  <w:r>
                    <w:rPr>
                      <w:rFonts w:hint="default" w:ascii="Times New Roman" w:hAnsi="Times New Roman" w:eastAsia="宋体" w:cs="Times New Roman"/>
                      <w:color w:val="auto"/>
                      <w:kern w:val="2"/>
                      <w:sz w:val="21"/>
                      <w:szCs w:val="21"/>
                      <w:lang w:val="en-US" w:eastAsia="zh-CN"/>
                    </w:rPr>
                    <w:t>达标</w:t>
                  </w:r>
                </w:p>
              </w:tc>
            </w:tr>
            <w:tr w14:paraId="4D93A6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533" w:type="pct"/>
                  <w:vMerge w:val="continue"/>
                  <w:noWrap w:val="0"/>
                  <w:tcMar>
                    <w:top w:w="15" w:type="dxa"/>
                    <w:left w:w="15" w:type="dxa"/>
                    <w:bottom w:w="15" w:type="dxa"/>
                    <w:right w:w="15" w:type="dxa"/>
                  </w:tcMar>
                  <w:vAlign w:val="center"/>
                </w:tcPr>
                <w:p w14:paraId="74F974A1">
                  <w:pPr>
                    <w:jc w:val="center"/>
                    <w:rPr>
                      <w:rFonts w:hint="default" w:ascii="Times New Roman" w:hAnsi="Times New Roman" w:cs="Times New Roman"/>
                      <w:highlight w:val="none"/>
                    </w:rPr>
                  </w:pPr>
                </w:p>
              </w:tc>
              <w:tc>
                <w:tcPr>
                  <w:tcW w:w="783" w:type="pct"/>
                  <w:vMerge w:val="restart"/>
                  <w:noWrap w:val="0"/>
                  <w:tcMar>
                    <w:top w:w="15" w:type="dxa"/>
                    <w:left w:w="15" w:type="dxa"/>
                    <w:bottom w:w="15" w:type="dxa"/>
                    <w:right w:w="15" w:type="dxa"/>
                  </w:tcMar>
                  <w:vAlign w:val="center"/>
                </w:tcPr>
                <w:p w14:paraId="4F79A24F">
                  <w:pPr>
                    <w:jc w:val="center"/>
                    <w:rPr>
                      <w:rFonts w:hint="default" w:ascii="Times New Roman" w:hAnsi="Times New Roman" w:cs="Times New Roman"/>
                      <w:color w:val="FF0000"/>
                      <w:highlight w:val="none"/>
                    </w:rPr>
                  </w:pPr>
                  <w:r>
                    <w:rPr>
                      <w:rFonts w:hint="default" w:ascii="Times New Roman" w:hAnsi="Times New Roman" w:cs="Times New Roman"/>
                      <w:color w:val="auto"/>
                      <w:highlight w:val="none"/>
                      <w:lang w:val="en-US" w:eastAsia="zh-CN"/>
                    </w:rPr>
                    <w:t>2023.03.07</w:t>
                  </w:r>
                </w:p>
              </w:tc>
              <w:tc>
                <w:tcPr>
                  <w:tcW w:w="1347" w:type="pct"/>
                  <w:gridSpan w:val="2"/>
                  <w:noWrap w:val="0"/>
                  <w:vAlign w:val="center"/>
                </w:tcPr>
                <w:p w14:paraId="3897E64E">
                  <w:pPr>
                    <w:jc w:val="center"/>
                    <w:rPr>
                      <w:rFonts w:hint="default" w:ascii="Times New Roman" w:hAnsi="Times New Roman" w:eastAsia="宋体" w:cs="Times New Roman"/>
                      <w:highlight w:val="none"/>
                      <w:lang w:eastAsia="zh-CN"/>
                    </w:rPr>
                  </w:pPr>
                  <w:r>
                    <w:rPr>
                      <w:rFonts w:hint="default" w:ascii="Times New Roman" w:hAnsi="Times New Roman" w:cs="Times New Roman"/>
                      <w:highlight w:val="none"/>
                      <w:lang w:eastAsia="zh-CN"/>
                    </w:rPr>
                    <w:t>2303016</w:t>
                  </w:r>
                  <w:r>
                    <w:rPr>
                      <w:rFonts w:hint="default" w:ascii="Times New Roman" w:hAnsi="Times New Roman" w:cs="Times New Roman"/>
                      <w:highlight w:val="none"/>
                    </w:rPr>
                    <w:t>HQ01-</w:t>
                  </w:r>
                  <w:r>
                    <w:rPr>
                      <w:rFonts w:hint="default" w:ascii="Times New Roman" w:hAnsi="Times New Roman" w:cs="Times New Roman"/>
                      <w:highlight w:val="none"/>
                      <w:lang w:val="en-US" w:eastAsia="zh-CN"/>
                    </w:rPr>
                    <w:t>2-1C</w:t>
                  </w:r>
                </w:p>
              </w:tc>
              <w:tc>
                <w:tcPr>
                  <w:tcW w:w="731" w:type="pct"/>
                  <w:noWrap w:val="0"/>
                  <w:vAlign w:val="center"/>
                </w:tcPr>
                <w:p w14:paraId="73D575B4">
                  <w:pPr>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0.40</w:t>
                  </w:r>
                </w:p>
              </w:tc>
              <w:tc>
                <w:tcPr>
                  <w:tcW w:w="536" w:type="pct"/>
                  <w:noWrap w:val="0"/>
                  <w:vAlign w:val="center"/>
                </w:tcPr>
                <w:p w14:paraId="215DBF16">
                  <w:pPr>
                    <w:jc w:val="center"/>
                    <w:rPr>
                      <w:rFonts w:hint="default" w:ascii="Times New Roman" w:hAnsi="Times New Roman" w:cs="Times New Roman"/>
                      <w:highlight w:val="none"/>
                    </w:rPr>
                  </w:pPr>
                  <w:r>
                    <w:rPr>
                      <w:rFonts w:hint="default" w:ascii="Times New Roman" w:hAnsi="Times New Roman" w:cs="Times New Roman"/>
                      <w:highlight w:val="none"/>
                    </w:rPr>
                    <w:t>mg/m</w:t>
                  </w:r>
                  <w:r>
                    <w:rPr>
                      <w:rFonts w:hint="default" w:ascii="Times New Roman" w:hAnsi="Times New Roman" w:cs="Times New Roman"/>
                      <w:highlight w:val="none"/>
                      <w:vertAlign w:val="superscript"/>
                    </w:rPr>
                    <w:t>3</w:t>
                  </w:r>
                </w:p>
              </w:tc>
              <w:tc>
                <w:tcPr>
                  <w:tcW w:w="454" w:type="pct"/>
                  <w:noWrap w:val="0"/>
                  <w:vAlign w:val="center"/>
                </w:tcPr>
                <w:p w14:paraId="2CCC61F5">
                  <w:pPr>
                    <w:jc w:val="center"/>
                    <w:rPr>
                      <w:rFonts w:hint="default" w:ascii="Times New Roman" w:hAnsi="Times New Roman" w:cs="Times New Roman"/>
                      <w:highlight w:val="none"/>
                    </w:rPr>
                  </w:pPr>
                  <w:r>
                    <w:rPr>
                      <w:rFonts w:hint="eastAsia" w:ascii="Times New Roman" w:hAnsi="Times New Roman" w:cs="Times New Roman"/>
                      <w:highlight w:val="none"/>
                      <w:lang w:val="en-US" w:eastAsia="zh-CN"/>
                    </w:rPr>
                    <w:t>2</w:t>
                  </w:r>
                </w:p>
              </w:tc>
              <w:tc>
                <w:tcPr>
                  <w:tcW w:w="612" w:type="pct"/>
                  <w:noWrap w:val="0"/>
                  <w:vAlign w:val="center"/>
                </w:tcPr>
                <w:p w14:paraId="4B5BB07E">
                  <w:pPr>
                    <w:jc w:val="center"/>
                    <w:rPr>
                      <w:rFonts w:hint="default" w:ascii="Times New Roman" w:hAnsi="Times New Roman" w:cs="Times New Roman"/>
                      <w:highlight w:val="none"/>
                    </w:rPr>
                  </w:pPr>
                  <w:r>
                    <w:rPr>
                      <w:rFonts w:hint="default" w:ascii="Times New Roman" w:hAnsi="Times New Roman" w:eastAsia="宋体" w:cs="Times New Roman"/>
                      <w:color w:val="auto"/>
                      <w:kern w:val="2"/>
                      <w:sz w:val="21"/>
                      <w:szCs w:val="21"/>
                      <w:lang w:val="en-US" w:eastAsia="zh-CN"/>
                    </w:rPr>
                    <w:t>达标</w:t>
                  </w:r>
                </w:p>
              </w:tc>
            </w:tr>
            <w:tr w14:paraId="20E273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533" w:type="pct"/>
                  <w:vMerge w:val="continue"/>
                  <w:noWrap w:val="0"/>
                  <w:tcMar>
                    <w:top w:w="15" w:type="dxa"/>
                    <w:left w:w="15" w:type="dxa"/>
                    <w:bottom w:w="15" w:type="dxa"/>
                    <w:right w:w="15" w:type="dxa"/>
                  </w:tcMar>
                  <w:vAlign w:val="center"/>
                </w:tcPr>
                <w:p w14:paraId="7CD4B32D">
                  <w:pPr>
                    <w:jc w:val="center"/>
                    <w:rPr>
                      <w:rFonts w:hint="default" w:ascii="Times New Roman" w:hAnsi="Times New Roman" w:cs="Times New Roman"/>
                      <w:highlight w:val="none"/>
                    </w:rPr>
                  </w:pPr>
                </w:p>
              </w:tc>
              <w:tc>
                <w:tcPr>
                  <w:tcW w:w="783" w:type="pct"/>
                  <w:vMerge w:val="continue"/>
                  <w:noWrap w:val="0"/>
                  <w:tcMar>
                    <w:top w:w="15" w:type="dxa"/>
                    <w:left w:w="15" w:type="dxa"/>
                    <w:bottom w:w="15" w:type="dxa"/>
                    <w:right w:w="15" w:type="dxa"/>
                  </w:tcMar>
                  <w:vAlign w:val="center"/>
                </w:tcPr>
                <w:p w14:paraId="02EA832C">
                  <w:pPr>
                    <w:jc w:val="center"/>
                    <w:rPr>
                      <w:rFonts w:hint="default" w:ascii="Times New Roman" w:hAnsi="Times New Roman" w:cs="Times New Roman"/>
                      <w:color w:val="FF0000"/>
                      <w:highlight w:val="none"/>
                    </w:rPr>
                  </w:pPr>
                </w:p>
              </w:tc>
              <w:tc>
                <w:tcPr>
                  <w:tcW w:w="1347" w:type="pct"/>
                  <w:gridSpan w:val="2"/>
                  <w:noWrap w:val="0"/>
                  <w:vAlign w:val="center"/>
                </w:tcPr>
                <w:p w14:paraId="2C837A3A">
                  <w:pPr>
                    <w:jc w:val="center"/>
                    <w:rPr>
                      <w:rFonts w:hint="default" w:ascii="Times New Roman" w:hAnsi="Times New Roman" w:eastAsia="宋体" w:cs="Times New Roman"/>
                      <w:highlight w:val="none"/>
                      <w:lang w:eastAsia="zh-CN"/>
                    </w:rPr>
                  </w:pPr>
                  <w:r>
                    <w:rPr>
                      <w:rFonts w:hint="default" w:ascii="Times New Roman" w:hAnsi="Times New Roman" w:cs="Times New Roman"/>
                      <w:highlight w:val="none"/>
                      <w:lang w:eastAsia="zh-CN"/>
                    </w:rPr>
                    <w:t>2303016</w:t>
                  </w:r>
                  <w:r>
                    <w:rPr>
                      <w:rFonts w:hint="default" w:ascii="Times New Roman" w:hAnsi="Times New Roman" w:cs="Times New Roman"/>
                      <w:highlight w:val="none"/>
                    </w:rPr>
                    <w:t>HQ01-</w:t>
                  </w:r>
                  <w:r>
                    <w:rPr>
                      <w:rFonts w:hint="default" w:ascii="Times New Roman" w:hAnsi="Times New Roman" w:cs="Times New Roman"/>
                      <w:highlight w:val="none"/>
                      <w:lang w:val="en-US" w:eastAsia="zh-CN"/>
                    </w:rPr>
                    <w:t>2-</w:t>
                  </w:r>
                  <w:r>
                    <w:rPr>
                      <w:rFonts w:hint="default" w:ascii="Times New Roman" w:hAnsi="Times New Roman" w:cs="Times New Roman"/>
                      <w:highlight w:val="none"/>
                    </w:rPr>
                    <w:t>2</w:t>
                  </w:r>
                  <w:r>
                    <w:rPr>
                      <w:rFonts w:hint="default" w:ascii="Times New Roman" w:hAnsi="Times New Roman" w:cs="Times New Roman"/>
                      <w:highlight w:val="none"/>
                      <w:lang w:val="en-US" w:eastAsia="zh-CN"/>
                    </w:rPr>
                    <w:t>C</w:t>
                  </w:r>
                </w:p>
              </w:tc>
              <w:tc>
                <w:tcPr>
                  <w:tcW w:w="731" w:type="pct"/>
                  <w:noWrap w:val="0"/>
                  <w:vAlign w:val="center"/>
                </w:tcPr>
                <w:p w14:paraId="13A70AF1">
                  <w:pPr>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0.43</w:t>
                  </w:r>
                </w:p>
              </w:tc>
              <w:tc>
                <w:tcPr>
                  <w:tcW w:w="536" w:type="pct"/>
                  <w:noWrap w:val="0"/>
                  <w:vAlign w:val="center"/>
                </w:tcPr>
                <w:p w14:paraId="08986EC4">
                  <w:pPr>
                    <w:jc w:val="center"/>
                    <w:rPr>
                      <w:rFonts w:hint="default" w:ascii="Times New Roman" w:hAnsi="Times New Roman" w:cs="Times New Roman"/>
                      <w:highlight w:val="none"/>
                    </w:rPr>
                  </w:pPr>
                  <w:r>
                    <w:rPr>
                      <w:rFonts w:hint="default" w:ascii="Times New Roman" w:hAnsi="Times New Roman" w:cs="Times New Roman"/>
                      <w:highlight w:val="none"/>
                    </w:rPr>
                    <w:t>mg/m</w:t>
                  </w:r>
                  <w:r>
                    <w:rPr>
                      <w:rFonts w:hint="default" w:ascii="Times New Roman" w:hAnsi="Times New Roman" w:cs="Times New Roman"/>
                      <w:highlight w:val="none"/>
                      <w:vertAlign w:val="superscript"/>
                    </w:rPr>
                    <w:t>3</w:t>
                  </w:r>
                </w:p>
              </w:tc>
              <w:tc>
                <w:tcPr>
                  <w:tcW w:w="454" w:type="pct"/>
                  <w:noWrap w:val="0"/>
                  <w:vAlign w:val="center"/>
                </w:tcPr>
                <w:p w14:paraId="72564F16">
                  <w:pPr>
                    <w:jc w:val="center"/>
                    <w:rPr>
                      <w:rFonts w:hint="default" w:ascii="Times New Roman" w:hAnsi="Times New Roman" w:cs="Times New Roman"/>
                      <w:highlight w:val="none"/>
                    </w:rPr>
                  </w:pPr>
                  <w:r>
                    <w:rPr>
                      <w:rFonts w:hint="eastAsia" w:ascii="Times New Roman" w:hAnsi="Times New Roman" w:cs="Times New Roman"/>
                      <w:highlight w:val="none"/>
                      <w:lang w:val="en-US" w:eastAsia="zh-CN"/>
                    </w:rPr>
                    <w:t>2</w:t>
                  </w:r>
                </w:p>
              </w:tc>
              <w:tc>
                <w:tcPr>
                  <w:tcW w:w="612" w:type="pct"/>
                  <w:noWrap w:val="0"/>
                  <w:vAlign w:val="center"/>
                </w:tcPr>
                <w:p w14:paraId="1CCD252D">
                  <w:pPr>
                    <w:jc w:val="center"/>
                    <w:rPr>
                      <w:rFonts w:hint="default" w:ascii="Times New Roman" w:hAnsi="Times New Roman" w:cs="Times New Roman"/>
                      <w:highlight w:val="none"/>
                    </w:rPr>
                  </w:pPr>
                  <w:r>
                    <w:rPr>
                      <w:rFonts w:hint="default" w:ascii="Times New Roman" w:hAnsi="Times New Roman" w:eastAsia="宋体" w:cs="Times New Roman"/>
                      <w:color w:val="auto"/>
                      <w:kern w:val="2"/>
                      <w:sz w:val="21"/>
                      <w:szCs w:val="21"/>
                      <w:lang w:val="en-US" w:eastAsia="zh-CN"/>
                    </w:rPr>
                    <w:t>达标</w:t>
                  </w:r>
                </w:p>
              </w:tc>
            </w:tr>
            <w:tr w14:paraId="2CF5A2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533" w:type="pct"/>
                  <w:vMerge w:val="continue"/>
                  <w:noWrap w:val="0"/>
                  <w:tcMar>
                    <w:top w:w="15" w:type="dxa"/>
                    <w:left w:w="15" w:type="dxa"/>
                    <w:bottom w:w="15" w:type="dxa"/>
                    <w:right w:w="15" w:type="dxa"/>
                  </w:tcMar>
                  <w:vAlign w:val="center"/>
                </w:tcPr>
                <w:p w14:paraId="5FA37E52">
                  <w:pPr>
                    <w:jc w:val="center"/>
                    <w:rPr>
                      <w:rFonts w:hint="default" w:ascii="Times New Roman" w:hAnsi="Times New Roman" w:cs="Times New Roman"/>
                      <w:highlight w:val="none"/>
                    </w:rPr>
                  </w:pPr>
                </w:p>
              </w:tc>
              <w:tc>
                <w:tcPr>
                  <w:tcW w:w="783" w:type="pct"/>
                  <w:vMerge w:val="continue"/>
                  <w:noWrap w:val="0"/>
                  <w:tcMar>
                    <w:top w:w="15" w:type="dxa"/>
                    <w:left w:w="15" w:type="dxa"/>
                    <w:bottom w:w="15" w:type="dxa"/>
                    <w:right w:w="15" w:type="dxa"/>
                  </w:tcMar>
                  <w:vAlign w:val="center"/>
                </w:tcPr>
                <w:p w14:paraId="335D55AB">
                  <w:pPr>
                    <w:jc w:val="center"/>
                    <w:rPr>
                      <w:rFonts w:hint="default" w:ascii="Times New Roman" w:hAnsi="Times New Roman" w:cs="Times New Roman"/>
                      <w:color w:val="FF0000"/>
                      <w:highlight w:val="none"/>
                    </w:rPr>
                  </w:pPr>
                </w:p>
              </w:tc>
              <w:tc>
                <w:tcPr>
                  <w:tcW w:w="1347" w:type="pct"/>
                  <w:gridSpan w:val="2"/>
                  <w:noWrap w:val="0"/>
                  <w:vAlign w:val="center"/>
                </w:tcPr>
                <w:p w14:paraId="7783ECB8">
                  <w:pPr>
                    <w:jc w:val="center"/>
                    <w:rPr>
                      <w:rFonts w:hint="default" w:ascii="Times New Roman" w:hAnsi="Times New Roman" w:eastAsia="宋体" w:cs="Times New Roman"/>
                      <w:highlight w:val="none"/>
                      <w:lang w:eastAsia="zh-CN"/>
                    </w:rPr>
                  </w:pPr>
                  <w:r>
                    <w:rPr>
                      <w:rFonts w:hint="default" w:ascii="Times New Roman" w:hAnsi="Times New Roman" w:cs="Times New Roman"/>
                      <w:highlight w:val="none"/>
                      <w:lang w:eastAsia="zh-CN"/>
                    </w:rPr>
                    <w:t>2303016</w:t>
                  </w:r>
                  <w:r>
                    <w:rPr>
                      <w:rFonts w:hint="default" w:ascii="Times New Roman" w:hAnsi="Times New Roman" w:cs="Times New Roman"/>
                      <w:highlight w:val="none"/>
                    </w:rPr>
                    <w:t>HQ01-</w:t>
                  </w:r>
                  <w:r>
                    <w:rPr>
                      <w:rFonts w:hint="default" w:ascii="Times New Roman" w:hAnsi="Times New Roman" w:cs="Times New Roman"/>
                      <w:highlight w:val="none"/>
                      <w:lang w:val="en-US" w:eastAsia="zh-CN"/>
                    </w:rPr>
                    <w:t>2-</w:t>
                  </w:r>
                  <w:r>
                    <w:rPr>
                      <w:rFonts w:hint="default" w:ascii="Times New Roman" w:hAnsi="Times New Roman" w:cs="Times New Roman"/>
                      <w:highlight w:val="none"/>
                    </w:rPr>
                    <w:t>3</w:t>
                  </w:r>
                  <w:r>
                    <w:rPr>
                      <w:rFonts w:hint="default" w:ascii="Times New Roman" w:hAnsi="Times New Roman" w:cs="Times New Roman"/>
                      <w:highlight w:val="none"/>
                      <w:lang w:val="en-US" w:eastAsia="zh-CN"/>
                    </w:rPr>
                    <w:t>C</w:t>
                  </w:r>
                </w:p>
              </w:tc>
              <w:tc>
                <w:tcPr>
                  <w:tcW w:w="731" w:type="pct"/>
                  <w:noWrap w:val="0"/>
                  <w:vAlign w:val="center"/>
                </w:tcPr>
                <w:p w14:paraId="47B64F0A">
                  <w:pPr>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0.46</w:t>
                  </w:r>
                </w:p>
              </w:tc>
              <w:tc>
                <w:tcPr>
                  <w:tcW w:w="536" w:type="pct"/>
                  <w:noWrap w:val="0"/>
                  <w:vAlign w:val="center"/>
                </w:tcPr>
                <w:p w14:paraId="75894EBD">
                  <w:pPr>
                    <w:jc w:val="center"/>
                    <w:rPr>
                      <w:rFonts w:hint="default" w:ascii="Times New Roman" w:hAnsi="Times New Roman" w:cs="Times New Roman"/>
                      <w:highlight w:val="none"/>
                    </w:rPr>
                  </w:pPr>
                  <w:r>
                    <w:rPr>
                      <w:rFonts w:hint="default" w:ascii="Times New Roman" w:hAnsi="Times New Roman" w:cs="Times New Roman"/>
                      <w:highlight w:val="none"/>
                    </w:rPr>
                    <w:t>mg/m</w:t>
                  </w:r>
                  <w:r>
                    <w:rPr>
                      <w:rFonts w:hint="default" w:ascii="Times New Roman" w:hAnsi="Times New Roman" w:cs="Times New Roman"/>
                      <w:highlight w:val="none"/>
                      <w:vertAlign w:val="superscript"/>
                    </w:rPr>
                    <w:t>3</w:t>
                  </w:r>
                </w:p>
              </w:tc>
              <w:tc>
                <w:tcPr>
                  <w:tcW w:w="454" w:type="pct"/>
                  <w:noWrap w:val="0"/>
                  <w:vAlign w:val="center"/>
                </w:tcPr>
                <w:p w14:paraId="0F19F85F">
                  <w:pPr>
                    <w:jc w:val="center"/>
                    <w:rPr>
                      <w:rFonts w:hint="default" w:ascii="Times New Roman" w:hAnsi="Times New Roman" w:cs="Times New Roman"/>
                      <w:highlight w:val="none"/>
                    </w:rPr>
                  </w:pPr>
                  <w:r>
                    <w:rPr>
                      <w:rFonts w:hint="eastAsia" w:ascii="Times New Roman" w:hAnsi="Times New Roman" w:cs="Times New Roman"/>
                      <w:highlight w:val="none"/>
                      <w:lang w:val="en-US" w:eastAsia="zh-CN"/>
                    </w:rPr>
                    <w:t>2</w:t>
                  </w:r>
                </w:p>
              </w:tc>
              <w:tc>
                <w:tcPr>
                  <w:tcW w:w="612" w:type="pct"/>
                  <w:noWrap w:val="0"/>
                  <w:vAlign w:val="center"/>
                </w:tcPr>
                <w:p w14:paraId="5A386997">
                  <w:pPr>
                    <w:jc w:val="center"/>
                    <w:rPr>
                      <w:rFonts w:hint="default" w:ascii="Times New Roman" w:hAnsi="Times New Roman" w:cs="Times New Roman"/>
                      <w:highlight w:val="none"/>
                    </w:rPr>
                  </w:pPr>
                  <w:r>
                    <w:rPr>
                      <w:rFonts w:hint="default" w:ascii="Times New Roman" w:hAnsi="Times New Roman" w:eastAsia="宋体" w:cs="Times New Roman"/>
                      <w:color w:val="auto"/>
                      <w:kern w:val="2"/>
                      <w:sz w:val="21"/>
                      <w:szCs w:val="21"/>
                      <w:lang w:val="en-US" w:eastAsia="zh-CN"/>
                    </w:rPr>
                    <w:t>达标</w:t>
                  </w:r>
                </w:p>
              </w:tc>
            </w:tr>
            <w:tr w14:paraId="5D5E6A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533" w:type="pct"/>
                  <w:vMerge w:val="continue"/>
                  <w:noWrap w:val="0"/>
                  <w:tcMar>
                    <w:top w:w="15" w:type="dxa"/>
                    <w:left w:w="15" w:type="dxa"/>
                    <w:bottom w:w="15" w:type="dxa"/>
                    <w:right w:w="15" w:type="dxa"/>
                  </w:tcMar>
                  <w:vAlign w:val="center"/>
                </w:tcPr>
                <w:p w14:paraId="70BA32C1">
                  <w:pPr>
                    <w:jc w:val="center"/>
                    <w:rPr>
                      <w:rFonts w:hint="default" w:ascii="Times New Roman" w:hAnsi="Times New Roman" w:cs="Times New Roman"/>
                      <w:snapToGrid w:val="0"/>
                      <w:highlight w:val="none"/>
                    </w:rPr>
                  </w:pPr>
                </w:p>
              </w:tc>
              <w:tc>
                <w:tcPr>
                  <w:tcW w:w="783" w:type="pct"/>
                  <w:vMerge w:val="continue"/>
                  <w:noWrap w:val="0"/>
                  <w:tcMar>
                    <w:top w:w="15" w:type="dxa"/>
                    <w:left w:w="15" w:type="dxa"/>
                    <w:bottom w:w="15" w:type="dxa"/>
                    <w:right w:w="15" w:type="dxa"/>
                  </w:tcMar>
                  <w:vAlign w:val="center"/>
                </w:tcPr>
                <w:p w14:paraId="1144385B">
                  <w:pPr>
                    <w:jc w:val="center"/>
                    <w:rPr>
                      <w:rFonts w:hint="default" w:ascii="Times New Roman" w:hAnsi="Times New Roman" w:cs="Times New Roman"/>
                      <w:color w:val="FF0000"/>
                      <w:highlight w:val="none"/>
                    </w:rPr>
                  </w:pPr>
                </w:p>
              </w:tc>
              <w:tc>
                <w:tcPr>
                  <w:tcW w:w="1347" w:type="pct"/>
                  <w:gridSpan w:val="2"/>
                  <w:noWrap w:val="0"/>
                  <w:vAlign w:val="center"/>
                </w:tcPr>
                <w:p w14:paraId="32C91C2F">
                  <w:pPr>
                    <w:jc w:val="center"/>
                    <w:rPr>
                      <w:rFonts w:hint="default" w:ascii="Times New Roman" w:hAnsi="Times New Roman" w:eastAsia="宋体" w:cs="Times New Roman"/>
                      <w:highlight w:val="none"/>
                      <w:lang w:eastAsia="zh-CN"/>
                    </w:rPr>
                  </w:pPr>
                  <w:r>
                    <w:rPr>
                      <w:rFonts w:hint="default" w:ascii="Times New Roman" w:hAnsi="Times New Roman" w:cs="Times New Roman"/>
                      <w:highlight w:val="none"/>
                      <w:lang w:eastAsia="zh-CN"/>
                    </w:rPr>
                    <w:t>2303016</w:t>
                  </w:r>
                  <w:r>
                    <w:rPr>
                      <w:rFonts w:hint="default" w:ascii="Times New Roman" w:hAnsi="Times New Roman" w:cs="Times New Roman"/>
                      <w:highlight w:val="none"/>
                    </w:rPr>
                    <w:t>HQ01-</w:t>
                  </w:r>
                  <w:r>
                    <w:rPr>
                      <w:rFonts w:hint="default" w:ascii="Times New Roman" w:hAnsi="Times New Roman" w:cs="Times New Roman"/>
                      <w:highlight w:val="none"/>
                      <w:lang w:val="en-US" w:eastAsia="zh-CN"/>
                    </w:rPr>
                    <w:t>2-</w:t>
                  </w:r>
                  <w:r>
                    <w:rPr>
                      <w:rFonts w:hint="default" w:ascii="Times New Roman" w:hAnsi="Times New Roman" w:cs="Times New Roman"/>
                      <w:highlight w:val="none"/>
                    </w:rPr>
                    <w:t>4</w:t>
                  </w:r>
                  <w:r>
                    <w:rPr>
                      <w:rFonts w:hint="default" w:ascii="Times New Roman" w:hAnsi="Times New Roman" w:cs="Times New Roman"/>
                      <w:highlight w:val="none"/>
                      <w:lang w:val="en-US" w:eastAsia="zh-CN"/>
                    </w:rPr>
                    <w:t>C</w:t>
                  </w:r>
                </w:p>
              </w:tc>
              <w:tc>
                <w:tcPr>
                  <w:tcW w:w="731" w:type="pct"/>
                  <w:noWrap w:val="0"/>
                  <w:vAlign w:val="center"/>
                </w:tcPr>
                <w:p w14:paraId="7A21B5C2">
                  <w:pPr>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0.40</w:t>
                  </w:r>
                </w:p>
              </w:tc>
              <w:tc>
                <w:tcPr>
                  <w:tcW w:w="536" w:type="pct"/>
                  <w:noWrap w:val="0"/>
                  <w:vAlign w:val="center"/>
                </w:tcPr>
                <w:p w14:paraId="33F12BB9">
                  <w:pPr>
                    <w:jc w:val="center"/>
                    <w:rPr>
                      <w:rFonts w:hint="default" w:ascii="Times New Roman" w:hAnsi="Times New Roman" w:cs="Times New Roman"/>
                      <w:highlight w:val="none"/>
                    </w:rPr>
                  </w:pPr>
                  <w:r>
                    <w:rPr>
                      <w:rFonts w:hint="default" w:ascii="Times New Roman" w:hAnsi="Times New Roman" w:cs="Times New Roman"/>
                      <w:highlight w:val="none"/>
                    </w:rPr>
                    <w:t>mg/m</w:t>
                  </w:r>
                  <w:r>
                    <w:rPr>
                      <w:rFonts w:hint="default" w:ascii="Times New Roman" w:hAnsi="Times New Roman" w:cs="Times New Roman"/>
                      <w:highlight w:val="none"/>
                      <w:vertAlign w:val="superscript"/>
                    </w:rPr>
                    <w:t>3</w:t>
                  </w:r>
                </w:p>
              </w:tc>
              <w:tc>
                <w:tcPr>
                  <w:tcW w:w="454" w:type="pct"/>
                  <w:noWrap w:val="0"/>
                  <w:vAlign w:val="center"/>
                </w:tcPr>
                <w:p w14:paraId="3E437AB8">
                  <w:pPr>
                    <w:jc w:val="center"/>
                    <w:rPr>
                      <w:rFonts w:hint="default" w:ascii="Times New Roman" w:hAnsi="Times New Roman" w:cs="Times New Roman"/>
                      <w:highlight w:val="none"/>
                    </w:rPr>
                  </w:pPr>
                  <w:r>
                    <w:rPr>
                      <w:rFonts w:hint="eastAsia" w:ascii="Times New Roman" w:hAnsi="Times New Roman" w:cs="Times New Roman"/>
                      <w:highlight w:val="none"/>
                      <w:lang w:val="en-US" w:eastAsia="zh-CN"/>
                    </w:rPr>
                    <w:t>2</w:t>
                  </w:r>
                </w:p>
              </w:tc>
              <w:tc>
                <w:tcPr>
                  <w:tcW w:w="612" w:type="pct"/>
                  <w:noWrap w:val="0"/>
                  <w:vAlign w:val="center"/>
                </w:tcPr>
                <w:p w14:paraId="0DD1F0A7">
                  <w:pPr>
                    <w:jc w:val="center"/>
                    <w:rPr>
                      <w:rFonts w:hint="default" w:ascii="Times New Roman" w:hAnsi="Times New Roman" w:cs="Times New Roman"/>
                      <w:highlight w:val="none"/>
                    </w:rPr>
                  </w:pPr>
                  <w:r>
                    <w:rPr>
                      <w:rFonts w:hint="default" w:ascii="Times New Roman" w:hAnsi="Times New Roman" w:eastAsia="宋体" w:cs="Times New Roman"/>
                      <w:color w:val="auto"/>
                      <w:kern w:val="2"/>
                      <w:sz w:val="21"/>
                      <w:szCs w:val="21"/>
                      <w:lang w:val="en-US" w:eastAsia="zh-CN"/>
                    </w:rPr>
                    <w:t>达标</w:t>
                  </w:r>
                </w:p>
              </w:tc>
            </w:tr>
            <w:tr w14:paraId="08A2A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533" w:type="pct"/>
                  <w:vMerge w:val="continue"/>
                  <w:noWrap w:val="0"/>
                  <w:tcMar>
                    <w:top w:w="15" w:type="dxa"/>
                    <w:left w:w="15" w:type="dxa"/>
                    <w:bottom w:w="15" w:type="dxa"/>
                    <w:right w:w="15" w:type="dxa"/>
                  </w:tcMar>
                  <w:vAlign w:val="center"/>
                </w:tcPr>
                <w:p w14:paraId="2E7EA3AE">
                  <w:pPr>
                    <w:jc w:val="center"/>
                    <w:rPr>
                      <w:rFonts w:hint="default" w:ascii="Times New Roman" w:hAnsi="Times New Roman" w:cs="Times New Roman"/>
                      <w:highlight w:val="none"/>
                    </w:rPr>
                  </w:pPr>
                </w:p>
              </w:tc>
              <w:tc>
                <w:tcPr>
                  <w:tcW w:w="783" w:type="pct"/>
                  <w:vMerge w:val="restart"/>
                  <w:noWrap w:val="0"/>
                  <w:tcMar>
                    <w:top w:w="15" w:type="dxa"/>
                    <w:left w:w="15" w:type="dxa"/>
                    <w:bottom w:w="15" w:type="dxa"/>
                    <w:right w:w="15" w:type="dxa"/>
                  </w:tcMar>
                  <w:vAlign w:val="center"/>
                </w:tcPr>
                <w:p w14:paraId="1BFBC85D">
                  <w:pPr>
                    <w:jc w:val="center"/>
                    <w:rPr>
                      <w:rFonts w:hint="default" w:ascii="Times New Roman" w:hAnsi="Times New Roman" w:cs="Times New Roman"/>
                      <w:color w:val="FF0000"/>
                      <w:highlight w:val="none"/>
                    </w:rPr>
                  </w:pPr>
                  <w:r>
                    <w:rPr>
                      <w:rFonts w:hint="default" w:ascii="Times New Roman" w:hAnsi="Times New Roman" w:cs="Times New Roman"/>
                      <w:color w:val="auto"/>
                      <w:highlight w:val="none"/>
                      <w:lang w:val="en-US" w:eastAsia="zh-CN"/>
                    </w:rPr>
                    <w:t>2023.03.08</w:t>
                  </w:r>
                </w:p>
              </w:tc>
              <w:tc>
                <w:tcPr>
                  <w:tcW w:w="1347" w:type="pct"/>
                  <w:gridSpan w:val="2"/>
                  <w:noWrap w:val="0"/>
                  <w:vAlign w:val="center"/>
                </w:tcPr>
                <w:p w14:paraId="5B101734">
                  <w:pPr>
                    <w:jc w:val="center"/>
                    <w:rPr>
                      <w:rFonts w:hint="default" w:ascii="Times New Roman" w:hAnsi="Times New Roman" w:eastAsia="宋体" w:cs="Times New Roman"/>
                      <w:highlight w:val="none"/>
                      <w:lang w:eastAsia="zh-CN"/>
                    </w:rPr>
                  </w:pPr>
                  <w:r>
                    <w:rPr>
                      <w:rFonts w:hint="default" w:ascii="Times New Roman" w:hAnsi="Times New Roman" w:cs="Times New Roman"/>
                      <w:highlight w:val="none"/>
                      <w:lang w:eastAsia="zh-CN"/>
                    </w:rPr>
                    <w:t>2303016</w:t>
                  </w:r>
                  <w:r>
                    <w:rPr>
                      <w:rFonts w:hint="default" w:ascii="Times New Roman" w:hAnsi="Times New Roman" w:cs="Times New Roman"/>
                      <w:highlight w:val="none"/>
                    </w:rPr>
                    <w:t>HQ01-</w:t>
                  </w:r>
                  <w:r>
                    <w:rPr>
                      <w:rFonts w:hint="default" w:ascii="Times New Roman" w:hAnsi="Times New Roman" w:cs="Times New Roman"/>
                      <w:highlight w:val="none"/>
                      <w:lang w:val="en-US" w:eastAsia="zh-CN"/>
                    </w:rPr>
                    <w:t>3-1C</w:t>
                  </w:r>
                </w:p>
              </w:tc>
              <w:tc>
                <w:tcPr>
                  <w:tcW w:w="731" w:type="pct"/>
                  <w:noWrap w:val="0"/>
                  <w:vAlign w:val="center"/>
                </w:tcPr>
                <w:p w14:paraId="33706EEF">
                  <w:pPr>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0.52</w:t>
                  </w:r>
                </w:p>
              </w:tc>
              <w:tc>
                <w:tcPr>
                  <w:tcW w:w="536" w:type="pct"/>
                  <w:noWrap w:val="0"/>
                  <w:vAlign w:val="center"/>
                </w:tcPr>
                <w:p w14:paraId="420C4475">
                  <w:pPr>
                    <w:jc w:val="center"/>
                    <w:rPr>
                      <w:rFonts w:hint="default" w:ascii="Times New Roman" w:hAnsi="Times New Roman" w:cs="Times New Roman"/>
                      <w:highlight w:val="none"/>
                    </w:rPr>
                  </w:pPr>
                  <w:r>
                    <w:rPr>
                      <w:rFonts w:hint="default" w:ascii="Times New Roman" w:hAnsi="Times New Roman" w:cs="Times New Roman"/>
                      <w:highlight w:val="none"/>
                    </w:rPr>
                    <w:t>mg/m</w:t>
                  </w:r>
                  <w:r>
                    <w:rPr>
                      <w:rFonts w:hint="default" w:ascii="Times New Roman" w:hAnsi="Times New Roman" w:cs="Times New Roman"/>
                      <w:highlight w:val="none"/>
                      <w:vertAlign w:val="superscript"/>
                    </w:rPr>
                    <w:t>3</w:t>
                  </w:r>
                </w:p>
              </w:tc>
              <w:tc>
                <w:tcPr>
                  <w:tcW w:w="454" w:type="pct"/>
                  <w:noWrap w:val="0"/>
                  <w:vAlign w:val="center"/>
                </w:tcPr>
                <w:p w14:paraId="66CA0268">
                  <w:pPr>
                    <w:jc w:val="center"/>
                    <w:rPr>
                      <w:rFonts w:hint="default" w:ascii="Times New Roman" w:hAnsi="Times New Roman" w:cs="Times New Roman"/>
                      <w:highlight w:val="none"/>
                    </w:rPr>
                  </w:pPr>
                  <w:r>
                    <w:rPr>
                      <w:rFonts w:hint="eastAsia" w:ascii="Times New Roman" w:hAnsi="Times New Roman" w:cs="Times New Roman"/>
                      <w:highlight w:val="none"/>
                      <w:lang w:val="en-US" w:eastAsia="zh-CN"/>
                    </w:rPr>
                    <w:t>2</w:t>
                  </w:r>
                </w:p>
              </w:tc>
              <w:tc>
                <w:tcPr>
                  <w:tcW w:w="612" w:type="pct"/>
                  <w:noWrap w:val="0"/>
                  <w:vAlign w:val="center"/>
                </w:tcPr>
                <w:p w14:paraId="68DB78A1">
                  <w:pPr>
                    <w:jc w:val="center"/>
                    <w:rPr>
                      <w:rFonts w:hint="default" w:ascii="Times New Roman" w:hAnsi="Times New Roman" w:cs="Times New Roman"/>
                      <w:highlight w:val="none"/>
                    </w:rPr>
                  </w:pPr>
                  <w:r>
                    <w:rPr>
                      <w:rFonts w:hint="default" w:ascii="Times New Roman" w:hAnsi="Times New Roman" w:eastAsia="宋体" w:cs="Times New Roman"/>
                      <w:color w:val="auto"/>
                      <w:kern w:val="2"/>
                      <w:sz w:val="21"/>
                      <w:szCs w:val="21"/>
                      <w:lang w:val="en-US" w:eastAsia="zh-CN"/>
                    </w:rPr>
                    <w:t>达标</w:t>
                  </w:r>
                </w:p>
              </w:tc>
            </w:tr>
            <w:tr w14:paraId="4F93C9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533" w:type="pct"/>
                  <w:vMerge w:val="continue"/>
                  <w:noWrap w:val="0"/>
                  <w:tcMar>
                    <w:top w:w="15" w:type="dxa"/>
                    <w:left w:w="15" w:type="dxa"/>
                    <w:bottom w:w="15" w:type="dxa"/>
                    <w:right w:w="15" w:type="dxa"/>
                  </w:tcMar>
                  <w:vAlign w:val="center"/>
                </w:tcPr>
                <w:p w14:paraId="30099393">
                  <w:pPr>
                    <w:jc w:val="center"/>
                    <w:rPr>
                      <w:rFonts w:hint="default" w:ascii="Times New Roman" w:hAnsi="Times New Roman" w:cs="Times New Roman"/>
                      <w:highlight w:val="none"/>
                    </w:rPr>
                  </w:pPr>
                </w:p>
              </w:tc>
              <w:tc>
                <w:tcPr>
                  <w:tcW w:w="783" w:type="pct"/>
                  <w:vMerge w:val="continue"/>
                  <w:noWrap w:val="0"/>
                  <w:tcMar>
                    <w:top w:w="15" w:type="dxa"/>
                    <w:left w:w="15" w:type="dxa"/>
                    <w:bottom w:w="15" w:type="dxa"/>
                    <w:right w:w="15" w:type="dxa"/>
                  </w:tcMar>
                  <w:vAlign w:val="center"/>
                </w:tcPr>
                <w:p w14:paraId="4872B991">
                  <w:pPr>
                    <w:jc w:val="center"/>
                    <w:rPr>
                      <w:rFonts w:hint="default" w:ascii="Times New Roman" w:hAnsi="Times New Roman" w:cs="Times New Roman"/>
                      <w:highlight w:val="none"/>
                    </w:rPr>
                  </w:pPr>
                </w:p>
              </w:tc>
              <w:tc>
                <w:tcPr>
                  <w:tcW w:w="1347" w:type="pct"/>
                  <w:gridSpan w:val="2"/>
                  <w:noWrap w:val="0"/>
                  <w:vAlign w:val="center"/>
                </w:tcPr>
                <w:p w14:paraId="16E03F04">
                  <w:pPr>
                    <w:jc w:val="center"/>
                    <w:rPr>
                      <w:rFonts w:hint="default" w:ascii="Times New Roman" w:hAnsi="Times New Roman" w:eastAsia="宋体" w:cs="Times New Roman"/>
                      <w:highlight w:val="none"/>
                      <w:lang w:eastAsia="zh-CN"/>
                    </w:rPr>
                  </w:pPr>
                  <w:r>
                    <w:rPr>
                      <w:rFonts w:hint="default" w:ascii="Times New Roman" w:hAnsi="Times New Roman" w:cs="Times New Roman"/>
                      <w:highlight w:val="none"/>
                      <w:lang w:eastAsia="zh-CN"/>
                    </w:rPr>
                    <w:t>2303016</w:t>
                  </w:r>
                  <w:r>
                    <w:rPr>
                      <w:rFonts w:hint="default" w:ascii="Times New Roman" w:hAnsi="Times New Roman" w:cs="Times New Roman"/>
                      <w:highlight w:val="none"/>
                    </w:rPr>
                    <w:t>HQ01-</w:t>
                  </w:r>
                  <w:r>
                    <w:rPr>
                      <w:rFonts w:hint="default" w:ascii="Times New Roman" w:hAnsi="Times New Roman" w:cs="Times New Roman"/>
                      <w:highlight w:val="none"/>
                      <w:lang w:val="en-US" w:eastAsia="zh-CN"/>
                    </w:rPr>
                    <w:t>3-</w:t>
                  </w:r>
                  <w:r>
                    <w:rPr>
                      <w:rFonts w:hint="default" w:ascii="Times New Roman" w:hAnsi="Times New Roman" w:cs="Times New Roman"/>
                      <w:highlight w:val="none"/>
                    </w:rPr>
                    <w:t>2</w:t>
                  </w:r>
                  <w:r>
                    <w:rPr>
                      <w:rFonts w:hint="default" w:ascii="Times New Roman" w:hAnsi="Times New Roman" w:cs="Times New Roman"/>
                      <w:highlight w:val="none"/>
                      <w:lang w:val="en-US" w:eastAsia="zh-CN"/>
                    </w:rPr>
                    <w:t>C</w:t>
                  </w:r>
                </w:p>
              </w:tc>
              <w:tc>
                <w:tcPr>
                  <w:tcW w:w="731" w:type="pct"/>
                  <w:noWrap w:val="0"/>
                  <w:vAlign w:val="center"/>
                </w:tcPr>
                <w:p w14:paraId="5241F132">
                  <w:pPr>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0.42</w:t>
                  </w:r>
                </w:p>
              </w:tc>
              <w:tc>
                <w:tcPr>
                  <w:tcW w:w="536" w:type="pct"/>
                  <w:noWrap w:val="0"/>
                  <w:vAlign w:val="center"/>
                </w:tcPr>
                <w:p w14:paraId="293E8E5B">
                  <w:pPr>
                    <w:jc w:val="center"/>
                    <w:rPr>
                      <w:rFonts w:hint="default" w:ascii="Times New Roman" w:hAnsi="Times New Roman" w:cs="Times New Roman"/>
                      <w:highlight w:val="none"/>
                    </w:rPr>
                  </w:pPr>
                  <w:r>
                    <w:rPr>
                      <w:rFonts w:hint="default" w:ascii="Times New Roman" w:hAnsi="Times New Roman" w:cs="Times New Roman"/>
                      <w:highlight w:val="none"/>
                    </w:rPr>
                    <w:t>mg/m</w:t>
                  </w:r>
                  <w:r>
                    <w:rPr>
                      <w:rFonts w:hint="default" w:ascii="Times New Roman" w:hAnsi="Times New Roman" w:cs="Times New Roman"/>
                      <w:highlight w:val="none"/>
                      <w:vertAlign w:val="superscript"/>
                    </w:rPr>
                    <w:t>3</w:t>
                  </w:r>
                </w:p>
              </w:tc>
              <w:tc>
                <w:tcPr>
                  <w:tcW w:w="454" w:type="pct"/>
                  <w:noWrap w:val="0"/>
                  <w:vAlign w:val="center"/>
                </w:tcPr>
                <w:p w14:paraId="28227B07">
                  <w:pPr>
                    <w:jc w:val="center"/>
                    <w:rPr>
                      <w:rFonts w:hint="default" w:ascii="Times New Roman" w:hAnsi="Times New Roman" w:cs="Times New Roman"/>
                      <w:highlight w:val="none"/>
                    </w:rPr>
                  </w:pPr>
                  <w:r>
                    <w:rPr>
                      <w:rFonts w:hint="eastAsia" w:ascii="Times New Roman" w:hAnsi="Times New Roman" w:cs="Times New Roman"/>
                      <w:highlight w:val="none"/>
                      <w:lang w:val="en-US" w:eastAsia="zh-CN"/>
                    </w:rPr>
                    <w:t>2</w:t>
                  </w:r>
                </w:p>
              </w:tc>
              <w:tc>
                <w:tcPr>
                  <w:tcW w:w="612" w:type="pct"/>
                  <w:noWrap w:val="0"/>
                  <w:vAlign w:val="center"/>
                </w:tcPr>
                <w:p w14:paraId="105D1F25">
                  <w:pPr>
                    <w:jc w:val="center"/>
                    <w:rPr>
                      <w:rFonts w:hint="default" w:ascii="Times New Roman" w:hAnsi="Times New Roman" w:cs="Times New Roman"/>
                      <w:highlight w:val="none"/>
                    </w:rPr>
                  </w:pPr>
                  <w:r>
                    <w:rPr>
                      <w:rFonts w:hint="default" w:ascii="Times New Roman" w:hAnsi="Times New Roman" w:eastAsia="宋体" w:cs="Times New Roman"/>
                      <w:color w:val="auto"/>
                      <w:kern w:val="2"/>
                      <w:sz w:val="21"/>
                      <w:szCs w:val="21"/>
                      <w:lang w:val="en-US" w:eastAsia="zh-CN"/>
                    </w:rPr>
                    <w:t>达标</w:t>
                  </w:r>
                </w:p>
              </w:tc>
            </w:tr>
            <w:tr w14:paraId="6CF2E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533" w:type="pct"/>
                  <w:vMerge w:val="continue"/>
                  <w:noWrap w:val="0"/>
                  <w:tcMar>
                    <w:top w:w="15" w:type="dxa"/>
                    <w:left w:w="15" w:type="dxa"/>
                    <w:bottom w:w="15" w:type="dxa"/>
                    <w:right w:w="15" w:type="dxa"/>
                  </w:tcMar>
                  <w:vAlign w:val="center"/>
                </w:tcPr>
                <w:p w14:paraId="729E8371">
                  <w:pPr>
                    <w:jc w:val="center"/>
                    <w:rPr>
                      <w:rFonts w:hint="default" w:ascii="Times New Roman" w:hAnsi="Times New Roman" w:cs="Times New Roman"/>
                      <w:highlight w:val="none"/>
                    </w:rPr>
                  </w:pPr>
                </w:p>
              </w:tc>
              <w:tc>
                <w:tcPr>
                  <w:tcW w:w="783" w:type="pct"/>
                  <w:vMerge w:val="continue"/>
                  <w:noWrap w:val="0"/>
                  <w:tcMar>
                    <w:top w:w="15" w:type="dxa"/>
                    <w:left w:w="15" w:type="dxa"/>
                    <w:bottom w:w="15" w:type="dxa"/>
                    <w:right w:w="15" w:type="dxa"/>
                  </w:tcMar>
                  <w:vAlign w:val="center"/>
                </w:tcPr>
                <w:p w14:paraId="02B54267">
                  <w:pPr>
                    <w:jc w:val="center"/>
                    <w:rPr>
                      <w:rFonts w:hint="default" w:ascii="Times New Roman" w:hAnsi="Times New Roman" w:cs="Times New Roman"/>
                      <w:highlight w:val="none"/>
                    </w:rPr>
                  </w:pPr>
                </w:p>
              </w:tc>
              <w:tc>
                <w:tcPr>
                  <w:tcW w:w="1347" w:type="pct"/>
                  <w:gridSpan w:val="2"/>
                  <w:noWrap w:val="0"/>
                  <w:vAlign w:val="center"/>
                </w:tcPr>
                <w:p w14:paraId="0ED35D61">
                  <w:pPr>
                    <w:jc w:val="center"/>
                    <w:rPr>
                      <w:rFonts w:hint="default" w:ascii="Times New Roman" w:hAnsi="Times New Roman" w:eastAsia="宋体" w:cs="Times New Roman"/>
                      <w:highlight w:val="none"/>
                      <w:lang w:eastAsia="zh-CN"/>
                    </w:rPr>
                  </w:pPr>
                  <w:r>
                    <w:rPr>
                      <w:rFonts w:hint="default" w:ascii="Times New Roman" w:hAnsi="Times New Roman" w:cs="Times New Roman"/>
                      <w:highlight w:val="none"/>
                      <w:lang w:eastAsia="zh-CN"/>
                    </w:rPr>
                    <w:t>2303016</w:t>
                  </w:r>
                  <w:r>
                    <w:rPr>
                      <w:rFonts w:hint="default" w:ascii="Times New Roman" w:hAnsi="Times New Roman" w:cs="Times New Roman"/>
                      <w:highlight w:val="none"/>
                    </w:rPr>
                    <w:t>HQ01-</w:t>
                  </w:r>
                  <w:r>
                    <w:rPr>
                      <w:rFonts w:hint="default" w:ascii="Times New Roman" w:hAnsi="Times New Roman" w:cs="Times New Roman"/>
                      <w:highlight w:val="none"/>
                      <w:lang w:val="en-US" w:eastAsia="zh-CN"/>
                    </w:rPr>
                    <w:t>3-</w:t>
                  </w:r>
                  <w:r>
                    <w:rPr>
                      <w:rFonts w:hint="default" w:ascii="Times New Roman" w:hAnsi="Times New Roman" w:cs="Times New Roman"/>
                      <w:highlight w:val="none"/>
                    </w:rPr>
                    <w:t>3</w:t>
                  </w:r>
                  <w:r>
                    <w:rPr>
                      <w:rFonts w:hint="default" w:ascii="Times New Roman" w:hAnsi="Times New Roman" w:cs="Times New Roman"/>
                      <w:highlight w:val="none"/>
                      <w:lang w:val="en-US" w:eastAsia="zh-CN"/>
                    </w:rPr>
                    <w:t>C</w:t>
                  </w:r>
                </w:p>
              </w:tc>
              <w:tc>
                <w:tcPr>
                  <w:tcW w:w="731" w:type="pct"/>
                  <w:noWrap w:val="0"/>
                  <w:vAlign w:val="center"/>
                </w:tcPr>
                <w:p w14:paraId="2F3DFD00">
                  <w:pPr>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0.48</w:t>
                  </w:r>
                </w:p>
              </w:tc>
              <w:tc>
                <w:tcPr>
                  <w:tcW w:w="536" w:type="pct"/>
                  <w:noWrap w:val="0"/>
                  <w:vAlign w:val="center"/>
                </w:tcPr>
                <w:p w14:paraId="54D86F40">
                  <w:pPr>
                    <w:jc w:val="center"/>
                    <w:rPr>
                      <w:rFonts w:hint="default" w:ascii="Times New Roman" w:hAnsi="Times New Roman" w:cs="Times New Roman"/>
                      <w:highlight w:val="none"/>
                    </w:rPr>
                  </w:pPr>
                  <w:r>
                    <w:rPr>
                      <w:rFonts w:hint="default" w:ascii="Times New Roman" w:hAnsi="Times New Roman" w:cs="Times New Roman"/>
                      <w:highlight w:val="none"/>
                    </w:rPr>
                    <w:t>mg/m</w:t>
                  </w:r>
                  <w:r>
                    <w:rPr>
                      <w:rFonts w:hint="default" w:ascii="Times New Roman" w:hAnsi="Times New Roman" w:cs="Times New Roman"/>
                      <w:highlight w:val="none"/>
                      <w:vertAlign w:val="superscript"/>
                    </w:rPr>
                    <w:t>3</w:t>
                  </w:r>
                </w:p>
              </w:tc>
              <w:tc>
                <w:tcPr>
                  <w:tcW w:w="454" w:type="pct"/>
                  <w:noWrap w:val="0"/>
                  <w:vAlign w:val="center"/>
                </w:tcPr>
                <w:p w14:paraId="680E30F8">
                  <w:pPr>
                    <w:jc w:val="center"/>
                    <w:rPr>
                      <w:rFonts w:hint="default" w:ascii="Times New Roman" w:hAnsi="Times New Roman" w:cs="Times New Roman"/>
                      <w:highlight w:val="none"/>
                    </w:rPr>
                  </w:pPr>
                  <w:r>
                    <w:rPr>
                      <w:rFonts w:hint="eastAsia" w:ascii="Times New Roman" w:hAnsi="Times New Roman" w:cs="Times New Roman"/>
                      <w:highlight w:val="none"/>
                      <w:lang w:val="en-US" w:eastAsia="zh-CN"/>
                    </w:rPr>
                    <w:t>2</w:t>
                  </w:r>
                </w:p>
              </w:tc>
              <w:tc>
                <w:tcPr>
                  <w:tcW w:w="612" w:type="pct"/>
                  <w:noWrap w:val="0"/>
                  <w:vAlign w:val="center"/>
                </w:tcPr>
                <w:p w14:paraId="09779D45">
                  <w:pPr>
                    <w:jc w:val="center"/>
                    <w:rPr>
                      <w:rFonts w:hint="default" w:ascii="Times New Roman" w:hAnsi="Times New Roman" w:cs="Times New Roman"/>
                      <w:highlight w:val="none"/>
                    </w:rPr>
                  </w:pPr>
                  <w:r>
                    <w:rPr>
                      <w:rFonts w:hint="default" w:ascii="Times New Roman" w:hAnsi="Times New Roman" w:eastAsia="宋体" w:cs="Times New Roman"/>
                      <w:color w:val="auto"/>
                      <w:kern w:val="2"/>
                      <w:sz w:val="21"/>
                      <w:szCs w:val="21"/>
                      <w:lang w:val="en-US" w:eastAsia="zh-CN"/>
                    </w:rPr>
                    <w:t>达标</w:t>
                  </w:r>
                </w:p>
              </w:tc>
            </w:tr>
            <w:tr w14:paraId="45B4EE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533" w:type="pct"/>
                  <w:vMerge w:val="continue"/>
                  <w:noWrap w:val="0"/>
                  <w:tcMar>
                    <w:top w:w="15" w:type="dxa"/>
                    <w:left w:w="15" w:type="dxa"/>
                    <w:bottom w:w="15" w:type="dxa"/>
                    <w:right w:w="15" w:type="dxa"/>
                  </w:tcMar>
                  <w:vAlign w:val="center"/>
                </w:tcPr>
                <w:p w14:paraId="4B192541">
                  <w:pPr>
                    <w:jc w:val="center"/>
                    <w:rPr>
                      <w:rFonts w:hint="default" w:ascii="Times New Roman" w:hAnsi="Times New Roman" w:cs="Times New Roman"/>
                      <w:highlight w:val="none"/>
                    </w:rPr>
                  </w:pPr>
                </w:p>
              </w:tc>
              <w:tc>
                <w:tcPr>
                  <w:tcW w:w="783" w:type="pct"/>
                  <w:vMerge w:val="continue"/>
                  <w:noWrap w:val="0"/>
                  <w:tcMar>
                    <w:top w:w="15" w:type="dxa"/>
                    <w:left w:w="15" w:type="dxa"/>
                    <w:bottom w:w="15" w:type="dxa"/>
                    <w:right w:w="15" w:type="dxa"/>
                  </w:tcMar>
                  <w:vAlign w:val="center"/>
                </w:tcPr>
                <w:p w14:paraId="1A3C684B">
                  <w:pPr>
                    <w:jc w:val="center"/>
                    <w:rPr>
                      <w:rFonts w:hint="default" w:ascii="Times New Roman" w:hAnsi="Times New Roman" w:cs="Times New Roman"/>
                      <w:highlight w:val="none"/>
                    </w:rPr>
                  </w:pPr>
                </w:p>
              </w:tc>
              <w:tc>
                <w:tcPr>
                  <w:tcW w:w="1347" w:type="pct"/>
                  <w:gridSpan w:val="2"/>
                  <w:tcBorders>
                    <w:right w:val="single" w:color="auto" w:sz="4" w:space="0"/>
                  </w:tcBorders>
                  <w:noWrap w:val="0"/>
                  <w:vAlign w:val="center"/>
                </w:tcPr>
                <w:p w14:paraId="697D0CFA">
                  <w:pPr>
                    <w:jc w:val="center"/>
                    <w:rPr>
                      <w:rFonts w:hint="default" w:ascii="Times New Roman" w:hAnsi="Times New Roman" w:eastAsia="宋体" w:cs="Times New Roman"/>
                      <w:highlight w:val="none"/>
                      <w:lang w:eastAsia="zh-CN"/>
                    </w:rPr>
                  </w:pPr>
                  <w:r>
                    <w:rPr>
                      <w:rFonts w:hint="default" w:ascii="Times New Roman" w:hAnsi="Times New Roman" w:cs="Times New Roman"/>
                      <w:highlight w:val="none"/>
                      <w:lang w:eastAsia="zh-CN"/>
                    </w:rPr>
                    <w:t>2303016</w:t>
                  </w:r>
                  <w:r>
                    <w:rPr>
                      <w:rFonts w:hint="default" w:ascii="Times New Roman" w:hAnsi="Times New Roman" w:cs="Times New Roman"/>
                      <w:highlight w:val="none"/>
                    </w:rPr>
                    <w:t>HQ01-</w:t>
                  </w:r>
                  <w:r>
                    <w:rPr>
                      <w:rFonts w:hint="default" w:ascii="Times New Roman" w:hAnsi="Times New Roman" w:cs="Times New Roman"/>
                      <w:highlight w:val="none"/>
                      <w:lang w:val="en-US" w:eastAsia="zh-CN"/>
                    </w:rPr>
                    <w:t>3-</w:t>
                  </w:r>
                  <w:r>
                    <w:rPr>
                      <w:rFonts w:hint="default" w:ascii="Times New Roman" w:hAnsi="Times New Roman" w:cs="Times New Roman"/>
                      <w:highlight w:val="none"/>
                    </w:rPr>
                    <w:t>4</w:t>
                  </w:r>
                  <w:r>
                    <w:rPr>
                      <w:rFonts w:hint="default" w:ascii="Times New Roman" w:hAnsi="Times New Roman" w:cs="Times New Roman"/>
                      <w:highlight w:val="none"/>
                      <w:lang w:val="en-US" w:eastAsia="zh-CN"/>
                    </w:rPr>
                    <w:t>C</w:t>
                  </w:r>
                </w:p>
              </w:tc>
              <w:tc>
                <w:tcPr>
                  <w:tcW w:w="731" w:type="pct"/>
                  <w:tcBorders>
                    <w:left w:val="single" w:color="auto" w:sz="4" w:space="0"/>
                  </w:tcBorders>
                  <w:noWrap w:val="0"/>
                  <w:vAlign w:val="center"/>
                </w:tcPr>
                <w:p w14:paraId="5D07C966">
                  <w:pPr>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0.47</w:t>
                  </w:r>
                </w:p>
              </w:tc>
              <w:tc>
                <w:tcPr>
                  <w:tcW w:w="536" w:type="pct"/>
                  <w:noWrap w:val="0"/>
                  <w:vAlign w:val="center"/>
                </w:tcPr>
                <w:p w14:paraId="220F4BB8">
                  <w:pPr>
                    <w:jc w:val="center"/>
                    <w:rPr>
                      <w:rFonts w:hint="default" w:ascii="Times New Roman" w:hAnsi="Times New Roman" w:cs="Times New Roman"/>
                      <w:highlight w:val="none"/>
                    </w:rPr>
                  </w:pPr>
                  <w:r>
                    <w:rPr>
                      <w:rFonts w:hint="default" w:ascii="Times New Roman" w:hAnsi="Times New Roman" w:cs="Times New Roman"/>
                      <w:highlight w:val="none"/>
                    </w:rPr>
                    <w:t>mg/m</w:t>
                  </w:r>
                  <w:r>
                    <w:rPr>
                      <w:rFonts w:hint="default" w:ascii="Times New Roman" w:hAnsi="Times New Roman" w:cs="Times New Roman"/>
                      <w:highlight w:val="none"/>
                      <w:vertAlign w:val="superscript"/>
                    </w:rPr>
                    <w:t>3</w:t>
                  </w:r>
                </w:p>
              </w:tc>
              <w:tc>
                <w:tcPr>
                  <w:tcW w:w="454" w:type="pct"/>
                  <w:noWrap w:val="0"/>
                  <w:vAlign w:val="center"/>
                </w:tcPr>
                <w:p w14:paraId="13BA7D4B">
                  <w:pPr>
                    <w:jc w:val="center"/>
                    <w:rPr>
                      <w:rFonts w:hint="default" w:ascii="Times New Roman" w:hAnsi="Times New Roman" w:cs="Times New Roman"/>
                      <w:highlight w:val="none"/>
                    </w:rPr>
                  </w:pPr>
                  <w:r>
                    <w:rPr>
                      <w:rFonts w:hint="eastAsia" w:ascii="Times New Roman" w:hAnsi="Times New Roman" w:cs="Times New Roman"/>
                      <w:highlight w:val="none"/>
                      <w:lang w:val="en-US" w:eastAsia="zh-CN"/>
                    </w:rPr>
                    <w:t>2</w:t>
                  </w:r>
                </w:p>
              </w:tc>
              <w:tc>
                <w:tcPr>
                  <w:tcW w:w="612" w:type="pct"/>
                  <w:noWrap w:val="0"/>
                  <w:vAlign w:val="center"/>
                </w:tcPr>
                <w:p w14:paraId="3A0EA5B2">
                  <w:pPr>
                    <w:jc w:val="center"/>
                    <w:rPr>
                      <w:rFonts w:hint="default" w:ascii="Times New Roman" w:hAnsi="Times New Roman" w:cs="Times New Roman"/>
                      <w:highlight w:val="none"/>
                    </w:rPr>
                  </w:pPr>
                  <w:r>
                    <w:rPr>
                      <w:rFonts w:hint="default" w:ascii="Times New Roman" w:hAnsi="Times New Roman" w:eastAsia="宋体" w:cs="Times New Roman"/>
                      <w:color w:val="auto"/>
                      <w:kern w:val="2"/>
                      <w:sz w:val="21"/>
                      <w:szCs w:val="21"/>
                      <w:lang w:val="en-US" w:eastAsia="zh-CN"/>
                    </w:rPr>
                    <w:t>达标</w:t>
                  </w:r>
                </w:p>
              </w:tc>
            </w:tr>
            <w:tr w14:paraId="7BF5AF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1" w:hRule="atLeast"/>
                <w:jc w:val="center"/>
              </w:trPr>
              <w:tc>
                <w:tcPr>
                  <w:tcW w:w="3933" w:type="pct"/>
                  <w:gridSpan w:val="6"/>
                  <w:noWrap w:val="0"/>
                  <w:tcMar>
                    <w:top w:w="15" w:type="dxa"/>
                    <w:left w:w="15" w:type="dxa"/>
                    <w:bottom w:w="15" w:type="dxa"/>
                    <w:right w:w="15" w:type="dxa"/>
                  </w:tcMar>
                  <w:vAlign w:val="center"/>
                </w:tcPr>
                <w:p w14:paraId="24F7B4F5">
                  <w:pPr>
                    <w:jc w:val="center"/>
                    <w:rPr>
                      <w:rFonts w:hint="default" w:ascii="Times New Roman" w:hAnsi="Times New Roman" w:cs="Times New Roman"/>
                      <w:highlight w:val="none"/>
                    </w:rPr>
                  </w:pPr>
                  <w:r>
                    <w:rPr>
                      <w:rFonts w:hint="default" w:ascii="Times New Roman" w:hAnsi="Times New Roman" w:cs="Times New Roman"/>
                    </w:rPr>
                    <w:t>备注：</w:t>
                  </w:r>
                  <w:r>
                    <w:rPr>
                      <w:rFonts w:hint="default" w:ascii="Times New Roman" w:hAnsi="Times New Roman" w:cs="Times New Roman"/>
                      <w:bCs/>
                    </w:rPr>
                    <w:t>检测结果后面带有字母“L”表示检测结果低于该检测方法检出限。</w:t>
                  </w:r>
                </w:p>
              </w:tc>
              <w:tc>
                <w:tcPr>
                  <w:tcW w:w="454" w:type="pct"/>
                  <w:noWrap w:val="0"/>
                  <w:tcMar>
                    <w:top w:w="15" w:type="dxa"/>
                    <w:left w:w="15" w:type="dxa"/>
                    <w:bottom w:w="15" w:type="dxa"/>
                    <w:right w:w="15" w:type="dxa"/>
                  </w:tcMar>
                  <w:vAlign w:val="center"/>
                </w:tcPr>
                <w:p w14:paraId="028A2CA7">
                  <w:pPr>
                    <w:jc w:val="center"/>
                    <w:rPr>
                      <w:rFonts w:hint="default" w:ascii="Times New Roman" w:hAnsi="Times New Roman" w:cs="Times New Roman"/>
                    </w:rPr>
                  </w:pPr>
                </w:p>
              </w:tc>
              <w:tc>
                <w:tcPr>
                  <w:tcW w:w="612" w:type="pct"/>
                  <w:noWrap w:val="0"/>
                  <w:tcMar>
                    <w:top w:w="15" w:type="dxa"/>
                    <w:left w:w="15" w:type="dxa"/>
                    <w:bottom w:w="15" w:type="dxa"/>
                    <w:right w:w="15" w:type="dxa"/>
                  </w:tcMar>
                  <w:vAlign w:val="center"/>
                </w:tcPr>
                <w:p w14:paraId="420561C5">
                  <w:pPr>
                    <w:jc w:val="center"/>
                    <w:rPr>
                      <w:rFonts w:hint="default" w:ascii="Times New Roman" w:hAnsi="Times New Roman" w:cs="Times New Roman"/>
                    </w:rPr>
                  </w:pPr>
                </w:p>
              </w:tc>
            </w:tr>
          </w:tbl>
          <w:p w14:paraId="291F6883">
            <w:pPr>
              <w:spacing w:line="360" w:lineRule="auto"/>
              <w:ind w:firstLine="480" w:firstLineChars="200"/>
              <w:rPr>
                <w:sz w:val="24"/>
              </w:rPr>
            </w:pPr>
            <w:r>
              <w:rPr>
                <w:rFonts w:hint="eastAsia"/>
                <w:bCs/>
                <w:color w:val="auto"/>
                <w:kern w:val="28"/>
                <w:sz w:val="24"/>
              </w:rPr>
              <w:t>根据引用监测结果可知，项目区域环境空气中TSP能够达到</w:t>
            </w:r>
            <w:r>
              <w:rPr>
                <w:rFonts w:hint="eastAsia"/>
                <w:color w:val="auto"/>
                <w:sz w:val="24"/>
              </w:rPr>
              <w:t>《环境空气质量标准》（GB3095-2012）二级标准限值。项目周边环境空气中</w:t>
            </w:r>
            <w:r>
              <w:rPr>
                <w:color w:val="auto"/>
                <w:sz w:val="24"/>
              </w:rPr>
              <w:t>TVOC8h平均浓度满足《环境影响评价技术导则 大气环境》（TJ2.2-2018）附录D浓度参考限值要求</w:t>
            </w:r>
            <w:bookmarkEnd w:id="7"/>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项目所在区域环境空气质量能够达到《环境空气质量标准》（GB3095</w:t>
            </w:r>
            <w:r>
              <w:rPr>
                <w:rFonts w:hint="default" w:ascii="Times New Roman" w:hAnsi="Times New Roman" w:eastAsia="宋体" w:cs="Times New Roman"/>
                <w:color w:val="auto"/>
                <w:sz w:val="24"/>
                <w:szCs w:val="24"/>
                <w:highlight w:val="none"/>
                <w:lang w:val="en-US" w:eastAsia="zh-CN"/>
              </w:rPr>
              <w:t>-2012</w:t>
            </w:r>
            <w:r>
              <w:rPr>
                <w:rFonts w:hint="default" w:ascii="Times New Roman" w:hAnsi="Times New Roman" w:eastAsia="宋体" w:cs="Times New Roman"/>
                <w:color w:val="auto"/>
                <w:sz w:val="24"/>
                <w:szCs w:val="24"/>
                <w:highlight w:val="none"/>
              </w:rPr>
              <w:t>）二级标准的要求，总体环境空气质量较好。</w:t>
            </w:r>
          </w:p>
          <w:p w14:paraId="40F03CD7">
            <w:pPr>
              <w:spacing w:line="360" w:lineRule="auto"/>
              <w:rPr>
                <w:rFonts w:hint="default" w:ascii="Times New Roman" w:hAnsi="Times New Roman" w:cs="Times New Roman"/>
                <w:b/>
                <w:bCs/>
                <w:color w:val="000000"/>
                <w:sz w:val="24"/>
              </w:rPr>
            </w:pPr>
            <w:r>
              <w:rPr>
                <w:rFonts w:hint="default" w:ascii="Times New Roman" w:hAnsi="Times New Roman" w:cs="Times New Roman"/>
                <w:b/>
                <w:bCs/>
                <w:color w:val="000000"/>
                <w:sz w:val="24"/>
              </w:rPr>
              <w:t>2、地表水环境质量现状</w:t>
            </w:r>
          </w:p>
          <w:p w14:paraId="6B547FA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b w:val="0"/>
                <w:bCs w:val="0"/>
                <w:color w:val="auto"/>
                <w:sz w:val="24"/>
                <w:u w:val="none" w:color="auto"/>
                <w:lang w:val="en-US" w:eastAsia="zh-CN"/>
              </w:rPr>
            </w:pPr>
            <w:r>
              <w:rPr>
                <w:rFonts w:hint="default" w:ascii="Times New Roman" w:hAnsi="Times New Roman" w:eastAsia="宋体" w:cs="Times New Roman"/>
                <w:color w:val="000000" w:themeColor="text1"/>
                <w:kern w:val="0"/>
                <w:sz w:val="24"/>
                <w14:textFill>
                  <w14:solidFill>
                    <w14:schemeClr w14:val="tx1"/>
                  </w14:solidFill>
                </w14:textFill>
              </w:rPr>
              <w:t>项目所在地附近水体</w:t>
            </w:r>
            <w:r>
              <w:rPr>
                <w:rFonts w:hint="default" w:ascii="Times New Roman" w:hAnsi="Times New Roman" w:cs="Times New Roman"/>
                <w:color w:val="000000" w:themeColor="text1"/>
                <w:kern w:val="0"/>
                <w:sz w:val="24"/>
                <w:lang w:val="en-US" w:eastAsia="zh-CN"/>
                <w14:textFill>
                  <w14:solidFill>
                    <w14:schemeClr w14:val="tx1"/>
                  </w14:solidFill>
                </w14:textFill>
              </w:rPr>
              <w:t>为</w:t>
            </w:r>
            <w:r>
              <w:rPr>
                <w:rFonts w:hint="default" w:ascii="Times New Roman" w:hAnsi="Times New Roman" w:eastAsia="宋体" w:cs="Times New Roman"/>
                <w:color w:val="000000" w:themeColor="text1"/>
                <w:kern w:val="0"/>
                <w:sz w:val="24"/>
                <w14:textFill>
                  <w14:solidFill>
                    <w14:schemeClr w14:val="tx1"/>
                  </w14:solidFill>
                </w14:textFill>
              </w:rPr>
              <w:t>芒市大河</w:t>
            </w:r>
            <w:r>
              <w:rPr>
                <w:rFonts w:hint="eastAsia" w:cs="Times New Roman"/>
                <w:color w:val="000000" w:themeColor="text1"/>
                <w:kern w:val="0"/>
                <w:sz w:val="24"/>
                <w:lang w:eastAsia="zh-CN"/>
                <w14:textFill>
                  <w14:solidFill>
                    <w14:schemeClr w14:val="tx1"/>
                  </w14:solidFill>
                </w14:textFill>
              </w:rPr>
              <w:t>和龙江</w:t>
            </w:r>
            <w:r>
              <w:rPr>
                <w:rFonts w:hint="default" w:ascii="Times New Roman" w:hAnsi="Times New Roman" w:eastAsia="宋体" w:cs="Times New Roman"/>
                <w:color w:val="000000" w:themeColor="text1"/>
                <w:kern w:val="0"/>
                <w:sz w:val="24"/>
                <w14:textFill>
                  <w14:solidFill>
                    <w14:schemeClr w14:val="tx1"/>
                  </w14:solidFill>
                </w14:textFill>
              </w:rPr>
              <w:t>，</w:t>
            </w:r>
            <w:r>
              <w:rPr>
                <w:rFonts w:hint="eastAsia" w:cs="Times New Roman"/>
                <w:color w:val="000000" w:themeColor="text1"/>
                <w:kern w:val="0"/>
                <w:sz w:val="24"/>
                <w:lang w:eastAsia="zh-CN"/>
                <w14:textFill>
                  <w14:solidFill>
                    <w14:schemeClr w14:val="tx1"/>
                  </w14:solidFill>
                </w14:textFill>
              </w:rPr>
              <w:t>芒市大河</w:t>
            </w:r>
            <w:r>
              <w:rPr>
                <w:rFonts w:hint="default" w:ascii="Times New Roman" w:hAnsi="Times New Roman" w:eastAsia="宋体" w:cs="Times New Roman"/>
                <w:color w:val="000000" w:themeColor="text1"/>
                <w:kern w:val="0"/>
                <w:sz w:val="24"/>
                <w:lang w:eastAsia="zh-CN"/>
                <w14:textFill>
                  <w14:solidFill>
                    <w14:schemeClr w14:val="tx1"/>
                  </w14:solidFill>
                </w14:textFill>
              </w:rPr>
              <w:t>位于本项目</w:t>
            </w:r>
            <w:r>
              <w:rPr>
                <w:rFonts w:hint="eastAsia" w:cs="Times New Roman"/>
                <w:color w:val="000000" w:themeColor="text1"/>
                <w:kern w:val="0"/>
                <w:sz w:val="24"/>
                <w:lang w:eastAsia="zh-CN"/>
                <w14:textFill>
                  <w14:solidFill>
                    <w14:schemeClr w14:val="tx1"/>
                  </w14:solidFill>
                </w14:textFill>
              </w:rPr>
              <w:t>南侧</w:t>
            </w:r>
            <w:r>
              <w:rPr>
                <w:rFonts w:hint="default" w:ascii="Times New Roman" w:hAnsi="Times New Roman" w:eastAsia="宋体" w:cs="Times New Roman"/>
                <w:color w:val="000000" w:themeColor="text1"/>
                <w:kern w:val="0"/>
                <w:sz w:val="24"/>
                <w:lang w:eastAsia="zh-CN"/>
                <w14:textFill>
                  <w14:solidFill>
                    <w14:schemeClr w14:val="tx1"/>
                  </w14:solidFill>
                </w14:textFill>
              </w:rPr>
              <w:t>，距离本项目约</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2700</w:t>
            </w:r>
            <w:r>
              <w:rPr>
                <w:rFonts w:hint="default" w:ascii="Times New Roman" w:hAnsi="Times New Roman" w:eastAsia="宋体" w:cs="Times New Roman"/>
                <w:color w:val="000000" w:themeColor="text1"/>
                <w:kern w:val="0"/>
                <w:sz w:val="24"/>
                <w:lang w:eastAsia="zh-CN"/>
                <w14:textFill>
                  <w14:solidFill>
                    <w14:schemeClr w14:val="tx1"/>
                  </w14:solidFill>
                </w14:textFill>
              </w:rPr>
              <w:t>m，根据《云南省水功能区划（第二版）》，芒市大河属伊洛瓦底江流域，芒市大河为瑞丽江一级支流，伊洛瓦底江二级及以下支流，</w:t>
            </w:r>
            <w:r>
              <w:rPr>
                <w:rFonts w:hint="eastAsia" w:hAnsi="宋体"/>
                <w:color w:val="auto"/>
                <w:sz w:val="24"/>
                <w:lang w:val="en-GB" w:eastAsia="zh-CN"/>
              </w:rPr>
              <w:t>遮放团结</w:t>
            </w:r>
            <w:r>
              <w:rPr>
                <w:color w:val="auto"/>
                <w:sz w:val="24"/>
                <w:lang w:val="en-GB"/>
              </w:rPr>
              <w:t>—</w:t>
            </w:r>
            <w:r>
              <w:rPr>
                <w:rFonts w:hint="eastAsia"/>
                <w:color w:val="auto"/>
                <w:sz w:val="24"/>
                <w:lang w:val="en-GB" w:eastAsia="zh-CN"/>
              </w:rPr>
              <w:t>龙江</w:t>
            </w:r>
            <w:r>
              <w:rPr>
                <w:rFonts w:hint="eastAsia"/>
                <w:color w:val="auto"/>
                <w:sz w:val="24"/>
                <w:lang w:val="en-GB"/>
              </w:rPr>
              <w:t>口</w:t>
            </w:r>
            <w:r>
              <w:rPr>
                <w:rFonts w:hint="default" w:ascii="Times New Roman" w:hAnsi="Times New Roman" w:eastAsia="宋体" w:cs="Times New Roman"/>
                <w:color w:val="000000" w:themeColor="text1"/>
                <w:kern w:val="0"/>
                <w:sz w:val="24"/>
                <w:lang w:eastAsia="zh-CN"/>
                <w14:textFill>
                  <w14:solidFill>
                    <w14:schemeClr w14:val="tx1"/>
                  </w14:solidFill>
                </w14:textFill>
              </w:rPr>
              <w:t>区域地表水体水环境功能为农业用水、工业用水，水质类别为Ⅲ类，执行《地表水环境质量标准》（GB3838-2002）中的Ⅲ类</w:t>
            </w:r>
            <w:r>
              <w:rPr>
                <w:rFonts w:hint="default" w:ascii="Times New Roman" w:hAnsi="Times New Roman" w:cs="Times New Roman"/>
                <w:color w:val="000000" w:themeColor="text1"/>
                <w:kern w:val="0"/>
                <w:sz w:val="24"/>
                <w:lang w:val="en-US" w:eastAsia="zh-CN"/>
                <w14:textFill>
                  <w14:solidFill>
                    <w14:schemeClr w14:val="tx1"/>
                  </w14:solidFill>
                </w14:textFill>
              </w:rPr>
              <w:t>标准</w:t>
            </w:r>
            <w:r>
              <w:rPr>
                <w:rFonts w:hint="eastAsia" w:cs="Times New Roman"/>
                <w:color w:val="000000" w:themeColor="text1"/>
                <w:kern w:val="0"/>
                <w:sz w:val="24"/>
                <w:lang w:val="en-US" w:eastAsia="zh-CN"/>
                <w14:textFill>
                  <w14:solidFill>
                    <w14:schemeClr w14:val="tx1"/>
                  </w14:solidFill>
                </w14:textFill>
              </w:rPr>
              <w:t>；</w:t>
            </w:r>
            <w:r>
              <w:rPr>
                <w:rFonts w:hint="eastAsia" w:ascii="宋体" w:hAnsi="宋体" w:eastAsia="宋体" w:cs="宋体"/>
                <w:sz w:val="24"/>
                <w:szCs w:val="24"/>
                <w:lang w:val="en-US" w:eastAsia="zh-CN"/>
              </w:rPr>
              <w:t>龙江位于本项目西侧，</w:t>
            </w:r>
            <w:r>
              <w:rPr>
                <w:rFonts w:hint="default" w:ascii="Times New Roman" w:hAnsi="Times New Roman" w:eastAsia="宋体" w:cs="Times New Roman"/>
                <w:color w:val="000000" w:themeColor="text1"/>
                <w:kern w:val="0"/>
                <w:sz w:val="24"/>
                <w:lang w:eastAsia="zh-CN"/>
                <w14:textFill>
                  <w14:solidFill>
                    <w14:schemeClr w14:val="tx1"/>
                  </w14:solidFill>
                </w14:textFill>
              </w:rPr>
              <w:t>距离本项目约</w:t>
            </w:r>
            <w:r>
              <w:rPr>
                <w:rFonts w:hint="eastAsia" w:ascii="Times New Roman" w:hAnsi="Times New Roman" w:cs="Times New Roman"/>
                <w:color w:val="000000" w:themeColor="text1"/>
                <w:kern w:val="0"/>
                <w:sz w:val="24"/>
                <w:lang w:val="en-US" w:eastAsia="zh-CN"/>
                <w14:textFill>
                  <w14:solidFill>
                    <w14:schemeClr w14:val="tx1"/>
                  </w14:solidFill>
                </w14:textFill>
              </w:rPr>
              <w:t>45</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00</w:t>
            </w:r>
            <w:r>
              <w:rPr>
                <w:rFonts w:hint="default" w:ascii="Times New Roman" w:hAnsi="Times New Roman" w:eastAsia="宋体" w:cs="Times New Roman"/>
                <w:color w:val="000000" w:themeColor="text1"/>
                <w:kern w:val="0"/>
                <w:sz w:val="24"/>
                <w:lang w:eastAsia="zh-CN"/>
                <w14:textFill>
                  <w14:solidFill>
                    <w14:schemeClr w14:val="tx1"/>
                  </w14:solidFill>
                </w14:textFill>
              </w:rPr>
              <w:t>m</w:t>
            </w:r>
            <w:r>
              <w:rPr>
                <w:rFonts w:hint="eastAsia"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lang w:eastAsia="zh-CN"/>
                <w14:textFill>
                  <w14:solidFill>
                    <w14:schemeClr w14:val="tx1"/>
                  </w14:solidFill>
                </w14:textFill>
              </w:rPr>
              <w:t>根据《云南省水功能区划（第二版）》，</w:t>
            </w:r>
            <w:r>
              <w:rPr>
                <w:rFonts w:hint="eastAsia" w:ascii="Times New Roman" w:hAnsi="Times New Roman" w:cs="Times New Roman"/>
                <w:color w:val="000000" w:themeColor="text1"/>
                <w:kern w:val="0"/>
                <w:sz w:val="24"/>
                <w:lang w:eastAsia="zh-CN"/>
                <w14:textFill>
                  <w14:solidFill>
                    <w14:schemeClr w14:val="tx1"/>
                  </w14:solidFill>
                </w14:textFill>
              </w:rPr>
              <w:t>龙江属于</w:t>
            </w:r>
            <w:r>
              <w:rPr>
                <w:rFonts w:hint="default" w:ascii="Times New Roman" w:hAnsi="Times New Roman" w:eastAsia="宋体" w:cs="Times New Roman"/>
                <w:color w:val="000000" w:themeColor="text1"/>
                <w:kern w:val="0"/>
                <w:sz w:val="24"/>
                <w:lang w:eastAsia="zh-CN"/>
                <w14:textFill>
                  <w14:solidFill>
                    <w14:schemeClr w14:val="tx1"/>
                  </w14:solidFill>
                </w14:textFill>
              </w:rPr>
              <w:t>伊洛瓦底江流域</w:t>
            </w:r>
            <w:r>
              <w:rPr>
                <w:rFonts w:hint="eastAsia" w:ascii="Times New Roman" w:hAnsi="Times New Roman" w:cs="Times New Roman"/>
                <w:color w:val="000000" w:themeColor="text1"/>
                <w:kern w:val="0"/>
                <w:sz w:val="24"/>
                <w:lang w:eastAsia="zh-CN"/>
                <w14:textFill>
                  <w14:solidFill>
                    <w14:schemeClr w14:val="tx1"/>
                  </w14:solidFill>
                </w14:textFill>
              </w:rPr>
              <w:t>，</w:t>
            </w:r>
            <w:r>
              <w:rPr>
                <w:rFonts w:hint="eastAsia" w:hAnsi="Times New Roman"/>
                <w:b w:val="0"/>
                <w:bCs w:val="0"/>
                <w:snapToGrid/>
                <w:color w:val="auto"/>
                <w:kern w:val="2"/>
                <w:sz w:val="24"/>
                <w:lang w:val="en-US" w:eastAsia="zh-CN" w:bidi="ar-SA"/>
              </w:rPr>
              <w:t>龙江（龙江入—遮冒）</w:t>
            </w:r>
            <w:r>
              <w:rPr>
                <w:color w:val="auto"/>
                <w:sz w:val="24"/>
                <w:lang w:val="en-GB"/>
              </w:rPr>
              <w:t>水功能区划为</w:t>
            </w:r>
            <w:r>
              <w:rPr>
                <w:rFonts w:hint="eastAsia"/>
                <w:color w:val="auto"/>
                <w:sz w:val="24"/>
                <w:lang w:val="en-GB"/>
              </w:rPr>
              <w:t>龙江电站水库芒市开发利用区</w:t>
            </w:r>
            <w:r>
              <w:rPr>
                <w:rFonts w:hint="eastAsia"/>
                <w:color w:val="auto"/>
                <w:sz w:val="24"/>
                <w:lang w:val="en-GB" w:eastAsia="zh-CN"/>
              </w:rPr>
              <w:t>，</w:t>
            </w:r>
            <w:r>
              <w:rPr>
                <w:rFonts w:hint="eastAsia"/>
                <w:color w:val="auto"/>
                <w:sz w:val="24"/>
              </w:rPr>
              <w:t>2030</w:t>
            </w:r>
            <w:r>
              <w:rPr>
                <w:color w:val="auto"/>
                <w:sz w:val="24"/>
                <w:lang w:val="en-GB"/>
              </w:rPr>
              <w:t>年规划水质目标为Ⅲ类。</w:t>
            </w:r>
            <w:r>
              <w:rPr>
                <w:rFonts w:hint="eastAsia"/>
                <w:color w:val="auto"/>
                <w:sz w:val="24"/>
              </w:rPr>
              <w:t>根据《云南省水功能区划》（2014年修订）</w:t>
            </w:r>
            <w:r>
              <w:rPr>
                <w:color w:val="auto"/>
                <w:sz w:val="24"/>
                <w:lang w:val="en-GB"/>
              </w:rPr>
              <w:t>，</w:t>
            </w:r>
            <w:r>
              <w:rPr>
                <w:rFonts w:hint="eastAsia"/>
                <w:color w:val="auto"/>
                <w:sz w:val="24"/>
              </w:rPr>
              <w:t>项目属于</w:t>
            </w:r>
            <w:r>
              <w:rPr>
                <w:rFonts w:hint="eastAsia"/>
                <w:color w:val="auto"/>
                <w:sz w:val="24"/>
                <w:lang w:eastAsia="zh-CN"/>
              </w:rPr>
              <w:t>龙江</w:t>
            </w:r>
            <w:r>
              <w:rPr>
                <w:rFonts w:hint="eastAsia" w:hAnsi="Times New Roman"/>
                <w:b w:val="0"/>
                <w:bCs w:val="0"/>
                <w:snapToGrid/>
                <w:color w:val="auto"/>
                <w:kern w:val="2"/>
                <w:sz w:val="24"/>
                <w:lang w:val="en-US" w:eastAsia="zh-CN" w:bidi="ar-SA"/>
              </w:rPr>
              <w:t>（龙江入—遮冒）</w:t>
            </w:r>
            <w:r>
              <w:rPr>
                <w:color w:val="auto"/>
                <w:sz w:val="24"/>
                <w:lang w:val="en-GB"/>
              </w:rPr>
              <w:t>执行GB3838</w:t>
            </w:r>
            <w:r>
              <w:rPr>
                <w:color w:val="auto"/>
                <w:sz w:val="24"/>
              </w:rPr>
              <w:t>-</w:t>
            </w:r>
            <w:r>
              <w:rPr>
                <w:color w:val="auto"/>
                <w:sz w:val="24"/>
                <w:lang w:val="en-GB"/>
              </w:rPr>
              <w:t>2002《地表水环境质量标准》</w:t>
            </w:r>
            <w:r>
              <w:rPr>
                <w:rFonts w:hint="eastAsia"/>
                <w:color w:val="auto"/>
                <w:sz w:val="24"/>
                <w:lang w:val="en-GB" w:eastAsia="zh-CN"/>
              </w:rPr>
              <w:t>中的</w:t>
            </w:r>
            <w:r>
              <w:rPr>
                <w:color w:val="auto"/>
                <w:sz w:val="24"/>
                <w:lang w:val="en-GB"/>
              </w:rPr>
              <w:t>Ⅲ类</w:t>
            </w:r>
            <w:r>
              <w:rPr>
                <w:rFonts w:hint="eastAsia"/>
                <w:color w:val="auto"/>
                <w:sz w:val="24"/>
                <w:lang w:val="en-GB" w:eastAsia="zh-CN"/>
              </w:rPr>
              <w:t>标准。</w:t>
            </w:r>
          </w:p>
          <w:p w14:paraId="085CD287">
            <w:pPr>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宋体" w:hAnsi="宋体" w:eastAsia="宋体" w:cs="宋体"/>
                <w:b w:val="0"/>
                <w:bCs w:val="0"/>
                <w:color w:val="auto"/>
                <w:sz w:val="24"/>
                <w:u w:val="none" w:color="auto"/>
                <w:lang w:val="en-US" w:eastAsia="zh-CN"/>
              </w:rPr>
            </w:pPr>
            <w:r>
              <w:rPr>
                <w:rFonts w:hint="eastAsia"/>
                <w:color w:val="auto"/>
                <w:sz w:val="24"/>
                <w:lang w:val="en-GB" w:eastAsia="zh-CN"/>
              </w:rPr>
              <w:t>芒市大河和龙江交汇后</w:t>
            </w:r>
            <w:r>
              <w:rPr>
                <w:rFonts w:hint="eastAsia"/>
                <w:color w:val="auto"/>
                <w:sz w:val="24"/>
                <w:highlight w:val="none"/>
                <w:lang w:val="en-GB" w:eastAsia="zh-CN"/>
              </w:rPr>
              <w:t>形成瑞丽江，</w:t>
            </w:r>
            <w:r>
              <w:rPr>
                <w:rFonts w:hint="default" w:ascii="Times New Roman" w:hAnsi="Times New Roman" w:eastAsia="宋体" w:cs="Times New Roman"/>
                <w:b w:val="0"/>
                <w:bCs w:val="0"/>
                <w:color w:val="auto"/>
                <w:sz w:val="24"/>
                <w:highlight w:val="none"/>
                <w:u w:val="none" w:color="auto"/>
                <w:lang w:val="en-US" w:eastAsia="zh-CN"/>
              </w:rPr>
              <w:t>根据《德宏州202</w:t>
            </w:r>
            <w:r>
              <w:rPr>
                <w:rFonts w:hint="eastAsia" w:cs="Times New Roman"/>
                <w:b w:val="0"/>
                <w:bCs w:val="0"/>
                <w:color w:val="auto"/>
                <w:sz w:val="24"/>
                <w:highlight w:val="none"/>
                <w:u w:val="none" w:color="auto"/>
                <w:lang w:val="en-US" w:eastAsia="zh-CN"/>
              </w:rPr>
              <w:t>3</w:t>
            </w:r>
            <w:r>
              <w:rPr>
                <w:rFonts w:hint="default" w:ascii="Times New Roman" w:hAnsi="Times New Roman" w:eastAsia="宋体" w:cs="Times New Roman"/>
                <w:b w:val="0"/>
                <w:bCs w:val="0"/>
                <w:color w:val="auto"/>
                <w:sz w:val="24"/>
                <w:highlight w:val="none"/>
                <w:u w:val="none" w:color="auto"/>
                <w:lang w:val="en-US" w:eastAsia="zh-CN"/>
              </w:rPr>
              <w:t>年环境质量状况公报》，2023年</w:t>
            </w:r>
            <w:r>
              <w:rPr>
                <w:rFonts w:hint="eastAsia" w:cs="Times New Roman"/>
                <w:b w:val="0"/>
                <w:bCs w:val="0"/>
                <w:color w:val="auto"/>
                <w:sz w:val="24"/>
                <w:highlight w:val="none"/>
                <w:u w:val="none" w:color="auto"/>
                <w:lang w:val="en-US" w:eastAsia="zh-CN"/>
              </w:rPr>
              <w:t>瑞丽江嘠中断面水质现状为</w:t>
            </w:r>
            <w:r>
              <w:rPr>
                <w:rFonts w:hint="default" w:ascii="Times New Roman" w:hAnsi="Times New Roman" w:eastAsia="宋体" w:cs="Times New Roman"/>
                <w:b w:val="0"/>
                <w:bCs w:val="0"/>
                <w:color w:val="auto"/>
                <w:sz w:val="24"/>
                <w:highlight w:val="none"/>
                <w:u w:val="none" w:color="auto"/>
                <w:lang w:val="en-US" w:eastAsia="zh-CN"/>
              </w:rPr>
              <w:t>Ⅱ类水质</w:t>
            </w:r>
            <w:r>
              <w:rPr>
                <w:rFonts w:hint="eastAsia" w:cs="Times New Roman"/>
                <w:b w:val="0"/>
                <w:bCs w:val="0"/>
                <w:color w:val="auto"/>
                <w:sz w:val="24"/>
                <w:highlight w:val="none"/>
                <w:u w:val="none" w:color="auto"/>
                <w:lang w:val="en-US" w:eastAsia="zh-CN"/>
              </w:rPr>
              <w:t>（项目位于瑞丽江嘠中断面上游距离约12km)</w:t>
            </w:r>
            <w:r>
              <w:rPr>
                <w:rFonts w:hint="eastAsia" w:ascii="Times New Roman" w:hAnsi="Times New Roman" w:eastAsia="宋体" w:cs="Times New Roman"/>
                <w:color w:val="000000" w:themeColor="text1"/>
                <w:kern w:val="0"/>
                <w:sz w:val="24"/>
                <w:highlight w:val="none"/>
                <w:lang w:eastAsia="zh-CN"/>
                <w14:textFill>
                  <w14:solidFill>
                    <w14:schemeClr w14:val="tx1"/>
                  </w14:solidFill>
                </w14:textFill>
              </w:rPr>
              <w:t>满足</w:t>
            </w: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《地表水环境质量标准》（GB383</w:t>
            </w:r>
            <w:r>
              <w:rPr>
                <w:rFonts w:hint="default" w:ascii="Times New Roman" w:hAnsi="Times New Roman" w:eastAsia="宋体" w:cs="Times New Roman"/>
                <w:color w:val="000000" w:themeColor="text1"/>
                <w:kern w:val="0"/>
                <w:sz w:val="24"/>
                <w:lang w:eastAsia="zh-CN"/>
                <w14:textFill>
                  <w14:solidFill>
                    <w14:schemeClr w14:val="tx1"/>
                  </w14:solidFill>
                </w14:textFill>
              </w:rPr>
              <w:t>8-2002）中的Ⅲ类</w:t>
            </w:r>
            <w:r>
              <w:rPr>
                <w:rFonts w:hint="default" w:ascii="Times New Roman" w:hAnsi="Times New Roman" w:cs="Times New Roman"/>
                <w:color w:val="000000" w:themeColor="text1"/>
                <w:kern w:val="0"/>
                <w:sz w:val="24"/>
                <w:lang w:val="en-US" w:eastAsia="zh-CN"/>
                <w14:textFill>
                  <w14:solidFill>
                    <w14:schemeClr w14:val="tx1"/>
                  </w14:solidFill>
                </w14:textFill>
              </w:rPr>
              <w:t>标</w:t>
            </w:r>
            <w:r>
              <w:rPr>
                <w:rFonts w:hint="eastAsia" w:ascii="宋体" w:hAnsi="宋体" w:eastAsia="宋体" w:cs="宋体"/>
                <w:b w:val="0"/>
                <w:bCs w:val="0"/>
                <w:color w:val="auto"/>
                <w:sz w:val="24"/>
                <w:u w:val="none" w:color="auto"/>
                <w:lang w:val="en-US" w:eastAsia="zh-CN"/>
              </w:rPr>
              <w:t>准要求。</w:t>
            </w:r>
          </w:p>
          <w:p w14:paraId="000ED1A4">
            <w:pPr>
              <w:numPr>
                <w:ilvl w:val="0"/>
                <w:numId w:val="0"/>
              </w:numPr>
              <w:spacing w:line="360" w:lineRule="auto"/>
              <w:rPr>
                <w:rFonts w:hint="default" w:ascii="Times New Roman" w:hAnsi="Times New Roman" w:cs="Times New Roman"/>
                <w:b/>
                <w:bCs/>
                <w:color w:val="000000"/>
                <w:sz w:val="24"/>
              </w:rPr>
            </w:pPr>
            <w:r>
              <w:rPr>
                <w:rFonts w:hint="default" w:ascii="Times New Roman" w:hAnsi="Times New Roman" w:eastAsia="宋体" w:cs="Times New Roman"/>
                <w:b/>
                <w:bCs/>
                <w:color w:val="000000"/>
                <w:kern w:val="2"/>
                <w:sz w:val="24"/>
                <w:szCs w:val="24"/>
                <w:lang w:val="en-US" w:eastAsia="zh-CN" w:bidi="ar-SA"/>
              </w:rPr>
              <w:t>3、</w:t>
            </w:r>
            <w:r>
              <w:rPr>
                <w:rFonts w:hint="default" w:ascii="Times New Roman" w:hAnsi="Times New Roman" w:cs="Times New Roman"/>
                <w:b/>
                <w:bCs/>
                <w:color w:val="000000"/>
                <w:sz w:val="24"/>
              </w:rPr>
              <w:t>声环境质量现状</w:t>
            </w:r>
          </w:p>
          <w:p w14:paraId="0CF11E86">
            <w:pPr>
              <w:tabs>
                <w:tab w:val="center" w:pos="4153"/>
                <w:tab w:val="right" w:pos="8306"/>
              </w:tabs>
              <w:adjustRightInd w:val="0"/>
              <w:snapToGrid w:val="0"/>
              <w:spacing w:line="360" w:lineRule="auto"/>
              <w:ind w:firstLine="480" w:firstLineChars="200"/>
              <w:rPr>
                <w:rFonts w:hint="default" w:ascii="Times New Roman" w:hAnsi="Times New Roman" w:eastAsia="宋体" w:cs="Times New Roman"/>
                <w:snapToGrid w:val="0"/>
                <w:kern w:val="0"/>
                <w:sz w:val="24"/>
                <w:szCs w:val="24"/>
              </w:rPr>
            </w:pPr>
            <w:r>
              <w:rPr>
                <w:rFonts w:hint="default" w:ascii="Times New Roman" w:hAnsi="Times New Roman" w:eastAsia="宋体" w:cs="Times New Roman"/>
                <w:color w:val="000000"/>
                <w:sz w:val="24"/>
                <w:szCs w:val="22"/>
                <w:lang w:eastAsia="zh-CN"/>
              </w:rPr>
              <w:t>项</w:t>
            </w:r>
            <w:r>
              <w:rPr>
                <w:rFonts w:hint="default" w:ascii="Times New Roman" w:hAnsi="Times New Roman" w:eastAsia="宋体" w:cs="Times New Roman"/>
                <w:color w:val="000000" w:themeColor="text1"/>
                <w:sz w:val="24"/>
                <w:szCs w:val="22"/>
                <w:lang w:eastAsia="zh-CN"/>
                <w14:textFill>
                  <w14:solidFill>
                    <w14:schemeClr w14:val="tx1"/>
                  </w14:solidFill>
                </w14:textFill>
              </w:rPr>
              <w:t>目位于</w:t>
            </w:r>
            <w:r>
              <w:rPr>
                <w:rFonts w:hint="eastAsia" w:ascii="Times New Roman" w:hAnsi="Times New Roman" w:cs="Times New Roman"/>
                <w:color w:val="000000" w:themeColor="text1"/>
                <w:sz w:val="24"/>
                <w:szCs w:val="22"/>
                <w:lang w:eastAsia="zh-CN"/>
                <w14:textFill>
                  <w14:solidFill>
                    <w14:schemeClr w14:val="tx1"/>
                  </w14:solidFill>
                </w14:textFill>
              </w:rPr>
              <w:t>云南省德宏州芒市</w:t>
            </w:r>
            <w:r>
              <w:rPr>
                <w:rFonts w:hint="eastAsia" w:cs="Times New Roman"/>
                <w:color w:val="auto"/>
                <w:sz w:val="24"/>
                <w:szCs w:val="24"/>
                <w:highlight w:val="none"/>
                <w:lang w:val="en-US" w:eastAsia="zh-CN"/>
              </w:rPr>
              <w:t>遮放农场晓阳社区居民委员会第七居民小组</w:t>
            </w:r>
            <w:r>
              <w:rPr>
                <w:rFonts w:hint="eastAsia" w:ascii="Times New Roman" w:hAnsi="Times New Roman" w:cs="Times New Roman"/>
                <w:color w:val="000000" w:themeColor="text1"/>
                <w:sz w:val="24"/>
                <w:szCs w:val="22"/>
                <w:lang w:eastAsia="zh-CN"/>
                <w14:textFill>
                  <w14:solidFill>
                    <w14:schemeClr w14:val="tx1"/>
                  </w14:solidFill>
                </w14:textFill>
              </w:rPr>
              <w:t>，</w:t>
            </w:r>
            <w:r>
              <w:rPr>
                <w:rFonts w:hint="default" w:ascii="Times New Roman" w:hAnsi="Times New Roman" w:eastAsia="宋体" w:cs="Times New Roman"/>
                <w:snapToGrid w:val="0"/>
                <w:kern w:val="0"/>
                <w:sz w:val="24"/>
                <w:szCs w:val="24"/>
              </w:rPr>
              <w:t>属于乡镇地区，根据《声环境质量标准》（GB3096-2008）</w:t>
            </w:r>
            <w:r>
              <w:rPr>
                <w:rFonts w:hint="default" w:ascii="Times New Roman" w:hAnsi="Times New Roman" w:eastAsia="宋体" w:cs="Times New Roman"/>
                <w:color w:val="000000" w:themeColor="text1"/>
                <w:sz w:val="24"/>
                <w:szCs w:val="24"/>
                <w:highlight w:val="none"/>
                <w:shd w:val="clear" w:color="auto" w:fill="auto"/>
                <w:lang w:eastAsia="zh-CN"/>
                <w14:textFill>
                  <w14:solidFill>
                    <w14:schemeClr w14:val="tx1"/>
                  </w14:solidFill>
                </w14:textFill>
              </w:rPr>
              <w:t>，</w:t>
            </w:r>
            <w:r>
              <w:rPr>
                <w:rFonts w:hint="default" w:ascii="Times New Roman" w:hAnsi="Times New Roman" w:eastAsia="宋体" w:cs="Times New Roman"/>
                <w:snapToGrid w:val="0"/>
                <w:kern w:val="0"/>
                <w:sz w:val="24"/>
                <w:szCs w:val="24"/>
              </w:rPr>
              <w:t>项目所在区域噪声功能划分为2类声环境功能区。</w:t>
            </w:r>
          </w:p>
          <w:p w14:paraId="40F48007">
            <w:pPr>
              <w:tabs>
                <w:tab w:val="center" w:pos="4153"/>
                <w:tab w:val="right" w:pos="8306"/>
              </w:tabs>
              <w:adjustRightInd w:val="0"/>
              <w:snapToGrid w:val="0"/>
              <w:spacing w:line="360" w:lineRule="auto"/>
              <w:ind w:firstLine="480" w:firstLineChars="200"/>
              <w:rPr>
                <w:rFonts w:hint="default" w:ascii="Times New Roman" w:hAnsi="Times New Roman" w:eastAsia="宋体" w:cs="Times New Roman"/>
                <w:snapToGrid w:val="0"/>
                <w:kern w:val="0"/>
                <w:sz w:val="24"/>
                <w:szCs w:val="24"/>
                <w:lang w:eastAsia="zh-CN"/>
              </w:rPr>
            </w:pPr>
            <w:r>
              <w:rPr>
                <w:rFonts w:hint="eastAsia" w:ascii="Times New Roman" w:hAnsi="Times New Roman" w:eastAsia="宋体" w:cs="Times New Roman"/>
                <w:snapToGrid w:val="0"/>
                <w:kern w:val="0"/>
                <w:sz w:val="24"/>
                <w:szCs w:val="24"/>
                <w:lang w:eastAsia="zh-CN"/>
              </w:rPr>
              <w:t>根据现场勘查，项目所</w:t>
            </w:r>
            <w:r>
              <w:rPr>
                <w:rFonts w:hint="default" w:ascii="Times New Roman" w:hAnsi="Times New Roman" w:eastAsia="宋体" w:cs="Times New Roman"/>
                <w:snapToGrid w:val="0"/>
                <w:kern w:val="0"/>
                <w:sz w:val="24"/>
                <w:szCs w:val="24"/>
                <w:lang w:eastAsia="zh-CN"/>
              </w:rPr>
              <w:t>在区域厂界周边50米范围内有声环境保护目标，为东南面</w:t>
            </w:r>
            <w:r>
              <w:rPr>
                <w:rFonts w:hint="default" w:ascii="Times New Roman" w:hAnsi="Times New Roman" w:eastAsia="宋体" w:cs="Times New Roman"/>
                <w:snapToGrid w:val="0"/>
                <w:kern w:val="0"/>
                <w:sz w:val="24"/>
                <w:szCs w:val="24"/>
                <w:lang w:val="en-US" w:eastAsia="zh-CN"/>
              </w:rPr>
              <w:t>20</w:t>
            </w:r>
            <w:r>
              <w:rPr>
                <w:rFonts w:hint="default" w:ascii="Times New Roman" w:hAnsi="Times New Roman" w:eastAsia="宋体" w:cs="Times New Roman"/>
                <w:snapToGrid w:val="0"/>
                <w:kern w:val="0"/>
                <w:sz w:val="24"/>
                <w:szCs w:val="24"/>
                <w:lang w:eastAsia="zh-CN"/>
              </w:rPr>
              <w:t>m的居民散户，本项目依据《建设项目环境影响报告表编制技术指南（污染影响类）》对周边敏感目标进行了声环境质量现状监测，监测报告详见附</w:t>
            </w:r>
            <w:r>
              <w:rPr>
                <w:rFonts w:hint="eastAsia" w:cs="Times New Roman"/>
                <w:snapToGrid w:val="0"/>
                <w:kern w:val="0"/>
                <w:sz w:val="24"/>
                <w:szCs w:val="24"/>
                <w:lang w:eastAsia="zh-CN"/>
              </w:rPr>
              <w:t>件</w:t>
            </w:r>
            <w:r>
              <w:rPr>
                <w:rFonts w:hint="eastAsia" w:cs="Times New Roman"/>
                <w:snapToGrid w:val="0"/>
                <w:kern w:val="0"/>
                <w:sz w:val="24"/>
                <w:szCs w:val="24"/>
                <w:lang w:val="en-US" w:eastAsia="zh-CN"/>
              </w:rPr>
              <w:t>7</w:t>
            </w:r>
            <w:r>
              <w:rPr>
                <w:rFonts w:hint="default" w:ascii="Times New Roman" w:hAnsi="Times New Roman" w:eastAsia="宋体" w:cs="Times New Roman"/>
                <w:snapToGrid w:val="0"/>
                <w:kern w:val="0"/>
                <w:sz w:val="24"/>
                <w:szCs w:val="24"/>
                <w:lang w:eastAsia="zh-CN"/>
              </w:rPr>
              <w:t>，监测结果见表3-</w:t>
            </w:r>
            <w:r>
              <w:rPr>
                <w:rFonts w:hint="default" w:ascii="Times New Roman" w:hAnsi="Times New Roman" w:eastAsia="宋体" w:cs="Times New Roman"/>
                <w:snapToGrid w:val="0"/>
                <w:kern w:val="0"/>
                <w:sz w:val="24"/>
                <w:szCs w:val="24"/>
                <w:lang w:val="en-US" w:eastAsia="zh-CN"/>
              </w:rPr>
              <w:t>3</w:t>
            </w:r>
            <w:r>
              <w:rPr>
                <w:rFonts w:hint="default" w:ascii="Times New Roman" w:hAnsi="Times New Roman" w:eastAsia="宋体" w:cs="Times New Roman"/>
                <w:snapToGrid w:val="0"/>
                <w:kern w:val="0"/>
                <w:sz w:val="24"/>
                <w:szCs w:val="24"/>
                <w:lang w:eastAsia="zh-CN"/>
              </w:rPr>
              <w:t>。</w:t>
            </w:r>
          </w:p>
          <w:p w14:paraId="60122906">
            <w:pPr>
              <w:tabs>
                <w:tab w:val="left" w:pos="1746"/>
                <w:tab w:val="center" w:pos="3983"/>
              </w:tabs>
              <w:spacing w:before="180" w:beforeLines="50" w:line="360" w:lineRule="auto"/>
              <w:ind w:right="459"/>
              <w:jc w:val="center"/>
              <w:rPr>
                <w:rFonts w:hint="default" w:ascii="Times New Roman" w:hAnsi="Times New Roman" w:eastAsia="宋体" w:cs="Times New Roman"/>
                <w:b/>
                <w:bCs/>
                <w:snapToGrid w:val="0"/>
                <w:kern w:val="0"/>
                <w:sz w:val="24"/>
                <w:szCs w:val="24"/>
                <w:lang w:eastAsia="zh-CN"/>
              </w:rPr>
            </w:pPr>
            <w:r>
              <w:rPr>
                <w:rFonts w:hint="default" w:ascii="Times New Roman" w:hAnsi="Times New Roman" w:eastAsia="宋体" w:cs="Times New Roman"/>
                <w:b/>
                <w:bCs/>
                <w:sz w:val="24"/>
                <w:szCs w:val="24"/>
              </w:rPr>
              <w:t>表3</w:t>
            </w:r>
            <w:r>
              <w:rPr>
                <w:rFonts w:hint="default"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环境噪声监测结果一览表</w:t>
            </w:r>
          </w:p>
          <w:tbl>
            <w:tblPr>
              <w:tblStyle w:val="23"/>
              <w:tblW w:w="775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41"/>
              <w:gridCol w:w="1878"/>
              <w:gridCol w:w="761"/>
              <w:gridCol w:w="992"/>
              <w:gridCol w:w="1765"/>
              <w:gridCol w:w="1220"/>
            </w:tblGrid>
            <w:tr w14:paraId="2A638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7" w:hRule="atLeast"/>
                <w:jc w:val="center"/>
              </w:trPr>
              <w:tc>
                <w:tcPr>
                  <w:tcW w:w="1141" w:type="dxa"/>
                  <w:vAlign w:val="center"/>
                </w:tcPr>
                <w:p w14:paraId="63D93135">
                  <w:pPr>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sz w:val="21"/>
                      <w:szCs w:val="21"/>
                    </w:rPr>
                    <w:t>监测日期</w:t>
                  </w:r>
                </w:p>
              </w:tc>
              <w:tc>
                <w:tcPr>
                  <w:tcW w:w="1878" w:type="dxa"/>
                  <w:vAlign w:val="center"/>
                </w:tcPr>
                <w:p w14:paraId="7322774D">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监测点位</w:t>
                  </w:r>
                </w:p>
              </w:tc>
              <w:tc>
                <w:tcPr>
                  <w:tcW w:w="1753" w:type="dxa"/>
                  <w:gridSpan w:val="2"/>
                  <w:vAlign w:val="center"/>
                </w:tcPr>
                <w:p w14:paraId="45BE3819">
                  <w:pPr>
                    <w:widowControl w:val="0"/>
                    <w:autoSpaceDN w:val="0"/>
                    <w:jc w:val="center"/>
                    <w:textAlignment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sz w:val="21"/>
                      <w:szCs w:val="21"/>
                      <w:lang w:eastAsia="zh-CN"/>
                    </w:rPr>
                    <w:t>监测</w:t>
                  </w:r>
                  <w:r>
                    <w:rPr>
                      <w:rFonts w:hint="default" w:ascii="Times New Roman" w:hAnsi="Times New Roman" w:eastAsia="宋体" w:cs="Times New Roman"/>
                      <w:sz w:val="21"/>
                      <w:szCs w:val="21"/>
                    </w:rPr>
                    <w:t>时段</w:t>
                  </w:r>
                </w:p>
              </w:tc>
              <w:tc>
                <w:tcPr>
                  <w:tcW w:w="1765" w:type="dxa"/>
                  <w:tcBorders>
                    <w:right w:val="single" w:color="auto" w:sz="4" w:space="0"/>
                  </w:tcBorders>
                  <w:vAlign w:val="center"/>
                </w:tcPr>
                <w:p w14:paraId="7BCD01E0">
                  <w:pPr>
                    <w:widowControl w:val="0"/>
                    <w:autoSpaceDN w:val="0"/>
                    <w:jc w:val="center"/>
                    <w:textAlignment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rPr>
                    <w:t>样品编号</w:t>
                  </w:r>
                </w:p>
              </w:tc>
              <w:tc>
                <w:tcPr>
                  <w:tcW w:w="1220" w:type="dxa"/>
                  <w:tcBorders>
                    <w:left w:val="single" w:color="auto" w:sz="4" w:space="0"/>
                  </w:tcBorders>
                  <w:vAlign w:val="center"/>
                </w:tcPr>
                <w:p w14:paraId="2A911E25">
                  <w:pPr>
                    <w:widowControl w:val="0"/>
                    <w:autoSpaceDN w:val="0"/>
                    <w:jc w:val="center"/>
                    <w:textAlignment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sz w:val="21"/>
                      <w:szCs w:val="21"/>
                    </w:rPr>
                    <w:t>噪声值dB(A)</w:t>
                  </w:r>
                </w:p>
              </w:tc>
            </w:tr>
            <w:tr w14:paraId="78131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0" w:hRule="atLeast"/>
                <w:jc w:val="center"/>
              </w:trPr>
              <w:tc>
                <w:tcPr>
                  <w:tcW w:w="1141" w:type="dxa"/>
                  <w:vMerge w:val="restart"/>
                  <w:vAlign w:val="center"/>
                </w:tcPr>
                <w:p w14:paraId="2E42042C">
                  <w:pPr>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2024.09.22</w:t>
                  </w:r>
                </w:p>
              </w:tc>
              <w:tc>
                <w:tcPr>
                  <w:tcW w:w="1878" w:type="dxa"/>
                  <w:vMerge w:val="restart"/>
                  <w:vAlign w:val="center"/>
                </w:tcPr>
                <w:p w14:paraId="10B1EC16">
                  <w:pPr>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sz w:val="21"/>
                      <w:szCs w:val="21"/>
                      <w:lang w:val="en-US" w:eastAsia="zh-CN"/>
                    </w:rPr>
                    <w:t>厂界东南侧20m居民点</w:t>
                  </w:r>
                </w:p>
              </w:tc>
              <w:tc>
                <w:tcPr>
                  <w:tcW w:w="761" w:type="dxa"/>
                  <w:vAlign w:val="center"/>
                </w:tcPr>
                <w:p w14:paraId="47917DB0">
                  <w:pPr>
                    <w:widowControl w:val="0"/>
                    <w:autoSpaceDN w:val="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昼间</w:t>
                  </w:r>
                </w:p>
              </w:tc>
              <w:tc>
                <w:tcPr>
                  <w:tcW w:w="992" w:type="dxa"/>
                  <w:vAlign w:val="center"/>
                </w:tcPr>
                <w:p w14:paraId="55E564C0">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18:24</w:t>
                  </w:r>
                </w:p>
              </w:tc>
              <w:tc>
                <w:tcPr>
                  <w:tcW w:w="1765" w:type="dxa"/>
                  <w:tcBorders>
                    <w:right w:val="single" w:color="auto" w:sz="4" w:space="0"/>
                  </w:tcBorders>
                  <w:vAlign w:val="center"/>
                </w:tcPr>
                <w:p w14:paraId="6B4B6F8A">
                  <w:pPr>
                    <w:widowControl w:val="0"/>
                    <w:autoSpaceDN w:val="0"/>
                    <w:jc w:val="center"/>
                    <w:textAlignment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2409133</w:t>
                  </w:r>
                  <w:r>
                    <w:rPr>
                      <w:rFonts w:hint="default" w:ascii="Times New Roman" w:hAnsi="Times New Roman" w:eastAsia="宋体" w:cs="Times New Roman"/>
                      <w:kern w:val="2"/>
                      <w:sz w:val="21"/>
                      <w:szCs w:val="21"/>
                    </w:rPr>
                    <w:t>ZS0</w:t>
                  </w:r>
                  <w:r>
                    <w:rPr>
                      <w:rFonts w:hint="default" w:ascii="Times New Roman" w:hAnsi="Times New Roman" w:eastAsia="宋体" w:cs="Times New Roman"/>
                      <w:kern w:val="2"/>
                      <w:sz w:val="21"/>
                      <w:szCs w:val="21"/>
                      <w:lang w:val="en-US" w:eastAsia="zh-CN"/>
                    </w:rPr>
                    <w:t>1</w:t>
                  </w:r>
                  <w:r>
                    <w:rPr>
                      <w:rFonts w:hint="default" w:ascii="Times New Roman" w:hAnsi="Times New Roman" w:eastAsia="宋体" w:cs="Times New Roman"/>
                      <w:kern w:val="2"/>
                      <w:sz w:val="21"/>
                      <w:szCs w:val="21"/>
                    </w:rPr>
                    <w:t>-</w:t>
                  </w:r>
                  <w:r>
                    <w:rPr>
                      <w:rFonts w:hint="default" w:ascii="Times New Roman" w:hAnsi="Times New Roman" w:eastAsia="宋体" w:cs="Times New Roman"/>
                      <w:kern w:val="2"/>
                      <w:sz w:val="21"/>
                      <w:szCs w:val="21"/>
                      <w:lang w:val="en-US" w:eastAsia="zh-CN"/>
                    </w:rPr>
                    <w:t>1</w:t>
                  </w:r>
                  <w:r>
                    <w:rPr>
                      <w:rFonts w:hint="default" w:ascii="Times New Roman" w:hAnsi="Times New Roman" w:eastAsia="宋体" w:cs="Times New Roman"/>
                      <w:kern w:val="2"/>
                      <w:sz w:val="21"/>
                      <w:szCs w:val="21"/>
                    </w:rPr>
                    <w:t>-1</w:t>
                  </w:r>
                </w:p>
              </w:tc>
              <w:tc>
                <w:tcPr>
                  <w:tcW w:w="1220" w:type="dxa"/>
                  <w:tcBorders>
                    <w:left w:val="single" w:color="auto" w:sz="4" w:space="0"/>
                  </w:tcBorders>
                  <w:vAlign w:val="center"/>
                </w:tcPr>
                <w:p w14:paraId="5BD9ECA7">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53</w:t>
                  </w:r>
                </w:p>
              </w:tc>
            </w:tr>
            <w:tr w14:paraId="46AE2C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2" w:hRule="atLeast"/>
                <w:jc w:val="center"/>
              </w:trPr>
              <w:tc>
                <w:tcPr>
                  <w:tcW w:w="1141" w:type="dxa"/>
                  <w:vMerge w:val="continue"/>
                  <w:vAlign w:val="center"/>
                </w:tcPr>
                <w:p w14:paraId="06612DFD">
                  <w:pPr>
                    <w:jc w:val="center"/>
                    <w:rPr>
                      <w:rFonts w:hint="default" w:ascii="Times New Roman" w:hAnsi="Times New Roman" w:eastAsia="宋体" w:cs="Times New Roman"/>
                      <w:kern w:val="2"/>
                      <w:sz w:val="21"/>
                      <w:szCs w:val="21"/>
                      <w:lang w:val="en-US" w:eastAsia="zh-CN"/>
                    </w:rPr>
                  </w:pPr>
                </w:p>
              </w:tc>
              <w:tc>
                <w:tcPr>
                  <w:tcW w:w="1878" w:type="dxa"/>
                  <w:vMerge w:val="continue"/>
                  <w:vAlign w:val="center"/>
                </w:tcPr>
                <w:p w14:paraId="087DDC9A">
                  <w:pPr>
                    <w:jc w:val="center"/>
                    <w:rPr>
                      <w:rFonts w:hint="default" w:ascii="Times New Roman" w:hAnsi="Times New Roman" w:eastAsia="宋体" w:cs="Times New Roman"/>
                      <w:kern w:val="2"/>
                      <w:sz w:val="21"/>
                      <w:szCs w:val="21"/>
                    </w:rPr>
                  </w:pPr>
                </w:p>
              </w:tc>
              <w:tc>
                <w:tcPr>
                  <w:tcW w:w="761" w:type="dxa"/>
                  <w:vAlign w:val="center"/>
                </w:tcPr>
                <w:p w14:paraId="548FDDE9">
                  <w:pPr>
                    <w:widowControl w:val="0"/>
                    <w:autoSpaceDN w:val="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夜间</w:t>
                  </w:r>
                </w:p>
              </w:tc>
              <w:tc>
                <w:tcPr>
                  <w:tcW w:w="992" w:type="dxa"/>
                  <w:vAlign w:val="center"/>
                </w:tcPr>
                <w:p w14:paraId="1535BF27">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22:05</w:t>
                  </w:r>
                </w:p>
              </w:tc>
              <w:tc>
                <w:tcPr>
                  <w:tcW w:w="1765" w:type="dxa"/>
                  <w:tcBorders>
                    <w:right w:val="single" w:color="auto" w:sz="4" w:space="0"/>
                  </w:tcBorders>
                  <w:vAlign w:val="center"/>
                </w:tcPr>
                <w:p w14:paraId="145189A7">
                  <w:pPr>
                    <w:widowControl w:val="0"/>
                    <w:autoSpaceDN w:val="0"/>
                    <w:jc w:val="center"/>
                    <w:textAlignment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val="en-US" w:eastAsia="zh-CN"/>
                    </w:rPr>
                    <w:t>2409133</w:t>
                  </w:r>
                  <w:r>
                    <w:rPr>
                      <w:rFonts w:hint="default" w:ascii="Times New Roman" w:hAnsi="Times New Roman" w:eastAsia="宋体" w:cs="Times New Roman"/>
                      <w:kern w:val="2"/>
                      <w:sz w:val="21"/>
                      <w:szCs w:val="21"/>
                    </w:rPr>
                    <w:t>ZS0</w:t>
                  </w:r>
                  <w:r>
                    <w:rPr>
                      <w:rFonts w:hint="default" w:ascii="Times New Roman" w:hAnsi="Times New Roman" w:eastAsia="宋体" w:cs="Times New Roman"/>
                      <w:kern w:val="2"/>
                      <w:sz w:val="21"/>
                      <w:szCs w:val="21"/>
                      <w:lang w:val="en-US" w:eastAsia="zh-CN"/>
                    </w:rPr>
                    <w:t>1</w:t>
                  </w:r>
                  <w:r>
                    <w:rPr>
                      <w:rFonts w:hint="default" w:ascii="Times New Roman" w:hAnsi="Times New Roman" w:eastAsia="宋体" w:cs="Times New Roman"/>
                      <w:kern w:val="2"/>
                      <w:sz w:val="21"/>
                      <w:szCs w:val="21"/>
                    </w:rPr>
                    <w:t>-</w:t>
                  </w:r>
                  <w:r>
                    <w:rPr>
                      <w:rFonts w:hint="default" w:ascii="Times New Roman" w:hAnsi="Times New Roman" w:eastAsia="宋体" w:cs="Times New Roman"/>
                      <w:kern w:val="2"/>
                      <w:sz w:val="21"/>
                      <w:szCs w:val="21"/>
                      <w:lang w:val="en-US" w:eastAsia="zh-CN"/>
                    </w:rPr>
                    <w:t>1</w:t>
                  </w:r>
                  <w:r>
                    <w:rPr>
                      <w:rFonts w:hint="default" w:ascii="Times New Roman" w:hAnsi="Times New Roman" w:eastAsia="宋体" w:cs="Times New Roman"/>
                      <w:kern w:val="2"/>
                      <w:sz w:val="21"/>
                      <w:szCs w:val="21"/>
                    </w:rPr>
                    <w:t>-2</w:t>
                  </w:r>
                </w:p>
              </w:tc>
              <w:tc>
                <w:tcPr>
                  <w:tcW w:w="1220" w:type="dxa"/>
                  <w:tcBorders>
                    <w:left w:val="single" w:color="auto" w:sz="4" w:space="0"/>
                  </w:tcBorders>
                  <w:vAlign w:val="center"/>
                </w:tcPr>
                <w:p w14:paraId="59186687">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44</w:t>
                  </w:r>
                </w:p>
              </w:tc>
            </w:tr>
          </w:tbl>
          <w:p w14:paraId="519D7898">
            <w:pPr>
              <w:spacing w:line="360" w:lineRule="auto"/>
              <w:ind w:firstLine="480" w:firstLineChars="200"/>
              <w:rPr>
                <w:rFonts w:hint="default" w:ascii="Times New Roman" w:hAnsi="Times New Roman" w:eastAsia="宋体" w:cs="Times New Roman"/>
                <w:color w:val="auto"/>
                <w:sz w:val="24"/>
                <w:lang w:val="zh-CN" w:eastAsia="zh-CN"/>
              </w:rPr>
            </w:pPr>
            <w:r>
              <w:rPr>
                <w:rFonts w:hint="default" w:ascii="Times New Roman" w:hAnsi="Times New Roman" w:eastAsia="宋体" w:cs="Times New Roman"/>
                <w:bCs/>
                <w:color w:val="auto"/>
                <w:kern w:val="28"/>
                <w:sz w:val="24"/>
                <w:szCs w:val="24"/>
                <w:lang w:val="en-US" w:eastAsia="zh-CN"/>
              </w:rPr>
              <w:t>根据监测结果显示，</w:t>
            </w:r>
            <w:r>
              <w:rPr>
                <w:rFonts w:hint="default" w:ascii="Times New Roman" w:hAnsi="Times New Roman" w:eastAsia="宋体" w:cs="Times New Roman"/>
                <w:bCs/>
                <w:color w:val="auto"/>
                <w:kern w:val="28"/>
                <w:sz w:val="24"/>
                <w:szCs w:val="24"/>
              </w:rPr>
              <w:t>区域声环境质量状况良好</w:t>
            </w:r>
            <w:r>
              <w:rPr>
                <w:rFonts w:hint="default" w:ascii="Times New Roman" w:hAnsi="Times New Roman" w:eastAsia="宋体" w:cs="Times New Roman"/>
                <w:bCs/>
                <w:color w:val="auto"/>
                <w:kern w:val="28"/>
                <w:sz w:val="24"/>
                <w:szCs w:val="24"/>
                <w:lang w:eastAsia="zh-CN"/>
              </w:rPr>
              <w:t>，</w:t>
            </w:r>
            <w:r>
              <w:rPr>
                <w:rFonts w:hint="default" w:ascii="Times New Roman" w:hAnsi="Times New Roman" w:eastAsia="宋体" w:cs="Times New Roman"/>
                <w:color w:val="auto"/>
                <w:sz w:val="24"/>
                <w:lang w:val="zh-CN" w:eastAsia="zh-CN"/>
              </w:rPr>
              <w:t>项目</w:t>
            </w:r>
            <w:r>
              <w:rPr>
                <w:rFonts w:hint="default" w:ascii="Times New Roman" w:hAnsi="Times New Roman" w:eastAsia="宋体" w:cs="Times New Roman"/>
                <w:color w:val="auto"/>
                <w:sz w:val="24"/>
                <w:lang w:val="en-US" w:eastAsia="zh-CN"/>
              </w:rPr>
              <w:t>所在区域</w:t>
            </w:r>
            <w:r>
              <w:rPr>
                <w:rFonts w:hint="default" w:ascii="Times New Roman" w:hAnsi="Times New Roman" w:eastAsia="宋体" w:cs="Times New Roman"/>
                <w:color w:val="auto"/>
                <w:sz w:val="24"/>
                <w:lang w:val="zh-CN" w:eastAsia="zh-CN"/>
              </w:rPr>
              <w:t>声环境</w:t>
            </w:r>
            <w:r>
              <w:rPr>
                <w:rFonts w:hint="default" w:ascii="Times New Roman" w:hAnsi="Times New Roman" w:eastAsia="宋体" w:cs="Times New Roman"/>
                <w:color w:val="auto"/>
                <w:sz w:val="24"/>
                <w:lang w:val="en-US" w:eastAsia="zh-CN"/>
              </w:rPr>
              <w:t>质量现状可</w:t>
            </w:r>
            <w:r>
              <w:rPr>
                <w:rFonts w:hint="default" w:ascii="Times New Roman" w:hAnsi="Times New Roman" w:eastAsia="宋体" w:cs="Times New Roman"/>
                <w:color w:val="auto"/>
                <w:sz w:val="24"/>
                <w:lang w:val="zh-CN" w:eastAsia="zh-CN"/>
              </w:rPr>
              <w:t>满足《声环境质量标准》</w:t>
            </w:r>
            <w:r>
              <w:rPr>
                <w:rFonts w:hint="default" w:ascii="Times New Roman" w:hAnsi="Times New Roman" w:eastAsia="宋体" w:cs="Times New Roman"/>
                <w:bCs/>
                <w:color w:val="auto"/>
                <w:kern w:val="28"/>
                <w:sz w:val="24"/>
                <w:szCs w:val="24"/>
                <w:lang w:val="zh-CN" w:eastAsia="zh-CN"/>
              </w:rPr>
              <w:t>（GB3096-2008）</w:t>
            </w:r>
            <w:r>
              <w:rPr>
                <w:rFonts w:hint="default" w:ascii="Times New Roman" w:hAnsi="Times New Roman" w:eastAsia="宋体" w:cs="Times New Roman"/>
                <w:color w:val="auto"/>
                <w:sz w:val="24"/>
                <w:lang w:val="zh-CN" w:eastAsia="zh-CN"/>
              </w:rPr>
              <w:t>中</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zh-CN" w:eastAsia="zh-CN"/>
              </w:rPr>
              <w:t>类标准。</w:t>
            </w:r>
          </w:p>
          <w:p w14:paraId="56892288">
            <w:pPr>
              <w:spacing w:line="360" w:lineRule="auto"/>
              <w:ind w:firstLine="482" w:firstLineChars="200"/>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rPr>
              <w:t>4、生</w:t>
            </w:r>
            <w:r>
              <w:rPr>
                <w:rFonts w:hint="default" w:ascii="Times New Roman" w:hAnsi="Times New Roman" w:eastAsia="宋体" w:cs="Times New Roman"/>
                <w:b/>
                <w:bCs/>
                <w:color w:val="000000"/>
                <w:sz w:val="24"/>
                <w:szCs w:val="24"/>
              </w:rPr>
              <w:t>态环境现状</w:t>
            </w:r>
          </w:p>
          <w:p w14:paraId="4B4F6AB5">
            <w:pPr>
              <w:pStyle w:val="5"/>
              <w:spacing w:line="360" w:lineRule="auto"/>
              <w:ind w:left="0" w:leftChars="0" w:firstLine="480" w:firstLineChars="200"/>
              <w:rPr>
                <w:rFonts w:hint="default"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b w:val="0"/>
                <w:bCs w:val="0"/>
                <w:color w:val="000000"/>
                <w:sz w:val="24"/>
                <w:szCs w:val="24"/>
              </w:rPr>
              <w:t>评价区域位于</w:t>
            </w:r>
            <w:r>
              <w:rPr>
                <w:rFonts w:hint="eastAsia" w:asciiTheme="minorEastAsia" w:hAnsiTheme="minorEastAsia" w:eastAsiaTheme="minorEastAsia" w:cstheme="minorEastAsia"/>
                <w:b w:val="0"/>
                <w:bCs w:val="0"/>
                <w:color w:val="000000"/>
                <w:kern w:val="0"/>
                <w:sz w:val="24"/>
                <w:szCs w:val="24"/>
                <w:lang w:eastAsia="zh-CN"/>
              </w:rPr>
              <w:t>云南省德宏州芒市</w:t>
            </w:r>
            <w:r>
              <w:rPr>
                <w:rFonts w:hint="eastAsia" w:asciiTheme="minorEastAsia" w:hAnsiTheme="minorEastAsia" w:eastAsiaTheme="minorEastAsia" w:cstheme="minorEastAsia"/>
                <w:b w:val="0"/>
                <w:bCs w:val="0"/>
                <w:color w:val="000000"/>
                <w:kern w:val="0"/>
                <w:sz w:val="24"/>
                <w:szCs w:val="24"/>
                <w:lang w:val="en-US" w:eastAsia="zh-CN"/>
              </w:rPr>
              <w:t>遮放农场晓阳社区居民委员会第七居民小组</w:t>
            </w:r>
            <w:r>
              <w:rPr>
                <w:rFonts w:hint="eastAsia" w:asciiTheme="minorEastAsia" w:hAnsiTheme="minorEastAsia" w:eastAsiaTheme="minorEastAsia" w:cstheme="minorEastAsia"/>
                <w:b w:val="0"/>
                <w:bCs w:val="0"/>
                <w:color w:val="000000"/>
                <w:sz w:val="24"/>
                <w:szCs w:val="24"/>
              </w:rPr>
              <w:t>，</w:t>
            </w:r>
            <w:r>
              <w:rPr>
                <w:rFonts w:hint="eastAsia" w:asciiTheme="minorEastAsia" w:hAnsiTheme="minorEastAsia" w:eastAsiaTheme="minorEastAsia" w:cstheme="minorEastAsia"/>
                <w:b w:val="0"/>
                <w:bCs w:val="0"/>
                <w:color w:val="000000"/>
                <w:sz w:val="24"/>
                <w:szCs w:val="24"/>
                <w:lang w:eastAsia="zh-CN"/>
              </w:rPr>
              <w:t>评价区原有养牛户厂房，已做地面硬化处理</w:t>
            </w:r>
            <w:r>
              <w:rPr>
                <w:rFonts w:hint="eastAsia" w:asciiTheme="minorEastAsia" w:hAnsiTheme="minorEastAsia" w:eastAsiaTheme="minorEastAsia" w:cstheme="minorEastAsia"/>
                <w:b w:val="0"/>
                <w:bCs w:val="0"/>
                <w:sz w:val="24"/>
                <w:szCs w:val="24"/>
              </w:rPr>
              <w:t>。根据现场踏勘，评价区内无国家级和省级保护植物物种，以及地方狭域植物种类分布，也无古树名木。无大型野生哺乳动物、受国家和云南省重点保护及关注物种，同时也无当地特有物种。</w:t>
            </w:r>
          </w:p>
        </w:tc>
      </w:tr>
      <w:tr w14:paraId="69110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2" w:hRule="atLeast"/>
        </w:trPr>
        <w:tc>
          <w:tcPr>
            <w:tcW w:w="458" w:type="dxa"/>
            <w:vAlign w:val="center"/>
          </w:tcPr>
          <w:p w14:paraId="58DDE180">
            <w:pPr>
              <w:pStyle w:val="43"/>
              <w:spacing w:before="1" w:line="242" w:lineRule="auto"/>
              <w:ind w:right="164"/>
              <w:jc w:val="center"/>
              <w:rPr>
                <w:rFonts w:hint="eastAsia"/>
                <w:b/>
                <w:bCs/>
                <w:spacing w:val="-2"/>
                <w:sz w:val="24"/>
                <w:szCs w:val="24"/>
                <w:lang w:eastAsia="zh-CN"/>
              </w:rPr>
            </w:pPr>
            <w:r>
              <w:rPr>
                <w:rFonts w:hint="eastAsia"/>
                <w:b/>
                <w:bCs/>
                <w:spacing w:val="-2"/>
                <w:sz w:val="24"/>
                <w:szCs w:val="24"/>
                <w:lang w:eastAsia="zh-CN"/>
              </w:rPr>
              <w:t>环</w:t>
            </w:r>
          </w:p>
          <w:p w14:paraId="3C8EDF61">
            <w:pPr>
              <w:pStyle w:val="43"/>
              <w:spacing w:before="1" w:line="242" w:lineRule="auto"/>
              <w:ind w:right="164"/>
              <w:jc w:val="center"/>
              <w:rPr>
                <w:rFonts w:hint="eastAsia"/>
                <w:b/>
                <w:bCs/>
                <w:spacing w:val="-2"/>
                <w:sz w:val="24"/>
                <w:szCs w:val="24"/>
                <w:lang w:eastAsia="zh-CN"/>
              </w:rPr>
            </w:pPr>
            <w:r>
              <w:rPr>
                <w:rFonts w:hint="eastAsia"/>
                <w:b/>
                <w:bCs/>
                <w:spacing w:val="-2"/>
                <w:sz w:val="24"/>
                <w:szCs w:val="24"/>
                <w:lang w:eastAsia="zh-CN"/>
              </w:rPr>
              <w:t>境</w:t>
            </w:r>
          </w:p>
          <w:p w14:paraId="24700825">
            <w:pPr>
              <w:pStyle w:val="43"/>
              <w:spacing w:before="1" w:line="242" w:lineRule="auto"/>
              <w:ind w:right="164"/>
              <w:jc w:val="center"/>
              <w:rPr>
                <w:rFonts w:hint="eastAsia"/>
                <w:b/>
                <w:bCs/>
                <w:spacing w:val="-2"/>
                <w:sz w:val="24"/>
                <w:szCs w:val="24"/>
                <w:lang w:eastAsia="zh-CN"/>
              </w:rPr>
            </w:pPr>
            <w:r>
              <w:rPr>
                <w:rFonts w:hint="eastAsia"/>
                <w:b/>
                <w:bCs/>
                <w:spacing w:val="-2"/>
                <w:sz w:val="24"/>
                <w:szCs w:val="24"/>
                <w:lang w:eastAsia="zh-CN"/>
              </w:rPr>
              <w:t>保</w:t>
            </w:r>
          </w:p>
          <w:p w14:paraId="32A170B5">
            <w:pPr>
              <w:pStyle w:val="43"/>
              <w:spacing w:before="1" w:line="242" w:lineRule="auto"/>
              <w:ind w:right="164"/>
              <w:jc w:val="center"/>
              <w:rPr>
                <w:rFonts w:hint="eastAsia"/>
                <w:b/>
                <w:bCs/>
                <w:spacing w:val="-2"/>
                <w:sz w:val="24"/>
                <w:szCs w:val="24"/>
                <w:lang w:eastAsia="zh-CN"/>
              </w:rPr>
            </w:pPr>
            <w:r>
              <w:rPr>
                <w:rFonts w:hint="eastAsia"/>
                <w:b/>
                <w:bCs/>
                <w:spacing w:val="-2"/>
                <w:sz w:val="24"/>
                <w:szCs w:val="24"/>
                <w:lang w:eastAsia="zh-CN"/>
              </w:rPr>
              <w:t>护</w:t>
            </w:r>
          </w:p>
          <w:p w14:paraId="35CDD9CE">
            <w:pPr>
              <w:pStyle w:val="43"/>
              <w:spacing w:before="1" w:line="242" w:lineRule="auto"/>
              <w:ind w:right="164"/>
              <w:jc w:val="center"/>
              <w:rPr>
                <w:rFonts w:hint="eastAsia"/>
                <w:b/>
                <w:bCs/>
                <w:spacing w:val="-2"/>
                <w:sz w:val="24"/>
                <w:szCs w:val="24"/>
                <w:lang w:eastAsia="zh-CN"/>
              </w:rPr>
            </w:pPr>
            <w:r>
              <w:rPr>
                <w:rFonts w:hint="eastAsia"/>
                <w:b/>
                <w:bCs/>
                <w:spacing w:val="-2"/>
                <w:sz w:val="24"/>
                <w:szCs w:val="24"/>
                <w:lang w:eastAsia="zh-CN"/>
              </w:rPr>
              <w:t>目</w:t>
            </w:r>
          </w:p>
          <w:p w14:paraId="7668163C">
            <w:pPr>
              <w:pStyle w:val="20"/>
              <w:numPr>
                <w:ilvl w:val="0"/>
                <w:numId w:val="0"/>
              </w:numPr>
              <w:spacing w:before="0" w:beforeAutospacing="0" w:after="0" w:afterAutospacing="0"/>
              <w:jc w:val="center"/>
              <w:outlineLvl w:val="0"/>
              <w:rPr>
                <w:rFonts w:hint="eastAsia" w:ascii="黑体" w:hAnsi="黑体" w:eastAsia="黑体"/>
                <w:snapToGrid w:val="0"/>
                <w:sz w:val="30"/>
                <w:szCs w:val="30"/>
                <w:vertAlign w:val="baseline"/>
              </w:rPr>
            </w:pPr>
            <w:r>
              <w:rPr>
                <w:rFonts w:hint="eastAsia"/>
                <w:b/>
                <w:bCs/>
                <w:spacing w:val="-2"/>
                <w:sz w:val="24"/>
                <w:szCs w:val="24"/>
                <w:lang w:eastAsia="zh-CN"/>
              </w:rPr>
              <w:t>标</w:t>
            </w:r>
          </w:p>
        </w:tc>
        <w:tc>
          <w:tcPr>
            <w:tcW w:w="7960" w:type="dxa"/>
          </w:tcPr>
          <w:p w14:paraId="48398956">
            <w:pPr>
              <w:pStyle w:val="5"/>
              <w:spacing w:line="360" w:lineRule="auto"/>
              <w:ind w:left="0" w:leftChars="0" w:firstLine="480" w:firstLineChars="200"/>
              <w:rPr>
                <w:rFonts w:hint="eastAsia"/>
              </w:rPr>
            </w:pPr>
            <w:r>
              <w:rPr>
                <w:rFonts w:hint="default" w:ascii="Times New Roman" w:hAnsi="Times New Roman" w:eastAsia="宋体" w:cs="Times New Roman"/>
                <w:b w:val="0"/>
                <w:bCs w:val="0"/>
                <w:color w:val="auto"/>
                <w:sz w:val="24"/>
                <w:highlight w:val="none"/>
              </w:rPr>
              <w:t>项目选址</w:t>
            </w:r>
            <w:r>
              <w:rPr>
                <w:rFonts w:hint="default" w:ascii="Times New Roman" w:hAnsi="Times New Roman" w:eastAsia="宋体" w:cs="Times New Roman"/>
                <w:b w:val="0"/>
                <w:bCs w:val="0"/>
                <w:color w:val="auto"/>
                <w:sz w:val="24"/>
                <w:highlight w:val="none"/>
                <w:lang w:eastAsia="zh-CN"/>
              </w:rPr>
              <w:t>位于</w:t>
            </w:r>
            <w:r>
              <w:rPr>
                <w:rFonts w:hint="default" w:ascii="Times New Roman" w:hAnsi="Times New Roman" w:eastAsia="宋体" w:cs="Times New Roman"/>
                <w:b w:val="0"/>
                <w:bCs w:val="0"/>
                <w:color w:val="auto"/>
                <w:kern w:val="0"/>
                <w:sz w:val="24"/>
                <w:lang w:eastAsia="zh-CN"/>
              </w:rPr>
              <w:t>云南省德宏州芒市</w:t>
            </w:r>
            <w:r>
              <w:rPr>
                <w:rFonts w:hint="default" w:ascii="Times New Roman" w:hAnsi="Times New Roman" w:eastAsia="宋体" w:cs="Times New Roman"/>
                <w:b w:val="0"/>
                <w:bCs w:val="0"/>
                <w:color w:val="000000"/>
                <w:kern w:val="0"/>
                <w:sz w:val="24"/>
                <w:szCs w:val="24"/>
                <w:lang w:val="en-US" w:eastAsia="zh-CN"/>
              </w:rPr>
              <w:t>遮放农场晓阳社区居民委员会第七居民小组</w:t>
            </w:r>
            <w:r>
              <w:rPr>
                <w:rFonts w:hint="default" w:ascii="Times New Roman" w:hAnsi="Times New Roman" w:eastAsia="宋体" w:cs="Times New Roman"/>
                <w:b w:val="0"/>
                <w:bCs w:val="0"/>
                <w:color w:val="auto"/>
                <w:spacing w:val="6"/>
                <w:sz w:val="24"/>
                <w:highlight w:val="none"/>
              </w:rPr>
              <w:t>，</w:t>
            </w:r>
            <w:r>
              <w:rPr>
                <w:rFonts w:hint="default" w:ascii="Times New Roman" w:hAnsi="Times New Roman" w:eastAsia="宋体" w:cs="Times New Roman"/>
                <w:b w:val="0"/>
                <w:bCs w:val="0"/>
                <w:sz w:val="24"/>
                <w:lang w:val="zh-CN"/>
              </w:rPr>
              <w:t>根据《建设项目环境影响报告表编制技术指南（污染影响类）》（试行），确定本次大气环境评价范围主要为</w:t>
            </w:r>
            <w:r>
              <w:rPr>
                <w:rFonts w:hint="default" w:ascii="Times New Roman" w:hAnsi="Times New Roman" w:eastAsia="宋体" w:cs="Times New Roman"/>
                <w:b w:val="0"/>
                <w:bCs w:val="0"/>
                <w:color w:val="auto"/>
                <w:sz w:val="24"/>
                <w:lang w:val="zh-CN"/>
              </w:rPr>
              <w:t>项目周边</w:t>
            </w:r>
            <w:r>
              <w:rPr>
                <w:rFonts w:hint="default" w:ascii="Times New Roman" w:hAnsi="Times New Roman" w:eastAsia="宋体" w:cs="Times New Roman"/>
                <w:b w:val="0"/>
                <w:bCs w:val="0"/>
                <w:color w:val="auto"/>
                <w:sz w:val="24"/>
              </w:rPr>
              <w:t>500m</w:t>
            </w:r>
            <w:r>
              <w:rPr>
                <w:rFonts w:hint="default" w:ascii="Times New Roman" w:hAnsi="Times New Roman" w:eastAsia="宋体" w:cs="Times New Roman"/>
                <w:b w:val="0"/>
                <w:bCs w:val="0"/>
                <w:color w:val="auto"/>
                <w:sz w:val="24"/>
                <w:lang w:val="zh-CN"/>
              </w:rPr>
              <w:t>范围内的敏感点，</w:t>
            </w:r>
            <w:r>
              <w:rPr>
                <w:rFonts w:hint="default" w:ascii="Times New Roman" w:hAnsi="Times New Roman" w:eastAsia="宋体" w:cs="Times New Roman"/>
                <w:b w:val="0"/>
                <w:bCs w:val="0"/>
                <w:color w:val="auto"/>
                <w:sz w:val="24"/>
              </w:rPr>
              <w:t>声环境评价范围为</w:t>
            </w:r>
            <w:r>
              <w:rPr>
                <w:rFonts w:hint="default" w:ascii="Times New Roman" w:hAnsi="Times New Roman" w:eastAsia="宋体" w:cs="Times New Roman"/>
                <w:b w:val="0"/>
                <w:bCs w:val="0"/>
                <w:color w:val="auto"/>
                <w:sz w:val="24"/>
                <w:lang w:val="zh-CN"/>
              </w:rPr>
              <w:t>项目周边</w:t>
            </w:r>
            <w:r>
              <w:rPr>
                <w:rFonts w:hint="default" w:ascii="Times New Roman" w:hAnsi="Times New Roman" w:eastAsia="宋体" w:cs="Times New Roman"/>
                <w:b w:val="0"/>
                <w:bCs w:val="0"/>
                <w:color w:val="auto"/>
                <w:sz w:val="24"/>
              </w:rPr>
              <w:t>50m内的敏感点；本项目无地下水环境、声</w:t>
            </w:r>
            <w:r>
              <w:rPr>
                <w:rFonts w:hint="eastAsia" w:ascii="Times New Roman" w:hAnsi="Times New Roman" w:cs="Times New Roman"/>
                <w:b w:val="0"/>
                <w:bCs w:val="0"/>
                <w:color w:val="auto"/>
                <w:sz w:val="24"/>
                <w:lang w:eastAsia="zh-CN"/>
              </w:rPr>
              <w:t>环境保护</w:t>
            </w:r>
            <w:r>
              <w:rPr>
                <w:rFonts w:hint="default" w:ascii="Times New Roman" w:hAnsi="Times New Roman" w:eastAsia="宋体" w:cs="Times New Roman"/>
                <w:b w:val="0"/>
                <w:bCs w:val="0"/>
                <w:color w:val="auto"/>
                <w:sz w:val="24"/>
              </w:rPr>
              <w:t>目标</w:t>
            </w:r>
            <w:r>
              <w:rPr>
                <w:rFonts w:hint="eastAsia" w:ascii="Times New Roman" w:hAnsi="Times New Roman" w:cs="Times New Roman"/>
                <w:b w:val="0"/>
                <w:bCs w:val="0"/>
                <w:color w:val="auto"/>
                <w:sz w:val="24"/>
                <w:lang w:eastAsia="zh-CN"/>
              </w:rPr>
              <w:t>；</w:t>
            </w:r>
            <w:r>
              <w:rPr>
                <w:rFonts w:hint="eastAsia" w:ascii="Times New Roman" w:hAnsi="Times New Roman" w:cs="Times New Roman"/>
                <w:b w:val="0"/>
                <w:bCs w:val="0"/>
                <w:color w:val="auto"/>
                <w:sz w:val="24"/>
                <w:lang w:val="en-US" w:eastAsia="zh-CN"/>
              </w:rPr>
              <w:t>项目</w:t>
            </w:r>
            <w:r>
              <w:rPr>
                <w:rFonts w:hint="default" w:ascii="Times New Roman" w:hAnsi="Times New Roman" w:eastAsia="宋体" w:cs="Times New Roman"/>
                <w:b w:val="0"/>
                <w:bCs w:val="0"/>
                <w:color w:val="auto"/>
                <w:sz w:val="24"/>
                <w:lang w:eastAsia="zh-CN"/>
              </w:rPr>
              <w:t>周围居民已基本搬走，剩余散户居民两户，</w:t>
            </w:r>
            <w:r>
              <w:rPr>
                <w:rFonts w:hint="eastAsia" w:ascii="Times New Roman" w:hAnsi="Times New Roman" w:cs="Times New Roman"/>
                <w:b w:val="0"/>
                <w:bCs w:val="0"/>
                <w:color w:val="auto"/>
                <w:sz w:val="24"/>
                <w:lang w:val="en-US" w:eastAsia="zh-CN"/>
              </w:rPr>
              <w:t>位于厂区东侧和东南侧，2户散户均</w:t>
            </w:r>
            <w:r>
              <w:rPr>
                <w:rFonts w:hint="default" w:ascii="Times New Roman" w:hAnsi="Times New Roman" w:eastAsia="宋体" w:cs="Times New Roman"/>
                <w:b w:val="0"/>
                <w:bCs w:val="0"/>
                <w:color w:val="auto"/>
                <w:sz w:val="24"/>
                <w:lang w:eastAsia="zh-CN"/>
              </w:rPr>
              <w:t>已签署搬迁协议，</w:t>
            </w:r>
            <w:r>
              <w:rPr>
                <w:rFonts w:hint="eastAsia" w:ascii="Times New Roman" w:hAnsi="Times New Roman" w:cs="Times New Roman"/>
                <w:b w:val="0"/>
                <w:bCs w:val="0"/>
                <w:color w:val="auto"/>
                <w:sz w:val="24"/>
                <w:lang w:val="en-US" w:eastAsia="zh-CN"/>
              </w:rPr>
              <w:t>将搬迁至厂区南侧闲置民房搬迁</w:t>
            </w:r>
            <w:r>
              <w:rPr>
                <w:rFonts w:hint="default" w:ascii="Times New Roman" w:hAnsi="Times New Roman" w:eastAsia="宋体" w:cs="Times New Roman"/>
                <w:b w:val="0"/>
                <w:bCs w:val="0"/>
                <w:color w:val="auto"/>
                <w:sz w:val="24"/>
                <w:lang w:eastAsia="zh-CN"/>
              </w:rPr>
              <w:t>协议见附件</w:t>
            </w:r>
            <w:r>
              <w:rPr>
                <w:rFonts w:hint="eastAsia" w:ascii="Times New Roman" w:hAnsi="Times New Roman" w:cs="Times New Roman"/>
                <w:b w:val="0"/>
                <w:bCs w:val="0"/>
                <w:color w:val="auto"/>
                <w:sz w:val="24"/>
                <w:lang w:val="en-US" w:eastAsia="zh-CN"/>
              </w:rPr>
              <w:t>8；</w:t>
            </w:r>
            <w:r>
              <w:rPr>
                <w:rFonts w:hint="default" w:ascii="Times New Roman" w:hAnsi="Times New Roman" w:eastAsia="宋体" w:cs="Times New Roman"/>
                <w:b w:val="0"/>
                <w:bCs w:val="0"/>
                <w:color w:val="auto"/>
                <w:sz w:val="24"/>
              </w:rPr>
              <w:t>项目环境保护目标详见表3-</w:t>
            </w:r>
            <w:r>
              <w:rPr>
                <w:rFonts w:hint="default" w:ascii="Times New Roman" w:hAnsi="Times New Roman" w:eastAsia="宋体" w:cs="Times New Roman"/>
                <w:b w:val="0"/>
                <w:bCs w:val="0"/>
                <w:color w:val="auto"/>
                <w:sz w:val="24"/>
                <w:lang w:val="en-US" w:eastAsia="zh-CN"/>
              </w:rPr>
              <w:t>4。</w:t>
            </w:r>
          </w:p>
          <w:p w14:paraId="48EA82CA">
            <w:pPr>
              <w:spacing w:line="240" w:lineRule="auto"/>
              <w:ind w:firstLine="1446" w:firstLineChars="600"/>
              <w:jc w:val="both"/>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表3-</w:t>
            </w:r>
            <w:r>
              <w:rPr>
                <w:rFonts w:hint="eastAsia" w:ascii="宋体" w:hAnsi="宋体" w:cs="宋体"/>
                <w:b/>
                <w:color w:val="000000"/>
                <w:sz w:val="24"/>
                <w:szCs w:val="24"/>
                <w:highlight w:val="none"/>
                <w:lang w:val="en-US" w:eastAsia="zh-CN"/>
              </w:rPr>
              <w:t>4</w:t>
            </w:r>
            <w:r>
              <w:rPr>
                <w:rFonts w:hint="eastAsia" w:ascii="宋体" w:hAnsi="宋体" w:eastAsia="宋体" w:cs="宋体"/>
                <w:b/>
                <w:color w:val="000000"/>
                <w:sz w:val="24"/>
                <w:szCs w:val="24"/>
                <w:highlight w:val="none"/>
              </w:rPr>
              <w:t>项目附近主要环境保护目标一览表</w:t>
            </w:r>
          </w:p>
          <w:tbl>
            <w:tblPr>
              <w:tblStyle w:val="23"/>
              <w:tblW w:w="7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163"/>
              <w:gridCol w:w="1073"/>
              <w:gridCol w:w="1106"/>
              <w:gridCol w:w="865"/>
              <w:gridCol w:w="713"/>
              <w:gridCol w:w="997"/>
              <w:gridCol w:w="1072"/>
            </w:tblGrid>
            <w:tr w14:paraId="1AC2A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3" w:type="pct"/>
                  <w:vMerge w:val="restart"/>
                  <w:noWrap w:val="0"/>
                  <w:vAlign w:val="center"/>
                </w:tcPr>
                <w:p w14:paraId="3C6123AC">
                  <w:pPr>
                    <w:pStyle w:val="12"/>
                    <w:spacing w:line="240" w:lineRule="auto"/>
                    <w:jc w:val="center"/>
                    <w:rPr>
                      <w:rFonts w:ascii="Times New Roman" w:hAnsi="Times New Roman"/>
                      <w:b/>
                      <w:bCs/>
                      <w:color w:val="auto"/>
                      <w:sz w:val="21"/>
                      <w:szCs w:val="21"/>
                    </w:rPr>
                  </w:pPr>
                  <w:r>
                    <w:rPr>
                      <w:rFonts w:ascii="Times New Roman" w:hAnsi="Times New Roman"/>
                      <w:b/>
                      <w:bCs/>
                      <w:color w:val="auto"/>
                      <w:sz w:val="21"/>
                      <w:szCs w:val="21"/>
                    </w:rPr>
                    <w:t>环境要素</w:t>
                  </w:r>
                </w:p>
              </w:tc>
              <w:tc>
                <w:tcPr>
                  <w:tcW w:w="1419" w:type="pct"/>
                  <w:gridSpan w:val="2"/>
                  <w:noWrap w:val="0"/>
                  <w:vAlign w:val="center"/>
                </w:tcPr>
                <w:p w14:paraId="794F086B">
                  <w:pPr>
                    <w:pStyle w:val="12"/>
                    <w:spacing w:line="240" w:lineRule="auto"/>
                    <w:jc w:val="center"/>
                    <w:rPr>
                      <w:rFonts w:ascii="Times New Roman" w:hAnsi="Times New Roman"/>
                      <w:b/>
                      <w:bCs/>
                      <w:color w:val="auto"/>
                      <w:sz w:val="21"/>
                      <w:szCs w:val="21"/>
                    </w:rPr>
                  </w:pPr>
                  <w:r>
                    <w:rPr>
                      <w:rFonts w:ascii="Times New Roman" w:hAnsi="Times New Roman"/>
                      <w:b/>
                      <w:bCs/>
                      <w:color w:val="auto"/>
                      <w:sz w:val="21"/>
                      <w:szCs w:val="21"/>
                    </w:rPr>
                    <w:t>坐标（</w:t>
                  </w:r>
                  <w:r>
                    <w:rPr>
                      <w:rFonts w:ascii="Times New Roman" w:hAnsi="Times New Roman"/>
                      <w:color w:val="auto"/>
                      <w:sz w:val="21"/>
                      <w:szCs w:val="21"/>
                    </w:rPr>
                    <w:t>°</w:t>
                  </w:r>
                  <w:r>
                    <w:rPr>
                      <w:rFonts w:ascii="Times New Roman" w:hAnsi="Times New Roman"/>
                      <w:b/>
                      <w:bCs/>
                      <w:color w:val="auto"/>
                      <w:sz w:val="21"/>
                      <w:szCs w:val="21"/>
                    </w:rPr>
                    <w:t>）</w:t>
                  </w:r>
                </w:p>
              </w:tc>
              <w:tc>
                <w:tcPr>
                  <w:tcW w:w="702" w:type="pct"/>
                  <w:vMerge w:val="restart"/>
                  <w:noWrap w:val="0"/>
                  <w:vAlign w:val="center"/>
                </w:tcPr>
                <w:p w14:paraId="4870A209">
                  <w:pPr>
                    <w:pStyle w:val="12"/>
                    <w:spacing w:line="240" w:lineRule="auto"/>
                    <w:jc w:val="center"/>
                    <w:rPr>
                      <w:rFonts w:ascii="Times New Roman" w:hAnsi="Times New Roman"/>
                      <w:b/>
                      <w:bCs/>
                      <w:color w:val="auto"/>
                      <w:sz w:val="21"/>
                      <w:szCs w:val="21"/>
                    </w:rPr>
                  </w:pPr>
                  <w:r>
                    <w:rPr>
                      <w:rFonts w:ascii="Times New Roman" w:hAnsi="Times New Roman"/>
                      <w:b/>
                      <w:bCs/>
                      <w:color w:val="auto"/>
                      <w:sz w:val="21"/>
                      <w:szCs w:val="21"/>
                    </w:rPr>
                    <w:t>保护对象</w:t>
                  </w:r>
                </w:p>
              </w:tc>
              <w:tc>
                <w:tcPr>
                  <w:tcW w:w="549" w:type="pct"/>
                  <w:vMerge w:val="restart"/>
                  <w:noWrap w:val="0"/>
                  <w:vAlign w:val="center"/>
                </w:tcPr>
                <w:p w14:paraId="23F3C7FD">
                  <w:pPr>
                    <w:pStyle w:val="12"/>
                    <w:spacing w:line="240" w:lineRule="auto"/>
                    <w:jc w:val="center"/>
                    <w:rPr>
                      <w:rFonts w:ascii="Times New Roman" w:hAnsi="Times New Roman"/>
                      <w:b/>
                      <w:bCs/>
                      <w:color w:val="auto"/>
                      <w:sz w:val="21"/>
                      <w:szCs w:val="21"/>
                    </w:rPr>
                  </w:pPr>
                  <w:r>
                    <w:rPr>
                      <w:rFonts w:ascii="Times New Roman" w:hAnsi="Times New Roman"/>
                      <w:b/>
                      <w:bCs/>
                      <w:color w:val="auto"/>
                      <w:sz w:val="21"/>
                      <w:szCs w:val="21"/>
                    </w:rPr>
                    <w:t>保护内容</w:t>
                  </w:r>
                </w:p>
              </w:tc>
              <w:tc>
                <w:tcPr>
                  <w:tcW w:w="452" w:type="pct"/>
                  <w:vMerge w:val="restart"/>
                  <w:noWrap w:val="0"/>
                  <w:vAlign w:val="center"/>
                </w:tcPr>
                <w:p w14:paraId="595A376B">
                  <w:pPr>
                    <w:pStyle w:val="12"/>
                    <w:spacing w:line="240" w:lineRule="auto"/>
                    <w:jc w:val="center"/>
                    <w:rPr>
                      <w:rFonts w:ascii="Times New Roman" w:hAnsi="Times New Roman"/>
                      <w:b/>
                      <w:bCs/>
                      <w:color w:val="auto"/>
                      <w:sz w:val="21"/>
                      <w:szCs w:val="21"/>
                    </w:rPr>
                  </w:pPr>
                  <w:r>
                    <w:rPr>
                      <w:rFonts w:ascii="Times New Roman" w:hAnsi="Times New Roman"/>
                      <w:b/>
                      <w:bCs/>
                      <w:color w:val="auto"/>
                      <w:sz w:val="21"/>
                      <w:szCs w:val="21"/>
                    </w:rPr>
                    <w:t>环境功能区</w:t>
                  </w:r>
                </w:p>
              </w:tc>
              <w:tc>
                <w:tcPr>
                  <w:tcW w:w="632" w:type="pct"/>
                  <w:vMerge w:val="restart"/>
                  <w:noWrap w:val="0"/>
                  <w:vAlign w:val="center"/>
                </w:tcPr>
                <w:p w14:paraId="71569721">
                  <w:pPr>
                    <w:pStyle w:val="12"/>
                    <w:spacing w:line="240" w:lineRule="auto"/>
                    <w:jc w:val="center"/>
                    <w:rPr>
                      <w:rFonts w:ascii="Times New Roman" w:hAnsi="Times New Roman"/>
                      <w:b/>
                      <w:bCs/>
                      <w:color w:val="auto"/>
                      <w:sz w:val="21"/>
                      <w:szCs w:val="21"/>
                    </w:rPr>
                  </w:pPr>
                  <w:r>
                    <w:rPr>
                      <w:rFonts w:ascii="Times New Roman" w:hAnsi="Times New Roman"/>
                      <w:b/>
                      <w:bCs/>
                      <w:color w:val="auto"/>
                      <w:sz w:val="21"/>
                      <w:szCs w:val="21"/>
                    </w:rPr>
                    <w:t>相对厂址方位</w:t>
                  </w:r>
                </w:p>
              </w:tc>
              <w:tc>
                <w:tcPr>
                  <w:tcW w:w="680" w:type="pct"/>
                  <w:vMerge w:val="restart"/>
                  <w:noWrap w:val="0"/>
                  <w:vAlign w:val="center"/>
                </w:tcPr>
                <w:p w14:paraId="1033182A">
                  <w:pPr>
                    <w:pStyle w:val="12"/>
                    <w:spacing w:line="240" w:lineRule="auto"/>
                    <w:jc w:val="center"/>
                    <w:rPr>
                      <w:rFonts w:ascii="Times New Roman" w:hAnsi="Times New Roman"/>
                      <w:b/>
                      <w:bCs/>
                      <w:color w:val="auto"/>
                      <w:sz w:val="21"/>
                      <w:szCs w:val="21"/>
                    </w:rPr>
                  </w:pPr>
                  <w:r>
                    <w:rPr>
                      <w:rFonts w:ascii="Times New Roman" w:hAnsi="Times New Roman"/>
                      <w:b/>
                      <w:bCs/>
                      <w:color w:val="auto"/>
                      <w:sz w:val="21"/>
                      <w:szCs w:val="21"/>
                    </w:rPr>
                    <w:t>相对厂界距离（m）</w:t>
                  </w:r>
                </w:p>
              </w:tc>
            </w:tr>
            <w:tr w14:paraId="44AB6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3" w:type="pct"/>
                  <w:vMerge w:val="continue"/>
                  <w:noWrap w:val="0"/>
                  <w:vAlign w:val="center"/>
                </w:tcPr>
                <w:p w14:paraId="08104CAF">
                  <w:pPr>
                    <w:pStyle w:val="12"/>
                    <w:spacing w:line="240" w:lineRule="auto"/>
                    <w:jc w:val="center"/>
                    <w:rPr>
                      <w:rFonts w:ascii="Times New Roman" w:hAnsi="Times New Roman"/>
                      <w:b/>
                      <w:bCs/>
                      <w:color w:val="auto"/>
                      <w:sz w:val="21"/>
                      <w:szCs w:val="21"/>
                    </w:rPr>
                  </w:pPr>
                </w:p>
              </w:tc>
              <w:tc>
                <w:tcPr>
                  <w:tcW w:w="738" w:type="pct"/>
                  <w:noWrap w:val="0"/>
                  <w:vAlign w:val="center"/>
                </w:tcPr>
                <w:p w14:paraId="56FADF48">
                  <w:pPr>
                    <w:pStyle w:val="12"/>
                    <w:spacing w:line="240" w:lineRule="auto"/>
                    <w:jc w:val="center"/>
                    <w:rPr>
                      <w:rFonts w:ascii="Times New Roman" w:hAnsi="Times New Roman"/>
                      <w:b/>
                      <w:bCs/>
                      <w:color w:val="auto"/>
                      <w:sz w:val="21"/>
                      <w:szCs w:val="21"/>
                    </w:rPr>
                  </w:pPr>
                  <w:r>
                    <w:rPr>
                      <w:rFonts w:ascii="Times New Roman" w:hAnsi="Times New Roman"/>
                      <w:b/>
                      <w:bCs/>
                      <w:color w:val="auto"/>
                      <w:sz w:val="21"/>
                      <w:szCs w:val="21"/>
                    </w:rPr>
                    <w:t>E</w:t>
                  </w:r>
                </w:p>
              </w:tc>
              <w:tc>
                <w:tcPr>
                  <w:tcW w:w="681" w:type="pct"/>
                  <w:noWrap w:val="0"/>
                  <w:vAlign w:val="center"/>
                </w:tcPr>
                <w:p w14:paraId="7555C4EC">
                  <w:pPr>
                    <w:pStyle w:val="12"/>
                    <w:spacing w:line="240" w:lineRule="auto"/>
                    <w:jc w:val="center"/>
                    <w:rPr>
                      <w:rFonts w:ascii="Times New Roman" w:hAnsi="Times New Roman"/>
                      <w:b/>
                      <w:bCs/>
                      <w:color w:val="auto"/>
                      <w:sz w:val="21"/>
                      <w:szCs w:val="21"/>
                    </w:rPr>
                  </w:pPr>
                  <w:r>
                    <w:rPr>
                      <w:rFonts w:ascii="Times New Roman" w:hAnsi="Times New Roman"/>
                      <w:b/>
                      <w:bCs/>
                      <w:color w:val="auto"/>
                      <w:sz w:val="21"/>
                      <w:szCs w:val="21"/>
                    </w:rPr>
                    <w:t>N</w:t>
                  </w:r>
                </w:p>
              </w:tc>
              <w:tc>
                <w:tcPr>
                  <w:tcW w:w="702" w:type="pct"/>
                  <w:vMerge w:val="continue"/>
                  <w:noWrap w:val="0"/>
                  <w:vAlign w:val="center"/>
                </w:tcPr>
                <w:p w14:paraId="7BC1D33E">
                  <w:pPr>
                    <w:pStyle w:val="12"/>
                    <w:spacing w:line="240" w:lineRule="auto"/>
                    <w:jc w:val="center"/>
                    <w:rPr>
                      <w:rFonts w:ascii="Times New Roman" w:hAnsi="Times New Roman"/>
                      <w:b/>
                      <w:bCs/>
                      <w:color w:val="auto"/>
                      <w:sz w:val="21"/>
                      <w:szCs w:val="21"/>
                    </w:rPr>
                  </w:pPr>
                </w:p>
              </w:tc>
              <w:tc>
                <w:tcPr>
                  <w:tcW w:w="549" w:type="pct"/>
                  <w:vMerge w:val="continue"/>
                  <w:noWrap w:val="0"/>
                  <w:vAlign w:val="center"/>
                </w:tcPr>
                <w:p w14:paraId="04839266">
                  <w:pPr>
                    <w:pStyle w:val="12"/>
                    <w:spacing w:line="240" w:lineRule="auto"/>
                    <w:jc w:val="center"/>
                    <w:rPr>
                      <w:rFonts w:ascii="Times New Roman" w:hAnsi="Times New Roman"/>
                      <w:b/>
                      <w:bCs/>
                      <w:color w:val="auto"/>
                      <w:sz w:val="21"/>
                      <w:szCs w:val="21"/>
                    </w:rPr>
                  </w:pPr>
                </w:p>
              </w:tc>
              <w:tc>
                <w:tcPr>
                  <w:tcW w:w="452" w:type="pct"/>
                  <w:vMerge w:val="continue"/>
                  <w:noWrap w:val="0"/>
                  <w:vAlign w:val="center"/>
                </w:tcPr>
                <w:p w14:paraId="3F8E85B8">
                  <w:pPr>
                    <w:pStyle w:val="12"/>
                    <w:spacing w:line="240" w:lineRule="auto"/>
                    <w:jc w:val="center"/>
                    <w:rPr>
                      <w:rFonts w:ascii="Times New Roman" w:hAnsi="Times New Roman"/>
                      <w:b/>
                      <w:bCs/>
                      <w:color w:val="auto"/>
                      <w:sz w:val="21"/>
                      <w:szCs w:val="21"/>
                    </w:rPr>
                  </w:pPr>
                </w:p>
              </w:tc>
              <w:tc>
                <w:tcPr>
                  <w:tcW w:w="632" w:type="pct"/>
                  <w:vMerge w:val="continue"/>
                  <w:noWrap w:val="0"/>
                  <w:vAlign w:val="center"/>
                </w:tcPr>
                <w:p w14:paraId="6DED4E5C">
                  <w:pPr>
                    <w:pStyle w:val="12"/>
                    <w:spacing w:line="240" w:lineRule="auto"/>
                    <w:jc w:val="center"/>
                    <w:rPr>
                      <w:rFonts w:ascii="Times New Roman" w:hAnsi="Times New Roman"/>
                      <w:b/>
                      <w:bCs/>
                      <w:color w:val="auto"/>
                      <w:sz w:val="21"/>
                      <w:szCs w:val="21"/>
                    </w:rPr>
                  </w:pPr>
                </w:p>
              </w:tc>
              <w:tc>
                <w:tcPr>
                  <w:tcW w:w="680" w:type="pct"/>
                  <w:vMerge w:val="continue"/>
                  <w:noWrap w:val="0"/>
                  <w:vAlign w:val="center"/>
                </w:tcPr>
                <w:p w14:paraId="7FD9FFA3">
                  <w:pPr>
                    <w:pStyle w:val="12"/>
                    <w:spacing w:line="240" w:lineRule="auto"/>
                    <w:jc w:val="center"/>
                    <w:rPr>
                      <w:rFonts w:ascii="Times New Roman" w:hAnsi="Times New Roman"/>
                      <w:b/>
                      <w:bCs/>
                      <w:color w:val="auto"/>
                      <w:sz w:val="21"/>
                      <w:szCs w:val="21"/>
                    </w:rPr>
                  </w:pPr>
                </w:p>
              </w:tc>
            </w:tr>
            <w:tr w14:paraId="6DCAC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563" w:type="pct"/>
                  <w:vMerge w:val="restart"/>
                  <w:noWrap w:val="0"/>
                  <w:vAlign w:val="center"/>
                </w:tcPr>
                <w:p w14:paraId="1F423032">
                  <w:pPr>
                    <w:pStyle w:val="12"/>
                    <w:spacing w:line="240" w:lineRule="auto"/>
                    <w:jc w:val="center"/>
                    <w:rPr>
                      <w:rFonts w:ascii="Times New Roman" w:hAnsi="Times New Roman"/>
                      <w:color w:val="auto"/>
                      <w:sz w:val="21"/>
                      <w:szCs w:val="21"/>
                    </w:rPr>
                  </w:pPr>
                  <w:r>
                    <w:rPr>
                      <w:rFonts w:ascii="Times New Roman" w:hAnsi="Times New Roman"/>
                      <w:color w:val="auto"/>
                      <w:sz w:val="21"/>
                      <w:szCs w:val="21"/>
                    </w:rPr>
                    <w:t>大气环境</w:t>
                  </w:r>
                </w:p>
                <w:p w14:paraId="688FE04C">
                  <w:pPr>
                    <w:pStyle w:val="12"/>
                    <w:spacing w:line="240" w:lineRule="auto"/>
                    <w:jc w:val="center"/>
                    <w:rPr>
                      <w:rFonts w:ascii="Times New Roman" w:hAnsi="Times New Roman"/>
                      <w:color w:val="auto"/>
                      <w:sz w:val="21"/>
                      <w:szCs w:val="21"/>
                    </w:rPr>
                  </w:pPr>
                </w:p>
              </w:tc>
              <w:tc>
                <w:tcPr>
                  <w:tcW w:w="738" w:type="pct"/>
                  <w:noWrap w:val="0"/>
                  <w:vAlign w:val="center"/>
                </w:tcPr>
                <w:p w14:paraId="457B6E8A">
                  <w:pPr>
                    <w:jc w:val="center"/>
                    <w:rPr>
                      <w:rFonts w:ascii="Times New Roman" w:hAnsi="Times New Roman"/>
                      <w:color w:val="auto"/>
                      <w:sz w:val="21"/>
                      <w:szCs w:val="21"/>
                    </w:rPr>
                  </w:pPr>
                  <w:r>
                    <w:rPr>
                      <w:rFonts w:hint="eastAsia" w:ascii="Times New Roman" w:hAnsi="Times New Roman"/>
                      <w:color w:val="auto"/>
                      <w:sz w:val="21"/>
                      <w:szCs w:val="21"/>
                    </w:rPr>
                    <w:t>98°10′52.888″</w:t>
                  </w:r>
                </w:p>
              </w:tc>
              <w:tc>
                <w:tcPr>
                  <w:tcW w:w="681" w:type="pct"/>
                  <w:noWrap w:val="0"/>
                  <w:vAlign w:val="center"/>
                </w:tcPr>
                <w:p w14:paraId="25A361D9">
                  <w:pPr>
                    <w:jc w:val="center"/>
                    <w:rPr>
                      <w:rFonts w:ascii="Times New Roman" w:hAnsi="Times New Roman"/>
                      <w:color w:val="auto"/>
                      <w:sz w:val="21"/>
                      <w:szCs w:val="21"/>
                    </w:rPr>
                  </w:pPr>
                  <w:r>
                    <w:rPr>
                      <w:rFonts w:hint="eastAsia" w:ascii="Times New Roman" w:hAnsi="Times New Roman"/>
                      <w:color w:val="auto"/>
                      <w:sz w:val="21"/>
                      <w:szCs w:val="21"/>
                    </w:rPr>
                    <w:t>24°14′12.928″</w:t>
                  </w:r>
                </w:p>
              </w:tc>
              <w:tc>
                <w:tcPr>
                  <w:tcW w:w="702" w:type="pct"/>
                  <w:noWrap w:val="0"/>
                  <w:vAlign w:val="center"/>
                </w:tcPr>
                <w:p w14:paraId="2424F4D0">
                  <w:pPr>
                    <w:pStyle w:val="44"/>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散户1</w:t>
                  </w:r>
                </w:p>
              </w:tc>
              <w:tc>
                <w:tcPr>
                  <w:tcW w:w="549" w:type="pct"/>
                  <w:noWrap w:val="0"/>
                  <w:vAlign w:val="center"/>
                </w:tcPr>
                <w:p w14:paraId="5E63A336">
                  <w:pPr>
                    <w:jc w:val="center"/>
                    <w:rPr>
                      <w:rFonts w:hint="default" w:eastAsia="宋体"/>
                      <w:color w:val="auto"/>
                      <w:szCs w:val="21"/>
                      <w:lang w:val="en-US" w:eastAsia="zh-CN"/>
                    </w:rPr>
                  </w:pPr>
                  <w:r>
                    <w:rPr>
                      <w:rFonts w:hint="eastAsia"/>
                      <w:color w:val="auto"/>
                      <w:szCs w:val="21"/>
                      <w:lang w:val="en-US" w:eastAsia="zh-CN"/>
                    </w:rPr>
                    <w:t>1人</w:t>
                  </w:r>
                </w:p>
              </w:tc>
              <w:tc>
                <w:tcPr>
                  <w:tcW w:w="452" w:type="pct"/>
                  <w:vMerge w:val="restart"/>
                  <w:noWrap w:val="0"/>
                  <w:vAlign w:val="center"/>
                </w:tcPr>
                <w:p w14:paraId="75337909">
                  <w:pPr>
                    <w:pStyle w:val="12"/>
                    <w:spacing w:line="240" w:lineRule="auto"/>
                    <w:jc w:val="center"/>
                    <w:rPr>
                      <w:rFonts w:ascii="Times New Roman" w:hAnsi="Times New Roman"/>
                      <w:color w:val="auto"/>
                      <w:sz w:val="21"/>
                      <w:szCs w:val="21"/>
                    </w:rPr>
                  </w:pPr>
                  <w:r>
                    <w:rPr>
                      <w:rFonts w:ascii="Times New Roman" w:hAnsi="Times New Roman"/>
                      <w:color w:val="auto"/>
                      <w:sz w:val="21"/>
                      <w:szCs w:val="21"/>
                    </w:rPr>
                    <w:t>二</w:t>
                  </w:r>
                </w:p>
                <w:p w14:paraId="63DCE770">
                  <w:pPr>
                    <w:pStyle w:val="12"/>
                    <w:spacing w:line="240" w:lineRule="auto"/>
                    <w:jc w:val="center"/>
                    <w:rPr>
                      <w:rFonts w:ascii="Times New Roman" w:hAnsi="Times New Roman"/>
                      <w:color w:val="auto"/>
                      <w:sz w:val="21"/>
                      <w:szCs w:val="21"/>
                    </w:rPr>
                  </w:pPr>
                  <w:r>
                    <w:rPr>
                      <w:rFonts w:ascii="Times New Roman" w:hAnsi="Times New Roman"/>
                      <w:color w:val="auto"/>
                      <w:sz w:val="21"/>
                      <w:szCs w:val="21"/>
                    </w:rPr>
                    <w:t>类</w:t>
                  </w:r>
                </w:p>
                <w:p w14:paraId="41C7FCEC">
                  <w:pPr>
                    <w:pStyle w:val="12"/>
                    <w:spacing w:line="240" w:lineRule="auto"/>
                    <w:jc w:val="center"/>
                    <w:rPr>
                      <w:rFonts w:ascii="Times New Roman" w:hAnsi="Times New Roman"/>
                      <w:color w:val="auto"/>
                      <w:sz w:val="21"/>
                      <w:szCs w:val="21"/>
                    </w:rPr>
                  </w:pPr>
                  <w:r>
                    <w:rPr>
                      <w:rFonts w:ascii="Times New Roman" w:hAnsi="Times New Roman"/>
                      <w:color w:val="auto"/>
                      <w:sz w:val="21"/>
                      <w:szCs w:val="21"/>
                    </w:rPr>
                    <w:t>区</w:t>
                  </w:r>
                </w:p>
              </w:tc>
              <w:tc>
                <w:tcPr>
                  <w:tcW w:w="632" w:type="pct"/>
                  <w:noWrap w:val="0"/>
                  <w:vAlign w:val="center"/>
                </w:tcPr>
                <w:p w14:paraId="5E5B6570">
                  <w:pPr>
                    <w:pStyle w:val="44"/>
                    <w:jc w:val="center"/>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E</w:t>
                  </w:r>
                </w:p>
              </w:tc>
              <w:tc>
                <w:tcPr>
                  <w:tcW w:w="680" w:type="pct"/>
                  <w:noWrap w:val="0"/>
                  <w:vAlign w:val="center"/>
                </w:tcPr>
                <w:p w14:paraId="676458A6">
                  <w:pPr>
                    <w:pStyle w:val="44"/>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10</w:t>
                  </w:r>
                </w:p>
              </w:tc>
            </w:tr>
            <w:tr w14:paraId="6823F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563" w:type="pct"/>
                  <w:vMerge w:val="continue"/>
                  <w:noWrap w:val="0"/>
                  <w:vAlign w:val="center"/>
                </w:tcPr>
                <w:p w14:paraId="7C1E4A4F">
                  <w:pPr>
                    <w:pStyle w:val="12"/>
                    <w:spacing w:line="240" w:lineRule="auto"/>
                    <w:jc w:val="center"/>
                    <w:rPr>
                      <w:rFonts w:ascii="Times New Roman" w:hAnsi="Times New Roman"/>
                      <w:color w:val="auto"/>
                      <w:sz w:val="21"/>
                      <w:szCs w:val="21"/>
                    </w:rPr>
                  </w:pPr>
                </w:p>
              </w:tc>
              <w:tc>
                <w:tcPr>
                  <w:tcW w:w="738" w:type="pct"/>
                  <w:noWrap w:val="0"/>
                  <w:vAlign w:val="center"/>
                </w:tcPr>
                <w:p w14:paraId="5C76A1F3">
                  <w:pPr>
                    <w:jc w:val="center"/>
                    <w:rPr>
                      <w:rFonts w:ascii="Times New Roman" w:hAnsi="Times New Roman"/>
                      <w:color w:val="auto"/>
                      <w:sz w:val="21"/>
                      <w:szCs w:val="21"/>
                    </w:rPr>
                  </w:pPr>
                  <w:r>
                    <w:rPr>
                      <w:rFonts w:hint="eastAsia" w:ascii="Times New Roman" w:hAnsi="Times New Roman"/>
                      <w:color w:val="auto"/>
                      <w:sz w:val="21"/>
                      <w:szCs w:val="21"/>
                    </w:rPr>
                    <w:t>98°10′54.201″</w:t>
                  </w:r>
                </w:p>
              </w:tc>
              <w:tc>
                <w:tcPr>
                  <w:tcW w:w="681" w:type="pct"/>
                  <w:noWrap w:val="0"/>
                  <w:vAlign w:val="center"/>
                </w:tcPr>
                <w:p w14:paraId="3B0F821D">
                  <w:pPr>
                    <w:jc w:val="center"/>
                    <w:rPr>
                      <w:rFonts w:ascii="Times New Roman" w:hAnsi="Times New Roman"/>
                      <w:color w:val="auto"/>
                      <w:sz w:val="21"/>
                      <w:szCs w:val="21"/>
                    </w:rPr>
                  </w:pPr>
                  <w:r>
                    <w:rPr>
                      <w:rFonts w:hint="eastAsia" w:ascii="Times New Roman" w:hAnsi="Times New Roman"/>
                      <w:color w:val="auto"/>
                      <w:sz w:val="21"/>
                      <w:szCs w:val="21"/>
                    </w:rPr>
                    <w:t>24°14′13.420″</w:t>
                  </w:r>
                </w:p>
              </w:tc>
              <w:tc>
                <w:tcPr>
                  <w:tcW w:w="702" w:type="pct"/>
                  <w:noWrap w:val="0"/>
                  <w:vAlign w:val="center"/>
                </w:tcPr>
                <w:p w14:paraId="760F6726">
                  <w:pPr>
                    <w:pStyle w:val="44"/>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散户2</w:t>
                  </w:r>
                </w:p>
              </w:tc>
              <w:tc>
                <w:tcPr>
                  <w:tcW w:w="549" w:type="pct"/>
                  <w:noWrap w:val="0"/>
                  <w:vAlign w:val="center"/>
                </w:tcPr>
                <w:p w14:paraId="1E623083">
                  <w:pPr>
                    <w:jc w:val="center"/>
                    <w:rPr>
                      <w:rFonts w:hint="default" w:eastAsia="宋体"/>
                      <w:color w:val="auto"/>
                      <w:szCs w:val="21"/>
                      <w:lang w:val="en-US" w:eastAsia="zh-CN"/>
                    </w:rPr>
                  </w:pPr>
                  <w:r>
                    <w:rPr>
                      <w:rFonts w:hint="eastAsia"/>
                      <w:color w:val="auto"/>
                      <w:szCs w:val="21"/>
                      <w:lang w:val="en-US" w:eastAsia="zh-CN"/>
                    </w:rPr>
                    <w:t>1人</w:t>
                  </w:r>
                </w:p>
              </w:tc>
              <w:tc>
                <w:tcPr>
                  <w:tcW w:w="452" w:type="pct"/>
                  <w:vMerge w:val="continue"/>
                  <w:noWrap w:val="0"/>
                  <w:vAlign w:val="center"/>
                </w:tcPr>
                <w:p w14:paraId="1EB41BD1">
                  <w:pPr>
                    <w:pStyle w:val="12"/>
                    <w:spacing w:line="240" w:lineRule="auto"/>
                    <w:jc w:val="center"/>
                    <w:rPr>
                      <w:rFonts w:ascii="Times New Roman" w:hAnsi="Times New Roman"/>
                      <w:color w:val="auto"/>
                      <w:sz w:val="21"/>
                      <w:szCs w:val="21"/>
                    </w:rPr>
                  </w:pPr>
                </w:p>
              </w:tc>
              <w:tc>
                <w:tcPr>
                  <w:tcW w:w="632" w:type="pct"/>
                  <w:noWrap w:val="0"/>
                  <w:vAlign w:val="center"/>
                </w:tcPr>
                <w:p w14:paraId="781A98E3">
                  <w:pPr>
                    <w:pStyle w:val="44"/>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SE</w:t>
                  </w:r>
                </w:p>
              </w:tc>
              <w:tc>
                <w:tcPr>
                  <w:tcW w:w="680" w:type="pct"/>
                  <w:noWrap w:val="0"/>
                  <w:vAlign w:val="center"/>
                </w:tcPr>
                <w:p w14:paraId="4E2C3134">
                  <w:pPr>
                    <w:pStyle w:val="44"/>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10</w:t>
                  </w:r>
                </w:p>
              </w:tc>
            </w:tr>
            <w:tr w14:paraId="104A0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63" w:type="pct"/>
                  <w:vMerge w:val="restart"/>
                  <w:noWrap w:val="0"/>
                  <w:vAlign w:val="center"/>
                </w:tcPr>
                <w:p w14:paraId="39AEE2C5">
                  <w:pPr>
                    <w:pStyle w:val="12"/>
                    <w:spacing w:line="240" w:lineRule="auto"/>
                    <w:jc w:val="center"/>
                    <w:rPr>
                      <w:rFonts w:ascii="Times New Roman" w:hAnsi="Times New Roman"/>
                      <w:color w:val="auto"/>
                      <w:sz w:val="21"/>
                      <w:szCs w:val="21"/>
                    </w:rPr>
                  </w:pPr>
                  <w:r>
                    <w:rPr>
                      <w:rFonts w:ascii="Times New Roman" w:hAnsi="Times New Roman"/>
                      <w:color w:val="auto"/>
                      <w:sz w:val="21"/>
                      <w:szCs w:val="21"/>
                    </w:rPr>
                    <w:t>地表水</w:t>
                  </w:r>
                </w:p>
              </w:tc>
              <w:tc>
                <w:tcPr>
                  <w:tcW w:w="738" w:type="pct"/>
                  <w:noWrap w:val="0"/>
                  <w:vAlign w:val="center"/>
                </w:tcPr>
                <w:p w14:paraId="3BDF792B">
                  <w:pPr>
                    <w:pStyle w:val="12"/>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w:t>
                  </w:r>
                </w:p>
              </w:tc>
              <w:tc>
                <w:tcPr>
                  <w:tcW w:w="681" w:type="pct"/>
                  <w:noWrap w:val="0"/>
                  <w:vAlign w:val="center"/>
                </w:tcPr>
                <w:p w14:paraId="3FE7B1C2">
                  <w:pPr>
                    <w:pStyle w:val="12"/>
                    <w:spacing w:line="240" w:lineRule="auto"/>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w:t>
                  </w:r>
                </w:p>
              </w:tc>
              <w:tc>
                <w:tcPr>
                  <w:tcW w:w="702" w:type="pct"/>
                  <w:noWrap w:val="0"/>
                  <w:vAlign w:val="center"/>
                </w:tcPr>
                <w:p w14:paraId="6CA5262E">
                  <w:pPr>
                    <w:pStyle w:val="44"/>
                    <w:jc w:val="center"/>
                    <w:rPr>
                      <w:rFonts w:hint="eastAsia" w:ascii="Times New Roman" w:hAnsi="Times New Roman" w:eastAsia="宋体"/>
                      <w:color w:val="auto"/>
                      <w:szCs w:val="21"/>
                      <w:lang w:eastAsia="zh-CN"/>
                    </w:rPr>
                  </w:pPr>
                  <w:r>
                    <w:rPr>
                      <w:rFonts w:hint="eastAsia" w:ascii="Times New Roman" w:hAnsi="Times New Roman"/>
                      <w:color w:val="auto"/>
                      <w:szCs w:val="21"/>
                      <w:lang w:eastAsia="zh-CN"/>
                    </w:rPr>
                    <w:t>芒市大河</w:t>
                  </w:r>
                </w:p>
              </w:tc>
              <w:tc>
                <w:tcPr>
                  <w:tcW w:w="549" w:type="pct"/>
                  <w:noWrap w:val="0"/>
                  <w:vAlign w:val="center"/>
                </w:tcPr>
                <w:p w14:paraId="071D8287">
                  <w:pPr>
                    <w:jc w:val="center"/>
                    <w:rPr>
                      <w:rFonts w:hint="eastAsia" w:eastAsia="宋体"/>
                      <w:color w:val="auto"/>
                      <w:szCs w:val="21"/>
                      <w:lang w:val="en-US" w:eastAsia="zh-CN"/>
                    </w:rPr>
                  </w:pPr>
                  <w:r>
                    <w:rPr>
                      <w:rFonts w:hint="eastAsia"/>
                      <w:color w:val="auto"/>
                      <w:szCs w:val="21"/>
                      <w:lang w:val="en-US" w:eastAsia="zh-CN"/>
                    </w:rPr>
                    <w:t>/</w:t>
                  </w:r>
                </w:p>
              </w:tc>
              <w:tc>
                <w:tcPr>
                  <w:tcW w:w="452" w:type="pct"/>
                  <w:noWrap w:val="0"/>
                  <w:vAlign w:val="center"/>
                </w:tcPr>
                <w:p w14:paraId="5486BEEE">
                  <w:pPr>
                    <w:pStyle w:val="12"/>
                    <w:spacing w:line="240" w:lineRule="auto"/>
                    <w:jc w:val="center"/>
                    <w:rPr>
                      <w:rFonts w:ascii="Times New Roman" w:hAnsi="Times New Roman"/>
                      <w:color w:val="auto"/>
                      <w:sz w:val="21"/>
                      <w:szCs w:val="21"/>
                    </w:rPr>
                  </w:pPr>
                  <w:r>
                    <w:rPr>
                      <w:rFonts w:ascii="Times New Roman" w:hAnsi="Times New Roman"/>
                      <w:color w:val="auto"/>
                      <w:sz w:val="21"/>
                      <w:szCs w:val="21"/>
                    </w:rPr>
                    <w:t>Ⅲ类</w:t>
                  </w:r>
                </w:p>
              </w:tc>
              <w:tc>
                <w:tcPr>
                  <w:tcW w:w="632" w:type="pct"/>
                  <w:noWrap w:val="0"/>
                  <w:vAlign w:val="center"/>
                </w:tcPr>
                <w:p w14:paraId="3810EF91">
                  <w:pPr>
                    <w:jc w:val="center"/>
                    <w:rPr>
                      <w:rFonts w:hint="eastAsia" w:eastAsia="宋体"/>
                      <w:color w:val="auto"/>
                      <w:szCs w:val="21"/>
                      <w:lang w:val="en-US" w:eastAsia="zh-CN"/>
                    </w:rPr>
                  </w:pPr>
                  <w:r>
                    <w:rPr>
                      <w:rFonts w:hint="eastAsia"/>
                      <w:color w:val="auto"/>
                      <w:szCs w:val="21"/>
                      <w:lang w:val="en-US" w:eastAsia="zh-CN"/>
                    </w:rPr>
                    <w:t>S</w:t>
                  </w:r>
                </w:p>
              </w:tc>
              <w:tc>
                <w:tcPr>
                  <w:tcW w:w="680" w:type="pct"/>
                  <w:noWrap w:val="0"/>
                  <w:vAlign w:val="center"/>
                </w:tcPr>
                <w:p w14:paraId="09A37913">
                  <w:pPr>
                    <w:pStyle w:val="44"/>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2700</w:t>
                  </w:r>
                </w:p>
              </w:tc>
            </w:tr>
            <w:tr w14:paraId="04164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63" w:type="pct"/>
                  <w:vMerge w:val="continue"/>
                  <w:noWrap w:val="0"/>
                  <w:vAlign w:val="center"/>
                </w:tcPr>
                <w:p w14:paraId="45E46276">
                  <w:pPr>
                    <w:pStyle w:val="12"/>
                    <w:spacing w:line="240" w:lineRule="auto"/>
                    <w:jc w:val="center"/>
                    <w:rPr>
                      <w:rFonts w:ascii="Times New Roman" w:hAnsi="Times New Roman"/>
                      <w:color w:val="auto"/>
                      <w:sz w:val="21"/>
                      <w:szCs w:val="21"/>
                    </w:rPr>
                  </w:pPr>
                </w:p>
              </w:tc>
              <w:tc>
                <w:tcPr>
                  <w:tcW w:w="738" w:type="pct"/>
                  <w:noWrap w:val="0"/>
                  <w:vAlign w:val="center"/>
                </w:tcPr>
                <w:p w14:paraId="03C6F11D">
                  <w:pPr>
                    <w:pStyle w:val="12"/>
                    <w:spacing w:line="240" w:lineRule="auto"/>
                    <w:jc w:val="center"/>
                    <w:rPr>
                      <w:rFonts w:ascii="Times New Roman" w:hAnsi="Times New Roman"/>
                      <w:color w:val="auto"/>
                      <w:sz w:val="21"/>
                      <w:szCs w:val="21"/>
                    </w:rPr>
                  </w:pPr>
                  <w:r>
                    <w:rPr>
                      <w:rFonts w:hint="eastAsia" w:ascii="Times New Roman" w:hAnsi="Times New Roman"/>
                      <w:color w:val="auto"/>
                      <w:sz w:val="21"/>
                      <w:szCs w:val="21"/>
                      <w:lang w:val="en-US" w:eastAsia="zh-CN"/>
                    </w:rPr>
                    <w:t>/</w:t>
                  </w:r>
                </w:p>
              </w:tc>
              <w:tc>
                <w:tcPr>
                  <w:tcW w:w="681" w:type="pct"/>
                  <w:noWrap w:val="0"/>
                  <w:vAlign w:val="center"/>
                </w:tcPr>
                <w:p w14:paraId="660A23D1">
                  <w:pPr>
                    <w:pStyle w:val="12"/>
                    <w:spacing w:line="240" w:lineRule="auto"/>
                    <w:jc w:val="center"/>
                    <w:rPr>
                      <w:rFonts w:ascii="Times New Roman" w:hAnsi="Times New Roman"/>
                      <w:color w:val="auto"/>
                      <w:sz w:val="21"/>
                      <w:szCs w:val="21"/>
                    </w:rPr>
                  </w:pPr>
                  <w:r>
                    <w:rPr>
                      <w:rFonts w:hint="eastAsia" w:ascii="Times New Roman" w:hAnsi="Times New Roman"/>
                      <w:color w:val="auto"/>
                      <w:sz w:val="21"/>
                      <w:szCs w:val="21"/>
                      <w:lang w:val="en-US" w:eastAsia="zh-CN"/>
                    </w:rPr>
                    <w:t>/</w:t>
                  </w:r>
                </w:p>
              </w:tc>
              <w:tc>
                <w:tcPr>
                  <w:tcW w:w="702" w:type="pct"/>
                  <w:noWrap w:val="0"/>
                  <w:vAlign w:val="center"/>
                </w:tcPr>
                <w:p w14:paraId="610D4FD3">
                  <w:pPr>
                    <w:pStyle w:val="44"/>
                    <w:jc w:val="center"/>
                    <w:rPr>
                      <w:rFonts w:hint="eastAsia" w:ascii="Times New Roman" w:hAnsi="Times New Roman" w:eastAsia="宋体"/>
                      <w:color w:val="auto"/>
                      <w:szCs w:val="21"/>
                      <w:lang w:eastAsia="zh-CN"/>
                    </w:rPr>
                  </w:pPr>
                  <w:r>
                    <w:rPr>
                      <w:rFonts w:hint="eastAsia" w:ascii="Times New Roman" w:hAnsi="Times New Roman"/>
                      <w:color w:val="auto"/>
                      <w:szCs w:val="21"/>
                      <w:lang w:eastAsia="zh-CN"/>
                    </w:rPr>
                    <w:t>龙江</w:t>
                  </w:r>
                </w:p>
              </w:tc>
              <w:tc>
                <w:tcPr>
                  <w:tcW w:w="549" w:type="pct"/>
                  <w:noWrap w:val="0"/>
                  <w:vAlign w:val="center"/>
                </w:tcPr>
                <w:p w14:paraId="5A56A4E9">
                  <w:pPr>
                    <w:jc w:val="center"/>
                    <w:rPr>
                      <w:rFonts w:hint="eastAsia" w:eastAsia="宋体"/>
                      <w:color w:val="auto"/>
                      <w:szCs w:val="21"/>
                      <w:lang w:val="en-US" w:eastAsia="zh-CN"/>
                    </w:rPr>
                  </w:pPr>
                  <w:r>
                    <w:rPr>
                      <w:rFonts w:hint="eastAsia"/>
                      <w:color w:val="auto"/>
                      <w:szCs w:val="21"/>
                      <w:lang w:val="en-US" w:eastAsia="zh-CN"/>
                    </w:rPr>
                    <w:t>/</w:t>
                  </w:r>
                </w:p>
              </w:tc>
              <w:tc>
                <w:tcPr>
                  <w:tcW w:w="452" w:type="pct"/>
                  <w:noWrap w:val="0"/>
                  <w:vAlign w:val="center"/>
                </w:tcPr>
                <w:p w14:paraId="67E44DC2">
                  <w:pPr>
                    <w:pStyle w:val="12"/>
                    <w:spacing w:line="240" w:lineRule="auto"/>
                    <w:jc w:val="center"/>
                    <w:rPr>
                      <w:rFonts w:ascii="Times New Roman" w:hAnsi="Times New Roman"/>
                      <w:color w:val="auto"/>
                      <w:sz w:val="21"/>
                      <w:szCs w:val="21"/>
                    </w:rPr>
                  </w:pPr>
                  <w:r>
                    <w:rPr>
                      <w:rFonts w:ascii="Times New Roman" w:hAnsi="Times New Roman"/>
                      <w:color w:val="auto"/>
                      <w:sz w:val="21"/>
                      <w:szCs w:val="21"/>
                    </w:rPr>
                    <w:t>Ⅲ类</w:t>
                  </w:r>
                </w:p>
              </w:tc>
              <w:tc>
                <w:tcPr>
                  <w:tcW w:w="632" w:type="pct"/>
                  <w:noWrap w:val="0"/>
                  <w:vAlign w:val="center"/>
                </w:tcPr>
                <w:p w14:paraId="27AFEAFC">
                  <w:pPr>
                    <w:jc w:val="center"/>
                    <w:rPr>
                      <w:rFonts w:hint="eastAsia" w:eastAsia="宋体"/>
                      <w:color w:val="auto"/>
                      <w:szCs w:val="21"/>
                      <w:lang w:val="en-US" w:eastAsia="zh-CN"/>
                    </w:rPr>
                  </w:pPr>
                  <w:r>
                    <w:rPr>
                      <w:rFonts w:hint="eastAsia"/>
                      <w:color w:val="auto"/>
                      <w:szCs w:val="21"/>
                      <w:lang w:val="en-US" w:eastAsia="zh-CN"/>
                    </w:rPr>
                    <w:t>W</w:t>
                  </w:r>
                </w:p>
              </w:tc>
              <w:tc>
                <w:tcPr>
                  <w:tcW w:w="680" w:type="pct"/>
                  <w:noWrap w:val="0"/>
                  <w:vAlign w:val="center"/>
                </w:tcPr>
                <w:p w14:paraId="7A2C8E6F">
                  <w:pPr>
                    <w:pStyle w:val="44"/>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4500</w:t>
                  </w:r>
                </w:p>
              </w:tc>
            </w:tr>
            <w:tr w14:paraId="630E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63" w:type="pct"/>
                  <w:noWrap w:val="0"/>
                  <w:vAlign w:val="center"/>
                </w:tcPr>
                <w:p w14:paraId="10000971">
                  <w:pPr>
                    <w:pStyle w:val="12"/>
                    <w:spacing w:line="240" w:lineRule="auto"/>
                    <w:jc w:val="center"/>
                    <w:rPr>
                      <w:rFonts w:ascii="Times New Roman" w:hAnsi="Times New Roman"/>
                      <w:color w:val="auto"/>
                      <w:sz w:val="21"/>
                      <w:szCs w:val="21"/>
                    </w:rPr>
                  </w:pPr>
                  <w:r>
                    <w:rPr>
                      <w:rFonts w:ascii="Times New Roman" w:hAnsi="Times New Roman"/>
                      <w:color w:val="auto"/>
                      <w:sz w:val="21"/>
                      <w:szCs w:val="21"/>
                    </w:rPr>
                    <w:t>声环境</w:t>
                  </w:r>
                </w:p>
              </w:tc>
              <w:tc>
                <w:tcPr>
                  <w:tcW w:w="738" w:type="pct"/>
                  <w:noWrap w:val="0"/>
                  <w:vAlign w:val="center"/>
                </w:tcPr>
                <w:p w14:paraId="742923B8">
                  <w:pPr>
                    <w:pStyle w:val="12"/>
                    <w:spacing w:line="240" w:lineRule="auto"/>
                    <w:jc w:val="center"/>
                    <w:rPr>
                      <w:rFonts w:ascii="Times New Roman" w:hAnsi="Times New Roman"/>
                      <w:color w:val="auto"/>
                      <w:sz w:val="21"/>
                      <w:szCs w:val="21"/>
                    </w:rPr>
                  </w:pPr>
                  <w:r>
                    <w:rPr>
                      <w:rFonts w:hint="eastAsia" w:ascii="Times New Roman" w:hAnsi="Times New Roman"/>
                      <w:color w:val="auto"/>
                      <w:sz w:val="21"/>
                      <w:szCs w:val="21"/>
                      <w:lang w:val="en-US" w:eastAsia="zh-CN"/>
                    </w:rPr>
                    <w:t>/</w:t>
                  </w:r>
                </w:p>
              </w:tc>
              <w:tc>
                <w:tcPr>
                  <w:tcW w:w="681" w:type="pct"/>
                  <w:noWrap w:val="0"/>
                  <w:vAlign w:val="center"/>
                </w:tcPr>
                <w:p w14:paraId="3F32CD3D">
                  <w:pPr>
                    <w:pStyle w:val="12"/>
                    <w:spacing w:line="240" w:lineRule="auto"/>
                    <w:jc w:val="center"/>
                    <w:rPr>
                      <w:rFonts w:ascii="Times New Roman" w:hAnsi="Times New Roman"/>
                      <w:color w:val="auto"/>
                      <w:sz w:val="21"/>
                      <w:szCs w:val="21"/>
                    </w:rPr>
                  </w:pPr>
                  <w:r>
                    <w:rPr>
                      <w:rFonts w:hint="eastAsia" w:ascii="Times New Roman" w:hAnsi="Times New Roman"/>
                      <w:color w:val="auto"/>
                      <w:sz w:val="21"/>
                      <w:szCs w:val="21"/>
                      <w:lang w:val="en-US" w:eastAsia="zh-CN"/>
                    </w:rPr>
                    <w:t>/</w:t>
                  </w:r>
                </w:p>
              </w:tc>
              <w:tc>
                <w:tcPr>
                  <w:tcW w:w="702" w:type="pct"/>
                  <w:noWrap w:val="0"/>
                  <w:vAlign w:val="center"/>
                </w:tcPr>
                <w:p w14:paraId="5F7EF364">
                  <w:pPr>
                    <w:jc w:val="center"/>
                    <w:rPr>
                      <w:color w:val="auto"/>
                      <w:szCs w:val="21"/>
                    </w:rPr>
                  </w:pPr>
                  <w:r>
                    <w:rPr>
                      <w:color w:val="auto"/>
                      <w:szCs w:val="21"/>
                    </w:rPr>
                    <w:t>/</w:t>
                  </w:r>
                </w:p>
              </w:tc>
              <w:tc>
                <w:tcPr>
                  <w:tcW w:w="549" w:type="pct"/>
                  <w:noWrap w:val="0"/>
                  <w:vAlign w:val="center"/>
                </w:tcPr>
                <w:p w14:paraId="09569C75">
                  <w:pPr>
                    <w:jc w:val="center"/>
                    <w:rPr>
                      <w:color w:val="auto"/>
                      <w:szCs w:val="21"/>
                    </w:rPr>
                  </w:pPr>
                  <w:r>
                    <w:rPr>
                      <w:color w:val="auto"/>
                      <w:szCs w:val="21"/>
                    </w:rPr>
                    <w:t>/</w:t>
                  </w:r>
                </w:p>
              </w:tc>
              <w:tc>
                <w:tcPr>
                  <w:tcW w:w="452" w:type="pct"/>
                  <w:noWrap w:val="0"/>
                  <w:vAlign w:val="center"/>
                </w:tcPr>
                <w:p w14:paraId="6615B6C3">
                  <w:pPr>
                    <w:jc w:val="center"/>
                    <w:rPr>
                      <w:color w:val="auto"/>
                      <w:szCs w:val="21"/>
                    </w:rPr>
                  </w:pPr>
                  <w:r>
                    <w:rPr>
                      <w:color w:val="auto"/>
                      <w:szCs w:val="21"/>
                    </w:rPr>
                    <w:t>/</w:t>
                  </w:r>
                </w:p>
              </w:tc>
              <w:tc>
                <w:tcPr>
                  <w:tcW w:w="632" w:type="pct"/>
                  <w:noWrap w:val="0"/>
                  <w:vAlign w:val="center"/>
                </w:tcPr>
                <w:p w14:paraId="4E84715E">
                  <w:pPr>
                    <w:jc w:val="center"/>
                    <w:rPr>
                      <w:color w:val="auto"/>
                      <w:szCs w:val="21"/>
                    </w:rPr>
                  </w:pPr>
                  <w:r>
                    <w:rPr>
                      <w:color w:val="auto"/>
                      <w:szCs w:val="21"/>
                    </w:rPr>
                    <w:t>/</w:t>
                  </w:r>
                </w:p>
              </w:tc>
              <w:tc>
                <w:tcPr>
                  <w:tcW w:w="680" w:type="pct"/>
                  <w:noWrap w:val="0"/>
                  <w:vAlign w:val="center"/>
                </w:tcPr>
                <w:p w14:paraId="011E9558">
                  <w:pPr>
                    <w:jc w:val="center"/>
                    <w:rPr>
                      <w:color w:val="auto"/>
                      <w:szCs w:val="21"/>
                    </w:rPr>
                  </w:pPr>
                  <w:r>
                    <w:rPr>
                      <w:color w:val="auto"/>
                      <w:szCs w:val="21"/>
                    </w:rPr>
                    <w:t>/</w:t>
                  </w:r>
                </w:p>
              </w:tc>
            </w:tr>
            <w:tr w14:paraId="0F1F3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563" w:type="pct"/>
                  <w:noWrap w:val="0"/>
                  <w:vAlign w:val="center"/>
                </w:tcPr>
                <w:p w14:paraId="5F57F179">
                  <w:pPr>
                    <w:pStyle w:val="12"/>
                    <w:spacing w:line="240" w:lineRule="auto"/>
                    <w:jc w:val="center"/>
                    <w:rPr>
                      <w:rFonts w:ascii="Times New Roman" w:hAnsi="Times New Roman"/>
                      <w:sz w:val="21"/>
                      <w:szCs w:val="21"/>
                    </w:rPr>
                  </w:pPr>
                  <w:r>
                    <w:rPr>
                      <w:rFonts w:ascii="Times New Roman" w:hAnsi="Times New Roman"/>
                      <w:sz w:val="21"/>
                      <w:szCs w:val="21"/>
                    </w:rPr>
                    <w:t>地下水环境</w:t>
                  </w:r>
                </w:p>
              </w:tc>
              <w:tc>
                <w:tcPr>
                  <w:tcW w:w="738" w:type="pct"/>
                  <w:noWrap w:val="0"/>
                  <w:vAlign w:val="center"/>
                </w:tcPr>
                <w:p w14:paraId="66DF39B5">
                  <w:pPr>
                    <w:pStyle w:val="12"/>
                    <w:spacing w:line="240" w:lineRule="auto"/>
                    <w:jc w:val="center"/>
                    <w:rPr>
                      <w:rFonts w:ascii="Times New Roman" w:hAnsi="Times New Roman"/>
                      <w:sz w:val="21"/>
                      <w:szCs w:val="21"/>
                    </w:rPr>
                  </w:pPr>
                  <w:r>
                    <w:rPr>
                      <w:rFonts w:hint="eastAsia" w:ascii="Times New Roman" w:hAnsi="Times New Roman"/>
                      <w:color w:val="auto"/>
                      <w:sz w:val="21"/>
                      <w:szCs w:val="21"/>
                      <w:lang w:val="en-US" w:eastAsia="zh-CN"/>
                    </w:rPr>
                    <w:t>/</w:t>
                  </w:r>
                </w:p>
              </w:tc>
              <w:tc>
                <w:tcPr>
                  <w:tcW w:w="681" w:type="pct"/>
                  <w:noWrap w:val="0"/>
                  <w:vAlign w:val="center"/>
                </w:tcPr>
                <w:p w14:paraId="0F8A1255">
                  <w:pPr>
                    <w:pStyle w:val="12"/>
                    <w:spacing w:line="240" w:lineRule="auto"/>
                    <w:jc w:val="center"/>
                    <w:rPr>
                      <w:rFonts w:ascii="Times New Roman" w:hAnsi="Times New Roman"/>
                      <w:sz w:val="21"/>
                      <w:szCs w:val="21"/>
                    </w:rPr>
                  </w:pPr>
                  <w:r>
                    <w:rPr>
                      <w:rFonts w:hint="eastAsia" w:ascii="Times New Roman" w:hAnsi="Times New Roman"/>
                      <w:color w:val="auto"/>
                      <w:sz w:val="21"/>
                      <w:szCs w:val="21"/>
                      <w:lang w:val="en-US" w:eastAsia="zh-CN"/>
                    </w:rPr>
                    <w:t>/</w:t>
                  </w:r>
                </w:p>
              </w:tc>
              <w:tc>
                <w:tcPr>
                  <w:tcW w:w="702" w:type="pct"/>
                  <w:noWrap w:val="0"/>
                  <w:vAlign w:val="center"/>
                </w:tcPr>
                <w:p w14:paraId="72EB39EF">
                  <w:pPr>
                    <w:pStyle w:val="12"/>
                    <w:spacing w:line="240" w:lineRule="auto"/>
                    <w:jc w:val="center"/>
                    <w:rPr>
                      <w:rFonts w:ascii="Times New Roman" w:hAnsi="Times New Roman"/>
                      <w:sz w:val="21"/>
                      <w:szCs w:val="21"/>
                    </w:rPr>
                  </w:pPr>
                  <w:r>
                    <w:rPr>
                      <w:rFonts w:ascii="Times New Roman" w:hAnsi="Times New Roman"/>
                      <w:sz w:val="21"/>
                      <w:szCs w:val="21"/>
                    </w:rPr>
                    <w:t>/</w:t>
                  </w:r>
                </w:p>
              </w:tc>
              <w:tc>
                <w:tcPr>
                  <w:tcW w:w="549" w:type="pct"/>
                  <w:noWrap w:val="0"/>
                  <w:vAlign w:val="center"/>
                </w:tcPr>
                <w:p w14:paraId="2CBF9E97">
                  <w:pPr>
                    <w:pStyle w:val="12"/>
                    <w:spacing w:line="240" w:lineRule="auto"/>
                    <w:jc w:val="center"/>
                    <w:rPr>
                      <w:rFonts w:ascii="Times New Roman" w:hAnsi="Times New Roman"/>
                      <w:sz w:val="21"/>
                      <w:szCs w:val="21"/>
                    </w:rPr>
                  </w:pPr>
                  <w:r>
                    <w:rPr>
                      <w:rFonts w:ascii="Times New Roman" w:hAnsi="Times New Roman"/>
                      <w:sz w:val="21"/>
                      <w:szCs w:val="21"/>
                    </w:rPr>
                    <w:t>/</w:t>
                  </w:r>
                </w:p>
              </w:tc>
              <w:tc>
                <w:tcPr>
                  <w:tcW w:w="452" w:type="pct"/>
                  <w:noWrap w:val="0"/>
                  <w:vAlign w:val="center"/>
                </w:tcPr>
                <w:p w14:paraId="0401876F">
                  <w:pPr>
                    <w:pStyle w:val="12"/>
                    <w:spacing w:line="240" w:lineRule="auto"/>
                    <w:jc w:val="center"/>
                    <w:rPr>
                      <w:rFonts w:ascii="Times New Roman" w:hAnsi="Times New Roman"/>
                      <w:sz w:val="21"/>
                      <w:szCs w:val="21"/>
                    </w:rPr>
                  </w:pPr>
                  <w:r>
                    <w:rPr>
                      <w:rFonts w:ascii="Times New Roman" w:hAnsi="Times New Roman"/>
                      <w:sz w:val="21"/>
                      <w:szCs w:val="21"/>
                    </w:rPr>
                    <w:t>/</w:t>
                  </w:r>
                </w:p>
              </w:tc>
              <w:tc>
                <w:tcPr>
                  <w:tcW w:w="632" w:type="pct"/>
                  <w:noWrap w:val="0"/>
                  <w:vAlign w:val="center"/>
                </w:tcPr>
                <w:p w14:paraId="11EE5FBC">
                  <w:pPr>
                    <w:pStyle w:val="12"/>
                    <w:spacing w:line="240" w:lineRule="auto"/>
                    <w:jc w:val="center"/>
                    <w:rPr>
                      <w:rFonts w:ascii="Times New Roman" w:hAnsi="Times New Roman"/>
                      <w:sz w:val="21"/>
                      <w:szCs w:val="21"/>
                    </w:rPr>
                  </w:pPr>
                  <w:r>
                    <w:rPr>
                      <w:rFonts w:ascii="Times New Roman" w:hAnsi="Times New Roman"/>
                      <w:sz w:val="21"/>
                      <w:szCs w:val="21"/>
                    </w:rPr>
                    <w:t>/</w:t>
                  </w:r>
                </w:p>
              </w:tc>
              <w:tc>
                <w:tcPr>
                  <w:tcW w:w="680" w:type="pct"/>
                  <w:noWrap w:val="0"/>
                  <w:vAlign w:val="center"/>
                </w:tcPr>
                <w:p w14:paraId="250ED0FB">
                  <w:pPr>
                    <w:pStyle w:val="12"/>
                    <w:spacing w:line="240" w:lineRule="auto"/>
                    <w:jc w:val="center"/>
                    <w:rPr>
                      <w:rFonts w:ascii="Times New Roman" w:hAnsi="Times New Roman"/>
                      <w:sz w:val="21"/>
                      <w:szCs w:val="21"/>
                    </w:rPr>
                  </w:pPr>
                  <w:r>
                    <w:rPr>
                      <w:rFonts w:ascii="Times New Roman" w:hAnsi="Times New Roman"/>
                      <w:sz w:val="21"/>
                      <w:szCs w:val="21"/>
                    </w:rPr>
                    <w:t>/</w:t>
                  </w:r>
                </w:p>
              </w:tc>
            </w:tr>
            <w:tr w14:paraId="45DDF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563" w:type="pct"/>
                  <w:noWrap w:val="0"/>
                  <w:vAlign w:val="center"/>
                </w:tcPr>
                <w:p w14:paraId="2C7D6DC9">
                  <w:pPr>
                    <w:pStyle w:val="12"/>
                    <w:spacing w:line="240" w:lineRule="auto"/>
                    <w:jc w:val="center"/>
                    <w:rPr>
                      <w:rFonts w:ascii="Times New Roman" w:hAnsi="Times New Roman"/>
                      <w:sz w:val="21"/>
                      <w:szCs w:val="21"/>
                    </w:rPr>
                  </w:pPr>
                  <w:r>
                    <w:rPr>
                      <w:rFonts w:ascii="Times New Roman" w:hAnsi="Times New Roman"/>
                      <w:sz w:val="21"/>
                      <w:szCs w:val="21"/>
                    </w:rPr>
                    <w:t>生态环境</w:t>
                  </w:r>
                </w:p>
              </w:tc>
              <w:tc>
                <w:tcPr>
                  <w:tcW w:w="738" w:type="pct"/>
                  <w:noWrap w:val="0"/>
                  <w:vAlign w:val="center"/>
                </w:tcPr>
                <w:p w14:paraId="741121FA">
                  <w:pPr>
                    <w:pStyle w:val="12"/>
                    <w:spacing w:line="240" w:lineRule="auto"/>
                    <w:jc w:val="center"/>
                    <w:rPr>
                      <w:rFonts w:ascii="Times New Roman" w:hAnsi="Times New Roman"/>
                      <w:sz w:val="21"/>
                      <w:szCs w:val="21"/>
                    </w:rPr>
                  </w:pPr>
                  <w:r>
                    <w:rPr>
                      <w:rFonts w:hint="eastAsia" w:ascii="Times New Roman" w:hAnsi="Times New Roman"/>
                      <w:color w:val="auto"/>
                      <w:sz w:val="21"/>
                      <w:szCs w:val="21"/>
                      <w:lang w:val="en-US" w:eastAsia="zh-CN"/>
                    </w:rPr>
                    <w:t>/</w:t>
                  </w:r>
                </w:p>
              </w:tc>
              <w:tc>
                <w:tcPr>
                  <w:tcW w:w="681" w:type="pct"/>
                  <w:noWrap w:val="0"/>
                  <w:vAlign w:val="center"/>
                </w:tcPr>
                <w:p w14:paraId="19CA18C3">
                  <w:pPr>
                    <w:pStyle w:val="12"/>
                    <w:spacing w:line="240" w:lineRule="auto"/>
                    <w:jc w:val="center"/>
                    <w:rPr>
                      <w:rFonts w:ascii="Times New Roman" w:hAnsi="Times New Roman"/>
                      <w:sz w:val="21"/>
                      <w:szCs w:val="21"/>
                    </w:rPr>
                  </w:pPr>
                  <w:r>
                    <w:rPr>
                      <w:rFonts w:hint="eastAsia" w:ascii="Times New Roman" w:hAnsi="Times New Roman"/>
                      <w:color w:val="auto"/>
                      <w:sz w:val="21"/>
                      <w:szCs w:val="21"/>
                      <w:lang w:val="en-US" w:eastAsia="zh-CN"/>
                    </w:rPr>
                    <w:t>/</w:t>
                  </w:r>
                </w:p>
              </w:tc>
              <w:tc>
                <w:tcPr>
                  <w:tcW w:w="702" w:type="pct"/>
                  <w:noWrap w:val="0"/>
                  <w:vAlign w:val="center"/>
                </w:tcPr>
                <w:p w14:paraId="31756F45">
                  <w:pPr>
                    <w:pStyle w:val="12"/>
                    <w:spacing w:line="240" w:lineRule="auto"/>
                    <w:jc w:val="center"/>
                    <w:rPr>
                      <w:rFonts w:ascii="Times New Roman" w:hAnsi="Times New Roman"/>
                      <w:sz w:val="21"/>
                      <w:szCs w:val="21"/>
                    </w:rPr>
                  </w:pPr>
                  <w:r>
                    <w:rPr>
                      <w:rFonts w:ascii="Times New Roman" w:hAnsi="Times New Roman"/>
                      <w:sz w:val="21"/>
                      <w:szCs w:val="21"/>
                    </w:rPr>
                    <w:t>/</w:t>
                  </w:r>
                </w:p>
              </w:tc>
              <w:tc>
                <w:tcPr>
                  <w:tcW w:w="549" w:type="pct"/>
                  <w:noWrap w:val="0"/>
                  <w:vAlign w:val="center"/>
                </w:tcPr>
                <w:p w14:paraId="32F14D2C">
                  <w:pPr>
                    <w:pStyle w:val="12"/>
                    <w:spacing w:line="240" w:lineRule="auto"/>
                    <w:jc w:val="center"/>
                    <w:rPr>
                      <w:rFonts w:ascii="Times New Roman" w:hAnsi="Times New Roman"/>
                      <w:sz w:val="21"/>
                      <w:szCs w:val="21"/>
                    </w:rPr>
                  </w:pPr>
                  <w:r>
                    <w:rPr>
                      <w:rFonts w:ascii="Times New Roman" w:hAnsi="Times New Roman"/>
                      <w:sz w:val="21"/>
                      <w:szCs w:val="21"/>
                    </w:rPr>
                    <w:t>/</w:t>
                  </w:r>
                </w:p>
              </w:tc>
              <w:tc>
                <w:tcPr>
                  <w:tcW w:w="452" w:type="pct"/>
                  <w:noWrap w:val="0"/>
                  <w:vAlign w:val="center"/>
                </w:tcPr>
                <w:p w14:paraId="19B1B46B">
                  <w:pPr>
                    <w:pStyle w:val="12"/>
                    <w:spacing w:line="240" w:lineRule="auto"/>
                    <w:jc w:val="center"/>
                    <w:rPr>
                      <w:rFonts w:ascii="Times New Roman" w:hAnsi="Times New Roman"/>
                      <w:sz w:val="21"/>
                      <w:szCs w:val="21"/>
                    </w:rPr>
                  </w:pPr>
                  <w:r>
                    <w:rPr>
                      <w:rFonts w:ascii="Times New Roman" w:hAnsi="Times New Roman"/>
                      <w:sz w:val="21"/>
                      <w:szCs w:val="21"/>
                    </w:rPr>
                    <w:t>/</w:t>
                  </w:r>
                </w:p>
              </w:tc>
              <w:tc>
                <w:tcPr>
                  <w:tcW w:w="632" w:type="pct"/>
                  <w:noWrap w:val="0"/>
                  <w:vAlign w:val="center"/>
                </w:tcPr>
                <w:p w14:paraId="5DEF1429">
                  <w:pPr>
                    <w:pStyle w:val="12"/>
                    <w:spacing w:line="240" w:lineRule="auto"/>
                    <w:jc w:val="center"/>
                    <w:rPr>
                      <w:rFonts w:ascii="Times New Roman" w:hAnsi="Times New Roman"/>
                      <w:sz w:val="21"/>
                      <w:szCs w:val="21"/>
                    </w:rPr>
                  </w:pPr>
                  <w:r>
                    <w:rPr>
                      <w:rFonts w:ascii="Times New Roman" w:hAnsi="Times New Roman"/>
                      <w:sz w:val="21"/>
                      <w:szCs w:val="21"/>
                    </w:rPr>
                    <w:t>/</w:t>
                  </w:r>
                </w:p>
              </w:tc>
              <w:tc>
                <w:tcPr>
                  <w:tcW w:w="680" w:type="pct"/>
                  <w:noWrap w:val="0"/>
                  <w:vAlign w:val="center"/>
                </w:tcPr>
                <w:p w14:paraId="265A3EF9">
                  <w:pPr>
                    <w:pStyle w:val="12"/>
                    <w:spacing w:line="240" w:lineRule="auto"/>
                    <w:jc w:val="center"/>
                    <w:rPr>
                      <w:rFonts w:ascii="Times New Roman" w:hAnsi="Times New Roman"/>
                      <w:sz w:val="21"/>
                      <w:szCs w:val="21"/>
                    </w:rPr>
                  </w:pPr>
                  <w:r>
                    <w:rPr>
                      <w:rFonts w:ascii="Times New Roman" w:hAnsi="Times New Roman"/>
                      <w:sz w:val="21"/>
                      <w:szCs w:val="21"/>
                    </w:rPr>
                    <w:t>/</w:t>
                  </w:r>
                </w:p>
              </w:tc>
            </w:tr>
          </w:tbl>
          <w:p w14:paraId="51A93C68">
            <w:pPr>
              <w:pStyle w:val="20"/>
              <w:numPr>
                <w:ilvl w:val="0"/>
                <w:numId w:val="0"/>
              </w:numPr>
              <w:spacing w:before="0" w:beforeAutospacing="0" w:after="0" w:afterAutospacing="0"/>
              <w:jc w:val="both"/>
              <w:outlineLvl w:val="0"/>
              <w:rPr>
                <w:rFonts w:hint="eastAsia" w:ascii="黑体" w:hAnsi="黑体" w:eastAsia="黑体"/>
                <w:snapToGrid w:val="0"/>
                <w:sz w:val="30"/>
                <w:szCs w:val="30"/>
                <w:vertAlign w:val="baseline"/>
              </w:rPr>
            </w:pPr>
          </w:p>
        </w:tc>
      </w:tr>
      <w:tr w14:paraId="4F92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2" w:hRule="atLeast"/>
        </w:trPr>
        <w:tc>
          <w:tcPr>
            <w:tcW w:w="458" w:type="dxa"/>
            <w:vAlign w:val="center"/>
          </w:tcPr>
          <w:p w14:paraId="2F78AA7C">
            <w:pPr>
              <w:pStyle w:val="20"/>
              <w:numPr>
                <w:ilvl w:val="0"/>
                <w:numId w:val="0"/>
              </w:numPr>
              <w:spacing w:before="0" w:beforeAutospacing="0" w:after="0" w:afterAutospacing="0"/>
              <w:jc w:val="center"/>
              <w:outlineLvl w:val="0"/>
              <w:rPr>
                <w:rFonts w:hint="eastAsia" w:asciiTheme="majorEastAsia" w:hAnsiTheme="majorEastAsia" w:eastAsiaTheme="majorEastAsia" w:cstheme="majorEastAsia"/>
                <w:b/>
                <w:bCs/>
                <w:snapToGrid w:val="0"/>
                <w:sz w:val="24"/>
                <w:szCs w:val="24"/>
                <w:vertAlign w:val="baseline"/>
                <w:lang w:eastAsia="zh-CN"/>
              </w:rPr>
            </w:pPr>
            <w:r>
              <w:rPr>
                <w:rFonts w:hint="eastAsia"/>
                <w:b/>
                <w:bCs/>
                <w:kern w:val="0"/>
                <w:sz w:val="24"/>
              </w:rPr>
              <w:t>环境质量标准</w:t>
            </w:r>
          </w:p>
        </w:tc>
        <w:tc>
          <w:tcPr>
            <w:tcW w:w="7960" w:type="dxa"/>
          </w:tcPr>
          <w:p w14:paraId="584D3F39">
            <w:pPr>
              <w:numPr>
                <w:ilvl w:val="0"/>
                <w:numId w:val="0"/>
              </w:numPr>
              <w:spacing w:line="360" w:lineRule="auto"/>
              <w:jc w:val="left"/>
              <w:rPr>
                <w:rFonts w:hint="eastAsia"/>
                <w:b/>
                <w:sz w:val="24"/>
              </w:rPr>
            </w:pPr>
            <w:r>
              <w:rPr>
                <w:rFonts w:hint="eastAsia" w:ascii="Times New Roman" w:hAnsi="Times New Roman" w:eastAsia="宋体" w:cs="Times New Roman"/>
                <w:b/>
                <w:kern w:val="2"/>
                <w:sz w:val="24"/>
                <w:szCs w:val="24"/>
                <w:lang w:val="en-US" w:eastAsia="zh-CN" w:bidi="ar-SA"/>
              </w:rPr>
              <w:t>1、</w:t>
            </w:r>
            <w:r>
              <w:rPr>
                <w:rFonts w:hint="eastAsia"/>
                <w:b/>
                <w:sz w:val="24"/>
              </w:rPr>
              <w:t>环境空气质量标准</w:t>
            </w:r>
          </w:p>
          <w:p w14:paraId="42F91FDF">
            <w:pPr>
              <w:pStyle w:val="5"/>
              <w:numPr>
                <w:ilvl w:val="0"/>
                <w:numId w:val="0"/>
              </w:numPr>
              <w:spacing w:line="360" w:lineRule="auto"/>
              <w:ind w:firstLine="480" w:firstLineChars="200"/>
              <w:jc w:val="both"/>
              <w:rPr>
                <w:rFonts w:hint="eastAsia" w:asciiTheme="minorEastAsia" w:hAnsiTheme="minorEastAsia" w:eastAsiaTheme="minorEastAsia" w:cstheme="minorEastAsia"/>
                <w:b w:val="0"/>
                <w:bCs w:val="0"/>
                <w:color w:val="000000"/>
                <w:kern w:val="0"/>
                <w:sz w:val="24"/>
                <w:szCs w:val="24"/>
                <w:lang w:val="en-US" w:eastAsia="zh-CN"/>
              </w:rPr>
            </w:pPr>
            <w:r>
              <w:rPr>
                <w:rFonts w:hint="default" w:ascii="Times New Roman" w:hAnsi="Times New Roman" w:eastAsia="宋体" w:cs="Times New Roman"/>
                <w:b w:val="0"/>
                <w:bCs w:val="0"/>
                <w:color w:val="auto"/>
                <w:sz w:val="24"/>
                <w:highlight w:val="none"/>
              </w:rPr>
              <w:t>项目选址</w:t>
            </w:r>
            <w:r>
              <w:rPr>
                <w:rFonts w:hint="default" w:ascii="Times New Roman" w:hAnsi="Times New Roman" w:eastAsia="宋体" w:cs="Times New Roman"/>
                <w:b w:val="0"/>
                <w:bCs w:val="0"/>
                <w:color w:val="auto"/>
                <w:sz w:val="24"/>
                <w:highlight w:val="none"/>
                <w:lang w:eastAsia="zh-CN"/>
              </w:rPr>
              <w:t>位于</w:t>
            </w:r>
            <w:r>
              <w:rPr>
                <w:rFonts w:hint="default" w:ascii="Times New Roman" w:hAnsi="Times New Roman" w:cs="Times New Roman"/>
                <w:b w:val="0"/>
                <w:bCs w:val="0"/>
                <w:color w:val="auto"/>
                <w:kern w:val="0"/>
                <w:sz w:val="24"/>
                <w:lang w:eastAsia="zh-CN"/>
              </w:rPr>
              <w:t>云南省德宏州芒市</w:t>
            </w:r>
            <w:r>
              <w:rPr>
                <w:rFonts w:hint="default" w:ascii="Times New Roman" w:hAnsi="Times New Roman" w:cs="Times New Roman" w:eastAsiaTheme="minorEastAsia"/>
                <w:b w:val="0"/>
                <w:bCs w:val="0"/>
                <w:color w:val="000000"/>
                <w:kern w:val="0"/>
                <w:sz w:val="24"/>
                <w:szCs w:val="24"/>
                <w:lang w:val="en-US" w:eastAsia="zh-CN"/>
              </w:rPr>
              <w:t>遮放农场晓阳社区居民委员会第七居民小组，在区域为环境空气质量</w:t>
            </w:r>
            <w:r>
              <w:rPr>
                <w:rFonts w:hint="default" w:ascii="Times New Roman" w:hAnsi="Times New Roman" w:cs="Times New Roman" w:eastAsiaTheme="minorEastAsia"/>
                <w:b w:val="0"/>
                <w:bCs w:val="0"/>
                <w:color w:val="000000"/>
                <w:kern w:val="0"/>
                <w:sz w:val="24"/>
                <w:szCs w:val="24"/>
                <w:highlight w:val="none"/>
                <w:lang w:val="en-US" w:eastAsia="zh-CN"/>
              </w:rPr>
              <w:t>二类功能区，TSP、SO</w:t>
            </w:r>
            <w:r>
              <w:rPr>
                <w:rFonts w:hint="default" w:ascii="Times New Roman" w:hAnsi="Times New Roman" w:cs="Times New Roman" w:eastAsiaTheme="minorEastAsia"/>
                <w:b w:val="0"/>
                <w:bCs w:val="0"/>
                <w:color w:val="000000"/>
                <w:kern w:val="0"/>
                <w:sz w:val="24"/>
                <w:szCs w:val="24"/>
                <w:highlight w:val="none"/>
                <w:vertAlign w:val="subscript"/>
                <w:lang w:val="en-US" w:eastAsia="zh-CN"/>
              </w:rPr>
              <w:t>2</w:t>
            </w:r>
            <w:r>
              <w:rPr>
                <w:rFonts w:hint="default" w:ascii="Times New Roman" w:hAnsi="Times New Roman" w:cs="Times New Roman" w:eastAsiaTheme="minorEastAsia"/>
                <w:b w:val="0"/>
                <w:bCs w:val="0"/>
                <w:color w:val="000000"/>
                <w:kern w:val="0"/>
                <w:sz w:val="24"/>
                <w:szCs w:val="24"/>
                <w:highlight w:val="none"/>
                <w:lang w:val="en-US" w:eastAsia="zh-CN"/>
              </w:rPr>
              <w:t>、NO</w:t>
            </w:r>
            <w:r>
              <w:rPr>
                <w:rFonts w:hint="default" w:ascii="Times New Roman" w:hAnsi="Times New Roman" w:cs="Times New Roman" w:eastAsiaTheme="minorEastAsia"/>
                <w:b w:val="0"/>
                <w:bCs w:val="0"/>
                <w:color w:val="000000"/>
                <w:kern w:val="0"/>
                <w:sz w:val="24"/>
                <w:szCs w:val="24"/>
                <w:highlight w:val="none"/>
                <w:vertAlign w:val="subscript"/>
                <w:lang w:val="en-US" w:eastAsia="zh-CN"/>
              </w:rPr>
              <w:t>2</w:t>
            </w:r>
            <w:r>
              <w:rPr>
                <w:rFonts w:hint="default" w:ascii="Times New Roman" w:hAnsi="Times New Roman" w:cs="Times New Roman" w:eastAsiaTheme="minorEastAsia"/>
                <w:b w:val="0"/>
                <w:bCs w:val="0"/>
                <w:color w:val="000000"/>
                <w:kern w:val="0"/>
                <w:sz w:val="24"/>
                <w:szCs w:val="24"/>
                <w:highlight w:val="none"/>
                <w:lang w:val="en-US" w:eastAsia="zh-CN"/>
              </w:rPr>
              <w:t>、PM</w:t>
            </w:r>
            <w:r>
              <w:rPr>
                <w:rFonts w:hint="default" w:ascii="Times New Roman" w:hAnsi="Times New Roman" w:cs="Times New Roman" w:eastAsiaTheme="minorEastAsia"/>
                <w:b w:val="0"/>
                <w:bCs w:val="0"/>
                <w:color w:val="000000"/>
                <w:kern w:val="0"/>
                <w:sz w:val="24"/>
                <w:szCs w:val="24"/>
                <w:highlight w:val="none"/>
                <w:vertAlign w:val="subscript"/>
                <w:lang w:val="en-US" w:eastAsia="zh-CN"/>
              </w:rPr>
              <w:t>2.5</w:t>
            </w:r>
            <w:r>
              <w:rPr>
                <w:rFonts w:hint="default" w:ascii="Times New Roman" w:hAnsi="Times New Roman" w:cs="Times New Roman" w:eastAsiaTheme="minorEastAsia"/>
                <w:b w:val="0"/>
                <w:bCs w:val="0"/>
                <w:color w:val="000000"/>
                <w:kern w:val="0"/>
                <w:sz w:val="24"/>
                <w:szCs w:val="24"/>
                <w:highlight w:val="none"/>
                <w:lang w:val="en-US" w:eastAsia="zh-CN"/>
              </w:rPr>
              <w:t>、PM</w:t>
            </w:r>
            <w:r>
              <w:rPr>
                <w:rFonts w:hint="default" w:ascii="Times New Roman" w:hAnsi="Times New Roman" w:cs="Times New Roman" w:eastAsiaTheme="minorEastAsia"/>
                <w:b w:val="0"/>
                <w:bCs w:val="0"/>
                <w:color w:val="000000"/>
                <w:kern w:val="0"/>
                <w:sz w:val="24"/>
                <w:szCs w:val="24"/>
                <w:highlight w:val="none"/>
                <w:vertAlign w:val="subscript"/>
                <w:lang w:val="en-US" w:eastAsia="zh-CN"/>
              </w:rPr>
              <w:t>10</w:t>
            </w:r>
            <w:r>
              <w:rPr>
                <w:rFonts w:hint="default" w:ascii="Times New Roman" w:hAnsi="Times New Roman" w:cs="Times New Roman" w:eastAsiaTheme="minorEastAsia"/>
                <w:b w:val="0"/>
                <w:bCs w:val="0"/>
                <w:color w:val="000000"/>
                <w:kern w:val="0"/>
                <w:sz w:val="24"/>
                <w:szCs w:val="24"/>
                <w:highlight w:val="none"/>
                <w:lang w:val="en-US" w:eastAsia="zh-CN"/>
              </w:rPr>
              <w:t>、CO、臭氧 (O</w:t>
            </w:r>
            <w:r>
              <w:rPr>
                <w:rFonts w:hint="default" w:ascii="Times New Roman" w:hAnsi="Times New Roman" w:cs="Times New Roman" w:eastAsiaTheme="minorEastAsia"/>
                <w:b w:val="0"/>
                <w:bCs w:val="0"/>
                <w:color w:val="000000"/>
                <w:kern w:val="0"/>
                <w:sz w:val="24"/>
                <w:szCs w:val="24"/>
                <w:highlight w:val="none"/>
                <w:vertAlign w:val="subscript"/>
                <w:lang w:val="en-US" w:eastAsia="zh-CN"/>
              </w:rPr>
              <w:t>3</w:t>
            </w:r>
            <w:r>
              <w:rPr>
                <w:rFonts w:hint="default" w:ascii="Times New Roman" w:hAnsi="Times New Roman" w:cs="Times New Roman" w:eastAsiaTheme="minorEastAsia"/>
                <w:b w:val="0"/>
                <w:bCs w:val="0"/>
                <w:color w:val="000000"/>
                <w:kern w:val="0"/>
                <w:sz w:val="24"/>
                <w:szCs w:val="24"/>
                <w:highlight w:val="none"/>
                <w:lang w:val="en-US" w:eastAsia="zh-CN"/>
              </w:rPr>
              <w:t xml:space="preserve"> )、NO</w:t>
            </w:r>
            <w:r>
              <w:rPr>
                <w:rFonts w:hint="default" w:ascii="Times New Roman" w:hAnsi="Times New Roman" w:cs="Times New Roman" w:eastAsiaTheme="minorEastAsia"/>
                <w:b w:val="0"/>
                <w:bCs w:val="0"/>
                <w:color w:val="000000"/>
                <w:kern w:val="0"/>
                <w:sz w:val="24"/>
                <w:szCs w:val="24"/>
                <w:highlight w:val="none"/>
                <w:vertAlign w:val="subscript"/>
                <w:lang w:val="en-US" w:eastAsia="zh-CN"/>
              </w:rPr>
              <w:t xml:space="preserve">X </w:t>
            </w:r>
            <w:r>
              <w:rPr>
                <w:rFonts w:hint="default" w:ascii="Times New Roman" w:hAnsi="Times New Roman" w:cs="Times New Roman" w:eastAsiaTheme="minorEastAsia"/>
                <w:b w:val="0"/>
                <w:bCs w:val="0"/>
                <w:color w:val="000000"/>
                <w:kern w:val="0"/>
                <w:sz w:val="24"/>
                <w:szCs w:val="24"/>
                <w:highlight w:val="none"/>
                <w:lang w:val="en-US" w:eastAsia="zh-CN"/>
              </w:rPr>
              <w:t>执行环境空气质量执行《环境空气质量标准》 (GB3095-2012) 及其修改单的二级标准；挥发性有机</w:t>
            </w:r>
            <w:r>
              <w:rPr>
                <w:rFonts w:hint="eastAsia" w:ascii="Times New Roman" w:hAnsi="Times New Roman" w:cs="Times New Roman" w:eastAsiaTheme="minorEastAsia"/>
                <w:b w:val="0"/>
                <w:bCs w:val="0"/>
                <w:color w:val="000000"/>
                <w:kern w:val="0"/>
                <w:sz w:val="24"/>
                <w:szCs w:val="24"/>
                <w:highlight w:val="none"/>
                <w:lang w:val="en-US" w:eastAsia="zh-CN"/>
              </w:rPr>
              <w:t>（非甲烷总烃）</w:t>
            </w:r>
            <w:r>
              <w:rPr>
                <w:rFonts w:hint="default" w:ascii="Times New Roman" w:hAnsi="Times New Roman" w:cs="Times New Roman" w:eastAsiaTheme="minorEastAsia"/>
                <w:b w:val="0"/>
                <w:bCs w:val="0"/>
                <w:color w:val="000000"/>
                <w:kern w:val="0"/>
                <w:sz w:val="24"/>
                <w:szCs w:val="24"/>
                <w:highlight w:val="none"/>
                <w:lang w:val="en-US" w:eastAsia="zh-CN"/>
              </w:rPr>
              <w:t>物执行《环境影响评价技术导则大气环境》（HJ2.2-2018）附录标准值，具体标准值见表3-</w:t>
            </w:r>
            <w:r>
              <w:rPr>
                <w:rFonts w:hint="eastAsia" w:ascii="Times New Roman" w:hAnsi="Times New Roman" w:cs="Times New Roman" w:eastAsiaTheme="minorEastAsia"/>
                <w:b w:val="0"/>
                <w:bCs w:val="0"/>
                <w:color w:val="000000"/>
                <w:kern w:val="0"/>
                <w:sz w:val="24"/>
                <w:szCs w:val="24"/>
                <w:highlight w:val="none"/>
                <w:lang w:val="en-US" w:eastAsia="zh-CN"/>
              </w:rPr>
              <w:t>5</w:t>
            </w:r>
            <w:r>
              <w:rPr>
                <w:rFonts w:hint="default" w:ascii="Times New Roman" w:hAnsi="Times New Roman" w:cs="Times New Roman" w:eastAsiaTheme="minorEastAsia"/>
                <w:b w:val="0"/>
                <w:bCs w:val="0"/>
                <w:color w:val="000000"/>
                <w:kern w:val="0"/>
                <w:sz w:val="24"/>
                <w:szCs w:val="24"/>
                <w:highlight w:val="none"/>
                <w:lang w:val="en-US" w:eastAsia="zh-CN"/>
              </w:rPr>
              <w:t>。</w:t>
            </w:r>
          </w:p>
          <w:p w14:paraId="5340BF73">
            <w:pPr>
              <w:pStyle w:val="46"/>
              <w:ind w:firstLine="482"/>
              <w:jc w:val="center"/>
              <w:rPr>
                <w:rFonts w:hint="eastAsia"/>
                <w:color w:val="auto"/>
                <w:sz w:val="24"/>
                <w:vertAlign w:val="superscript"/>
              </w:rPr>
            </w:pPr>
            <w:r>
              <w:rPr>
                <w:rFonts w:hint="eastAsia"/>
                <w:color w:val="auto"/>
                <w:sz w:val="24"/>
              </w:rPr>
              <w:t>表3-</w:t>
            </w:r>
            <w:r>
              <w:rPr>
                <w:rFonts w:hint="eastAsia"/>
                <w:color w:val="auto"/>
                <w:sz w:val="24"/>
                <w:lang w:val="en-US" w:eastAsia="zh-CN"/>
              </w:rPr>
              <w:t>5</w:t>
            </w:r>
            <w:r>
              <w:rPr>
                <w:rFonts w:hint="eastAsia"/>
                <w:color w:val="auto"/>
                <w:sz w:val="24"/>
              </w:rPr>
              <w:t>环境空气质量标准</w:t>
            </w:r>
          </w:p>
          <w:tbl>
            <w:tblPr>
              <w:tblStyle w:val="23"/>
              <w:tblW w:w="791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43"/>
              <w:gridCol w:w="1927"/>
              <w:gridCol w:w="2397"/>
              <w:gridCol w:w="1452"/>
            </w:tblGrid>
            <w:tr w14:paraId="3C02B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2143" w:type="dxa"/>
                  <w:noWrap w:val="0"/>
                  <w:vAlign w:val="top"/>
                </w:tcPr>
                <w:p w14:paraId="5CB396AE">
                  <w:pPr>
                    <w:jc w:val="center"/>
                    <w:rPr>
                      <w:b/>
                      <w:bCs/>
                      <w:szCs w:val="21"/>
                    </w:rPr>
                  </w:pPr>
                  <w:r>
                    <w:rPr>
                      <w:b/>
                      <w:bCs/>
                      <w:szCs w:val="21"/>
                    </w:rPr>
                    <w:t>污染物名称</w:t>
                  </w:r>
                </w:p>
              </w:tc>
              <w:tc>
                <w:tcPr>
                  <w:tcW w:w="1927" w:type="dxa"/>
                  <w:noWrap w:val="0"/>
                  <w:vAlign w:val="top"/>
                </w:tcPr>
                <w:p w14:paraId="500CD25E">
                  <w:pPr>
                    <w:jc w:val="center"/>
                    <w:rPr>
                      <w:b/>
                      <w:bCs/>
                      <w:szCs w:val="21"/>
                    </w:rPr>
                  </w:pPr>
                  <w:r>
                    <w:rPr>
                      <w:b/>
                      <w:bCs/>
                      <w:szCs w:val="21"/>
                    </w:rPr>
                    <w:t>1 小时平均</w:t>
                  </w:r>
                </w:p>
              </w:tc>
              <w:tc>
                <w:tcPr>
                  <w:tcW w:w="2397" w:type="dxa"/>
                  <w:noWrap w:val="0"/>
                  <w:vAlign w:val="top"/>
                </w:tcPr>
                <w:p w14:paraId="0454AB49">
                  <w:pPr>
                    <w:jc w:val="center"/>
                    <w:rPr>
                      <w:b/>
                      <w:bCs/>
                      <w:szCs w:val="21"/>
                    </w:rPr>
                  </w:pPr>
                  <w:r>
                    <w:rPr>
                      <w:b/>
                      <w:bCs/>
                      <w:szCs w:val="21"/>
                    </w:rPr>
                    <w:t>24 小时平均</w:t>
                  </w:r>
                </w:p>
              </w:tc>
              <w:tc>
                <w:tcPr>
                  <w:tcW w:w="1452" w:type="dxa"/>
                  <w:noWrap w:val="0"/>
                  <w:vAlign w:val="top"/>
                </w:tcPr>
                <w:p w14:paraId="03321A72">
                  <w:pPr>
                    <w:jc w:val="center"/>
                    <w:rPr>
                      <w:b/>
                      <w:bCs/>
                      <w:szCs w:val="21"/>
                    </w:rPr>
                  </w:pPr>
                  <w:r>
                    <w:rPr>
                      <w:b/>
                      <w:bCs/>
                      <w:szCs w:val="21"/>
                    </w:rPr>
                    <w:t>年平均</w:t>
                  </w:r>
                </w:p>
              </w:tc>
            </w:tr>
            <w:tr w14:paraId="54C47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jc w:val="center"/>
              </w:trPr>
              <w:tc>
                <w:tcPr>
                  <w:tcW w:w="2143" w:type="dxa"/>
                  <w:noWrap w:val="0"/>
                  <w:vAlign w:val="top"/>
                </w:tcPr>
                <w:p w14:paraId="165497AC">
                  <w:pPr>
                    <w:jc w:val="center"/>
                    <w:rPr>
                      <w:szCs w:val="21"/>
                    </w:rPr>
                  </w:pPr>
                  <w:r>
                    <w:rPr>
                      <w:szCs w:val="21"/>
                    </w:rPr>
                    <w:t>SO</w:t>
                  </w:r>
                  <w:r>
                    <w:rPr>
                      <w:szCs w:val="21"/>
                      <w:vertAlign w:val="subscript"/>
                    </w:rPr>
                    <w:t xml:space="preserve">2 </w:t>
                  </w:r>
                  <w:r>
                    <w:rPr>
                      <w:szCs w:val="21"/>
                    </w:rPr>
                    <w:t>(mg/m</w:t>
                  </w:r>
                  <w:r>
                    <w:rPr>
                      <w:szCs w:val="21"/>
                      <w:vertAlign w:val="superscript"/>
                    </w:rPr>
                    <w:t>3</w:t>
                  </w:r>
                  <w:r>
                    <w:rPr>
                      <w:szCs w:val="21"/>
                    </w:rPr>
                    <w:t xml:space="preserve"> )</w:t>
                  </w:r>
                </w:p>
              </w:tc>
              <w:tc>
                <w:tcPr>
                  <w:tcW w:w="1927" w:type="dxa"/>
                  <w:noWrap w:val="0"/>
                  <w:vAlign w:val="top"/>
                </w:tcPr>
                <w:p w14:paraId="774A556E">
                  <w:pPr>
                    <w:jc w:val="center"/>
                    <w:rPr>
                      <w:szCs w:val="21"/>
                    </w:rPr>
                  </w:pPr>
                  <w:r>
                    <w:rPr>
                      <w:szCs w:val="21"/>
                    </w:rPr>
                    <w:t>0.500</w:t>
                  </w:r>
                </w:p>
              </w:tc>
              <w:tc>
                <w:tcPr>
                  <w:tcW w:w="2397" w:type="dxa"/>
                  <w:noWrap w:val="0"/>
                  <w:vAlign w:val="top"/>
                </w:tcPr>
                <w:p w14:paraId="1CE805C3">
                  <w:pPr>
                    <w:jc w:val="center"/>
                    <w:rPr>
                      <w:szCs w:val="21"/>
                    </w:rPr>
                  </w:pPr>
                  <w:r>
                    <w:rPr>
                      <w:szCs w:val="21"/>
                    </w:rPr>
                    <w:t>0. 150</w:t>
                  </w:r>
                </w:p>
              </w:tc>
              <w:tc>
                <w:tcPr>
                  <w:tcW w:w="1452" w:type="dxa"/>
                  <w:noWrap w:val="0"/>
                  <w:vAlign w:val="top"/>
                </w:tcPr>
                <w:p w14:paraId="2E59C0EC">
                  <w:pPr>
                    <w:jc w:val="center"/>
                    <w:rPr>
                      <w:szCs w:val="21"/>
                    </w:rPr>
                  </w:pPr>
                  <w:r>
                    <w:rPr>
                      <w:szCs w:val="21"/>
                    </w:rPr>
                    <w:t>0.060</w:t>
                  </w:r>
                </w:p>
              </w:tc>
            </w:tr>
            <w:tr w14:paraId="76756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jc w:val="center"/>
              </w:trPr>
              <w:tc>
                <w:tcPr>
                  <w:tcW w:w="2143" w:type="dxa"/>
                  <w:noWrap w:val="0"/>
                  <w:vAlign w:val="top"/>
                </w:tcPr>
                <w:p w14:paraId="584B957A">
                  <w:pPr>
                    <w:jc w:val="center"/>
                    <w:rPr>
                      <w:szCs w:val="21"/>
                    </w:rPr>
                  </w:pPr>
                  <w:r>
                    <w:rPr>
                      <w:szCs w:val="21"/>
                    </w:rPr>
                    <w:t>NO</w:t>
                  </w:r>
                  <w:r>
                    <w:rPr>
                      <w:szCs w:val="21"/>
                      <w:vertAlign w:val="subscript"/>
                    </w:rPr>
                    <w:t xml:space="preserve">2 </w:t>
                  </w:r>
                  <w:r>
                    <w:rPr>
                      <w:szCs w:val="21"/>
                    </w:rPr>
                    <w:t xml:space="preserve"> (mg/m</w:t>
                  </w:r>
                  <w:r>
                    <w:rPr>
                      <w:szCs w:val="21"/>
                      <w:vertAlign w:val="superscript"/>
                    </w:rPr>
                    <w:t>3</w:t>
                  </w:r>
                  <w:r>
                    <w:rPr>
                      <w:szCs w:val="21"/>
                    </w:rPr>
                    <w:t xml:space="preserve"> )</w:t>
                  </w:r>
                </w:p>
              </w:tc>
              <w:tc>
                <w:tcPr>
                  <w:tcW w:w="1927" w:type="dxa"/>
                  <w:noWrap w:val="0"/>
                  <w:vAlign w:val="top"/>
                </w:tcPr>
                <w:p w14:paraId="6E8896AB">
                  <w:pPr>
                    <w:jc w:val="center"/>
                    <w:rPr>
                      <w:szCs w:val="21"/>
                    </w:rPr>
                  </w:pPr>
                  <w:r>
                    <w:rPr>
                      <w:szCs w:val="21"/>
                    </w:rPr>
                    <w:t>0.200</w:t>
                  </w:r>
                </w:p>
              </w:tc>
              <w:tc>
                <w:tcPr>
                  <w:tcW w:w="2397" w:type="dxa"/>
                  <w:noWrap w:val="0"/>
                  <w:vAlign w:val="top"/>
                </w:tcPr>
                <w:p w14:paraId="3D8D5AA1">
                  <w:pPr>
                    <w:jc w:val="center"/>
                    <w:rPr>
                      <w:szCs w:val="21"/>
                    </w:rPr>
                  </w:pPr>
                  <w:r>
                    <w:rPr>
                      <w:szCs w:val="21"/>
                    </w:rPr>
                    <w:t>0.080</w:t>
                  </w:r>
                </w:p>
              </w:tc>
              <w:tc>
                <w:tcPr>
                  <w:tcW w:w="1452" w:type="dxa"/>
                  <w:noWrap w:val="0"/>
                  <w:vAlign w:val="top"/>
                </w:tcPr>
                <w:p w14:paraId="44B3A0DB">
                  <w:pPr>
                    <w:jc w:val="center"/>
                    <w:rPr>
                      <w:szCs w:val="21"/>
                    </w:rPr>
                  </w:pPr>
                  <w:r>
                    <w:rPr>
                      <w:szCs w:val="21"/>
                    </w:rPr>
                    <w:t>0.040</w:t>
                  </w:r>
                </w:p>
              </w:tc>
            </w:tr>
            <w:tr w14:paraId="00356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jc w:val="center"/>
              </w:trPr>
              <w:tc>
                <w:tcPr>
                  <w:tcW w:w="2143" w:type="dxa"/>
                  <w:noWrap w:val="0"/>
                  <w:vAlign w:val="top"/>
                </w:tcPr>
                <w:p w14:paraId="3A4EA531">
                  <w:pPr>
                    <w:jc w:val="center"/>
                    <w:rPr>
                      <w:szCs w:val="21"/>
                    </w:rPr>
                  </w:pPr>
                  <w:r>
                    <w:rPr>
                      <w:szCs w:val="21"/>
                    </w:rPr>
                    <w:t>PM</w:t>
                  </w:r>
                  <w:r>
                    <w:rPr>
                      <w:szCs w:val="21"/>
                      <w:vertAlign w:val="subscript"/>
                    </w:rPr>
                    <w:t>10</w:t>
                  </w:r>
                  <w:r>
                    <w:rPr>
                      <w:szCs w:val="21"/>
                    </w:rPr>
                    <w:t xml:space="preserve"> (mg/m</w:t>
                  </w:r>
                  <w:r>
                    <w:rPr>
                      <w:szCs w:val="21"/>
                      <w:vertAlign w:val="superscript"/>
                    </w:rPr>
                    <w:t>3</w:t>
                  </w:r>
                  <w:r>
                    <w:rPr>
                      <w:szCs w:val="21"/>
                    </w:rPr>
                    <w:t xml:space="preserve"> )</w:t>
                  </w:r>
                </w:p>
              </w:tc>
              <w:tc>
                <w:tcPr>
                  <w:tcW w:w="1927" w:type="dxa"/>
                  <w:noWrap w:val="0"/>
                  <w:vAlign w:val="top"/>
                </w:tcPr>
                <w:p w14:paraId="64B8BB09">
                  <w:pPr>
                    <w:jc w:val="center"/>
                    <w:rPr>
                      <w:szCs w:val="21"/>
                    </w:rPr>
                  </w:pPr>
                  <w:r>
                    <w:rPr>
                      <w:szCs w:val="21"/>
                    </w:rPr>
                    <w:t>—</w:t>
                  </w:r>
                </w:p>
              </w:tc>
              <w:tc>
                <w:tcPr>
                  <w:tcW w:w="2397" w:type="dxa"/>
                  <w:noWrap w:val="0"/>
                  <w:vAlign w:val="top"/>
                </w:tcPr>
                <w:p w14:paraId="48B9942E">
                  <w:pPr>
                    <w:jc w:val="center"/>
                    <w:rPr>
                      <w:szCs w:val="21"/>
                    </w:rPr>
                  </w:pPr>
                  <w:r>
                    <w:rPr>
                      <w:rFonts w:hint="eastAsia"/>
                      <w:szCs w:val="21"/>
                    </w:rPr>
                    <w:t>0.15</w:t>
                  </w:r>
                </w:p>
              </w:tc>
              <w:tc>
                <w:tcPr>
                  <w:tcW w:w="1452" w:type="dxa"/>
                  <w:noWrap w:val="0"/>
                  <w:vAlign w:val="top"/>
                </w:tcPr>
                <w:p w14:paraId="381DDF05">
                  <w:pPr>
                    <w:jc w:val="center"/>
                    <w:rPr>
                      <w:szCs w:val="21"/>
                    </w:rPr>
                  </w:pPr>
                  <w:r>
                    <w:rPr>
                      <w:szCs w:val="21"/>
                    </w:rPr>
                    <w:t>0.070</w:t>
                  </w:r>
                </w:p>
              </w:tc>
            </w:tr>
            <w:tr w14:paraId="451ED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2143" w:type="dxa"/>
                  <w:noWrap w:val="0"/>
                  <w:vAlign w:val="top"/>
                </w:tcPr>
                <w:p w14:paraId="74067BB9">
                  <w:pPr>
                    <w:jc w:val="center"/>
                    <w:rPr>
                      <w:szCs w:val="21"/>
                    </w:rPr>
                  </w:pPr>
                  <w:r>
                    <w:rPr>
                      <w:szCs w:val="21"/>
                    </w:rPr>
                    <w:t>PM</w:t>
                  </w:r>
                  <w:r>
                    <w:rPr>
                      <w:szCs w:val="21"/>
                      <w:vertAlign w:val="subscript"/>
                    </w:rPr>
                    <w:t>2.5</w:t>
                  </w:r>
                  <w:r>
                    <w:rPr>
                      <w:szCs w:val="21"/>
                    </w:rPr>
                    <w:t xml:space="preserve"> (mg/m</w:t>
                  </w:r>
                  <w:r>
                    <w:rPr>
                      <w:szCs w:val="21"/>
                      <w:vertAlign w:val="superscript"/>
                    </w:rPr>
                    <w:t>3</w:t>
                  </w:r>
                  <w:r>
                    <w:rPr>
                      <w:szCs w:val="21"/>
                    </w:rPr>
                    <w:t xml:space="preserve"> )</w:t>
                  </w:r>
                </w:p>
              </w:tc>
              <w:tc>
                <w:tcPr>
                  <w:tcW w:w="1927" w:type="dxa"/>
                  <w:noWrap w:val="0"/>
                  <w:vAlign w:val="top"/>
                </w:tcPr>
                <w:p w14:paraId="47E86BE3">
                  <w:pPr>
                    <w:jc w:val="center"/>
                    <w:rPr>
                      <w:szCs w:val="21"/>
                    </w:rPr>
                  </w:pPr>
                  <w:r>
                    <w:rPr>
                      <w:szCs w:val="21"/>
                    </w:rPr>
                    <w:t>—</w:t>
                  </w:r>
                </w:p>
              </w:tc>
              <w:tc>
                <w:tcPr>
                  <w:tcW w:w="2397" w:type="dxa"/>
                  <w:noWrap w:val="0"/>
                  <w:vAlign w:val="top"/>
                </w:tcPr>
                <w:p w14:paraId="000C8011">
                  <w:pPr>
                    <w:jc w:val="center"/>
                    <w:rPr>
                      <w:szCs w:val="21"/>
                    </w:rPr>
                  </w:pPr>
                  <w:r>
                    <w:rPr>
                      <w:szCs w:val="21"/>
                    </w:rPr>
                    <w:t>0.075</w:t>
                  </w:r>
                </w:p>
              </w:tc>
              <w:tc>
                <w:tcPr>
                  <w:tcW w:w="1452" w:type="dxa"/>
                  <w:noWrap w:val="0"/>
                  <w:vAlign w:val="top"/>
                </w:tcPr>
                <w:p w14:paraId="4ECB0E85">
                  <w:pPr>
                    <w:jc w:val="center"/>
                    <w:rPr>
                      <w:szCs w:val="21"/>
                    </w:rPr>
                  </w:pPr>
                  <w:r>
                    <w:rPr>
                      <w:szCs w:val="21"/>
                    </w:rPr>
                    <w:t>0.035</w:t>
                  </w:r>
                </w:p>
              </w:tc>
            </w:tr>
            <w:tr w14:paraId="6F27F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2143" w:type="dxa"/>
                  <w:noWrap w:val="0"/>
                  <w:vAlign w:val="top"/>
                </w:tcPr>
                <w:p w14:paraId="56CB41A8">
                  <w:pPr>
                    <w:jc w:val="center"/>
                    <w:rPr>
                      <w:szCs w:val="21"/>
                    </w:rPr>
                  </w:pPr>
                  <w:r>
                    <w:rPr>
                      <w:szCs w:val="21"/>
                    </w:rPr>
                    <w:t>O</w:t>
                  </w:r>
                  <w:r>
                    <w:rPr>
                      <w:szCs w:val="21"/>
                      <w:vertAlign w:val="subscript"/>
                    </w:rPr>
                    <w:t>3</w:t>
                  </w:r>
                  <w:r>
                    <w:rPr>
                      <w:szCs w:val="21"/>
                    </w:rPr>
                    <w:t xml:space="preserve"> (mg/m</w:t>
                  </w:r>
                  <w:r>
                    <w:rPr>
                      <w:szCs w:val="21"/>
                      <w:vertAlign w:val="superscript"/>
                    </w:rPr>
                    <w:t>3</w:t>
                  </w:r>
                  <w:r>
                    <w:rPr>
                      <w:szCs w:val="21"/>
                    </w:rPr>
                    <w:t xml:space="preserve"> )</w:t>
                  </w:r>
                </w:p>
              </w:tc>
              <w:tc>
                <w:tcPr>
                  <w:tcW w:w="1927" w:type="dxa"/>
                  <w:noWrap w:val="0"/>
                  <w:vAlign w:val="top"/>
                </w:tcPr>
                <w:p w14:paraId="1B50DA41">
                  <w:pPr>
                    <w:jc w:val="center"/>
                    <w:rPr>
                      <w:szCs w:val="21"/>
                    </w:rPr>
                  </w:pPr>
                  <w:r>
                    <w:rPr>
                      <w:szCs w:val="21"/>
                    </w:rPr>
                    <w:t>0.2</w:t>
                  </w:r>
                </w:p>
              </w:tc>
              <w:tc>
                <w:tcPr>
                  <w:tcW w:w="2397" w:type="dxa"/>
                  <w:noWrap w:val="0"/>
                  <w:vAlign w:val="top"/>
                </w:tcPr>
                <w:p w14:paraId="42B59E4F">
                  <w:pPr>
                    <w:jc w:val="center"/>
                    <w:rPr>
                      <w:szCs w:val="21"/>
                    </w:rPr>
                  </w:pPr>
                  <w:r>
                    <w:rPr>
                      <w:szCs w:val="21"/>
                    </w:rPr>
                    <w:t>0. 16</w:t>
                  </w:r>
                  <w:r>
                    <w:rPr>
                      <w:rFonts w:hint="eastAsia"/>
                      <w:szCs w:val="21"/>
                    </w:rPr>
                    <w:t>（</w:t>
                  </w:r>
                  <w:r>
                    <w:rPr>
                      <w:rFonts w:hint="eastAsia"/>
                    </w:rPr>
                    <w:t>日最大</w:t>
                  </w:r>
                  <w:r>
                    <w:rPr>
                      <w:szCs w:val="21"/>
                    </w:rPr>
                    <w:t>8小时平均)</w:t>
                  </w:r>
                </w:p>
              </w:tc>
              <w:tc>
                <w:tcPr>
                  <w:tcW w:w="1452" w:type="dxa"/>
                  <w:noWrap w:val="0"/>
                  <w:vAlign w:val="top"/>
                </w:tcPr>
                <w:p w14:paraId="5517AF5B">
                  <w:pPr>
                    <w:jc w:val="center"/>
                    <w:rPr>
                      <w:szCs w:val="21"/>
                    </w:rPr>
                  </w:pPr>
                  <w:r>
                    <w:rPr>
                      <w:szCs w:val="21"/>
                    </w:rPr>
                    <w:t>—</w:t>
                  </w:r>
                </w:p>
              </w:tc>
            </w:tr>
            <w:tr w14:paraId="5EE2C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2143" w:type="dxa"/>
                  <w:noWrap w:val="0"/>
                  <w:vAlign w:val="top"/>
                </w:tcPr>
                <w:p w14:paraId="2798DD78">
                  <w:pPr>
                    <w:jc w:val="center"/>
                    <w:rPr>
                      <w:szCs w:val="21"/>
                    </w:rPr>
                  </w:pPr>
                  <w:r>
                    <w:rPr>
                      <w:szCs w:val="21"/>
                    </w:rPr>
                    <w:t>CO (mg/m</w:t>
                  </w:r>
                  <w:r>
                    <w:rPr>
                      <w:szCs w:val="21"/>
                      <w:vertAlign w:val="superscript"/>
                    </w:rPr>
                    <w:t>3</w:t>
                  </w:r>
                  <w:r>
                    <w:rPr>
                      <w:szCs w:val="21"/>
                    </w:rPr>
                    <w:t xml:space="preserve"> )</w:t>
                  </w:r>
                </w:p>
              </w:tc>
              <w:tc>
                <w:tcPr>
                  <w:tcW w:w="1927" w:type="dxa"/>
                  <w:noWrap w:val="0"/>
                  <w:vAlign w:val="top"/>
                </w:tcPr>
                <w:p w14:paraId="655F1B39">
                  <w:pPr>
                    <w:jc w:val="center"/>
                    <w:rPr>
                      <w:szCs w:val="21"/>
                    </w:rPr>
                  </w:pPr>
                  <w:r>
                    <w:rPr>
                      <w:szCs w:val="21"/>
                    </w:rPr>
                    <w:t>10</w:t>
                  </w:r>
                </w:p>
              </w:tc>
              <w:tc>
                <w:tcPr>
                  <w:tcW w:w="2397" w:type="dxa"/>
                  <w:noWrap w:val="0"/>
                  <w:vAlign w:val="top"/>
                </w:tcPr>
                <w:p w14:paraId="721161A8">
                  <w:pPr>
                    <w:jc w:val="center"/>
                    <w:rPr>
                      <w:szCs w:val="21"/>
                    </w:rPr>
                  </w:pPr>
                  <w:r>
                    <w:rPr>
                      <w:szCs w:val="21"/>
                    </w:rPr>
                    <w:t>4</w:t>
                  </w:r>
                </w:p>
              </w:tc>
              <w:tc>
                <w:tcPr>
                  <w:tcW w:w="1452" w:type="dxa"/>
                  <w:noWrap w:val="0"/>
                  <w:vAlign w:val="top"/>
                </w:tcPr>
                <w:p w14:paraId="7BE1E016">
                  <w:pPr>
                    <w:jc w:val="center"/>
                    <w:rPr>
                      <w:szCs w:val="21"/>
                    </w:rPr>
                  </w:pPr>
                  <w:r>
                    <w:rPr>
                      <w:szCs w:val="21"/>
                    </w:rPr>
                    <w:t>—</w:t>
                  </w:r>
                </w:p>
              </w:tc>
            </w:tr>
            <w:tr w14:paraId="4EAF5C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2143" w:type="dxa"/>
                  <w:noWrap w:val="0"/>
                  <w:vAlign w:val="top"/>
                </w:tcPr>
                <w:p w14:paraId="44668017">
                  <w:pPr>
                    <w:jc w:val="center"/>
                    <w:rPr>
                      <w:color w:val="auto"/>
                      <w:szCs w:val="21"/>
                    </w:rPr>
                  </w:pPr>
                  <w:r>
                    <w:rPr>
                      <w:rFonts w:hint="eastAsia"/>
                      <w:color w:val="auto"/>
                      <w:szCs w:val="21"/>
                    </w:rPr>
                    <w:t>TSP</w:t>
                  </w:r>
                  <w:r>
                    <w:rPr>
                      <w:color w:val="auto"/>
                      <w:szCs w:val="21"/>
                    </w:rPr>
                    <w:t>(mg/m</w:t>
                  </w:r>
                  <w:r>
                    <w:rPr>
                      <w:color w:val="auto"/>
                      <w:szCs w:val="21"/>
                      <w:vertAlign w:val="superscript"/>
                    </w:rPr>
                    <w:t>3</w:t>
                  </w:r>
                  <w:r>
                    <w:rPr>
                      <w:color w:val="auto"/>
                      <w:szCs w:val="21"/>
                    </w:rPr>
                    <w:t xml:space="preserve"> )</w:t>
                  </w:r>
                </w:p>
              </w:tc>
              <w:tc>
                <w:tcPr>
                  <w:tcW w:w="1927" w:type="dxa"/>
                  <w:noWrap w:val="0"/>
                  <w:vAlign w:val="top"/>
                </w:tcPr>
                <w:p w14:paraId="566A44AE">
                  <w:pPr>
                    <w:jc w:val="center"/>
                    <w:rPr>
                      <w:color w:val="auto"/>
                      <w:szCs w:val="21"/>
                    </w:rPr>
                  </w:pPr>
                  <w:r>
                    <w:rPr>
                      <w:color w:val="auto"/>
                      <w:szCs w:val="21"/>
                    </w:rPr>
                    <w:t>—</w:t>
                  </w:r>
                </w:p>
              </w:tc>
              <w:tc>
                <w:tcPr>
                  <w:tcW w:w="2397" w:type="dxa"/>
                  <w:noWrap w:val="0"/>
                  <w:vAlign w:val="top"/>
                </w:tcPr>
                <w:p w14:paraId="4C327E83">
                  <w:pPr>
                    <w:jc w:val="center"/>
                    <w:rPr>
                      <w:color w:val="auto"/>
                      <w:szCs w:val="21"/>
                    </w:rPr>
                  </w:pPr>
                  <w:r>
                    <w:rPr>
                      <w:rFonts w:hint="eastAsia"/>
                      <w:color w:val="auto"/>
                      <w:szCs w:val="21"/>
                    </w:rPr>
                    <w:t>0.3</w:t>
                  </w:r>
                </w:p>
              </w:tc>
              <w:tc>
                <w:tcPr>
                  <w:tcW w:w="1452" w:type="dxa"/>
                  <w:noWrap w:val="0"/>
                  <w:vAlign w:val="top"/>
                </w:tcPr>
                <w:p w14:paraId="5CED5D0C">
                  <w:pPr>
                    <w:jc w:val="center"/>
                    <w:rPr>
                      <w:color w:val="auto"/>
                      <w:szCs w:val="21"/>
                    </w:rPr>
                  </w:pPr>
                  <w:r>
                    <w:rPr>
                      <w:rFonts w:hint="eastAsia"/>
                      <w:color w:val="auto"/>
                      <w:szCs w:val="21"/>
                    </w:rPr>
                    <w:t>0.2</w:t>
                  </w:r>
                </w:p>
              </w:tc>
            </w:tr>
            <w:tr w14:paraId="18BC2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2143" w:type="dxa"/>
                  <w:noWrap w:val="0"/>
                  <w:vAlign w:val="top"/>
                </w:tcPr>
                <w:p w14:paraId="2E7DB429">
                  <w:pPr>
                    <w:jc w:val="center"/>
                    <w:rPr>
                      <w:rFonts w:hint="eastAsia"/>
                      <w:color w:val="auto"/>
                      <w:szCs w:val="21"/>
                    </w:rPr>
                  </w:pPr>
                  <w:r>
                    <w:rPr>
                      <w:color w:val="auto"/>
                      <w:szCs w:val="21"/>
                    </w:rPr>
                    <w:t>NO</w:t>
                  </w:r>
                  <w:r>
                    <w:rPr>
                      <w:rFonts w:hint="eastAsia"/>
                      <w:color w:val="auto"/>
                      <w:szCs w:val="21"/>
                      <w:vertAlign w:val="subscript"/>
                    </w:rPr>
                    <w:t>X</w:t>
                  </w:r>
                  <w:r>
                    <w:rPr>
                      <w:color w:val="auto"/>
                      <w:szCs w:val="21"/>
                    </w:rPr>
                    <w:t xml:space="preserve"> (mg/m</w:t>
                  </w:r>
                  <w:r>
                    <w:rPr>
                      <w:color w:val="auto"/>
                      <w:szCs w:val="21"/>
                      <w:vertAlign w:val="superscript"/>
                    </w:rPr>
                    <w:t>3</w:t>
                  </w:r>
                  <w:r>
                    <w:rPr>
                      <w:color w:val="auto"/>
                      <w:szCs w:val="21"/>
                    </w:rPr>
                    <w:t xml:space="preserve"> )</w:t>
                  </w:r>
                </w:p>
              </w:tc>
              <w:tc>
                <w:tcPr>
                  <w:tcW w:w="1927" w:type="dxa"/>
                  <w:noWrap w:val="0"/>
                  <w:vAlign w:val="top"/>
                </w:tcPr>
                <w:p w14:paraId="2A48DA47">
                  <w:pPr>
                    <w:jc w:val="center"/>
                    <w:rPr>
                      <w:rFonts w:hint="eastAsia"/>
                      <w:color w:val="auto"/>
                      <w:szCs w:val="21"/>
                    </w:rPr>
                  </w:pPr>
                  <w:r>
                    <w:rPr>
                      <w:color w:val="auto"/>
                      <w:szCs w:val="21"/>
                    </w:rPr>
                    <w:t>0.2</w:t>
                  </w:r>
                  <w:r>
                    <w:rPr>
                      <w:rFonts w:hint="eastAsia"/>
                      <w:color w:val="auto"/>
                      <w:szCs w:val="21"/>
                    </w:rPr>
                    <w:t>5</w:t>
                  </w:r>
                </w:p>
              </w:tc>
              <w:tc>
                <w:tcPr>
                  <w:tcW w:w="2397" w:type="dxa"/>
                  <w:noWrap w:val="0"/>
                  <w:vAlign w:val="top"/>
                </w:tcPr>
                <w:p w14:paraId="2F6675BA">
                  <w:pPr>
                    <w:jc w:val="center"/>
                    <w:rPr>
                      <w:rFonts w:hint="eastAsia"/>
                      <w:color w:val="auto"/>
                      <w:szCs w:val="21"/>
                    </w:rPr>
                  </w:pPr>
                  <w:r>
                    <w:rPr>
                      <w:color w:val="auto"/>
                      <w:szCs w:val="21"/>
                    </w:rPr>
                    <w:t>0.</w:t>
                  </w:r>
                  <w:r>
                    <w:rPr>
                      <w:rFonts w:hint="eastAsia"/>
                      <w:color w:val="auto"/>
                      <w:szCs w:val="21"/>
                    </w:rPr>
                    <w:t>1</w:t>
                  </w:r>
                </w:p>
              </w:tc>
              <w:tc>
                <w:tcPr>
                  <w:tcW w:w="1452" w:type="dxa"/>
                  <w:noWrap w:val="0"/>
                  <w:vAlign w:val="top"/>
                </w:tcPr>
                <w:p w14:paraId="71278D58">
                  <w:pPr>
                    <w:jc w:val="center"/>
                    <w:rPr>
                      <w:color w:val="auto"/>
                      <w:szCs w:val="21"/>
                    </w:rPr>
                  </w:pPr>
                  <w:r>
                    <w:rPr>
                      <w:color w:val="auto"/>
                      <w:szCs w:val="21"/>
                    </w:rPr>
                    <w:t>0.0</w:t>
                  </w:r>
                  <w:r>
                    <w:rPr>
                      <w:rFonts w:hint="eastAsia"/>
                      <w:color w:val="auto"/>
                      <w:szCs w:val="21"/>
                    </w:rPr>
                    <w:t>5</w:t>
                  </w:r>
                </w:p>
              </w:tc>
            </w:tr>
            <w:tr w14:paraId="1282F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jc w:val="center"/>
              </w:trPr>
              <w:tc>
                <w:tcPr>
                  <w:tcW w:w="2143" w:type="dxa"/>
                  <w:noWrap w:val="0"/>
                  <w:vAlign w:val="top"/>
                </w:tcPr>
                <w:p w14:paraId="056C5221">
                  <w:pPr>
                    <w:jc w:val="center"/>
                    <w:rPr>
                      <w:color w:val="auto"/>
                      <w:szCs w:val="21"/>
                    </w:rPr>
                  </w:pPr>
                  <w:r>
                    <w:rPr>
                      <w:rFonts w:hint="eastAsia"/>
                      <w:color w:val="auto"/>
                      <w:szCs w:val="21"/>
                    </w:rPr>
                    <w:t>总挥发性有机物（TVOC）</w:t>
                  </w:r>
                  <w:r>
                    <w:rPr>
                      <w:color w:val="auto"/>
                      <w:szCs w:val="21"/>
                    </w:rPr>
                    <w:t xml:space="preserve"> (mg/m</w:t>
                  </w:r>
                  <w:r>
                    <w:rPr>
                      <w:color w:val="auto"/>
                      <w:szCs w:val="21"/>
                      <w:vertAlign w:val="superscript"/>
                    </w:rPr>
                    <w:t>3</w:t>
                  </w:r>
                  <w:r>
                    <w:rPr>
                      <w:color w:val="auto"/>
                      <w:szCs w:val="21"/>
                    </w:rPr>
                    <w:t xml:space="preserve"> )</w:t>
                  </w:r>
                </w:p>
              </w:tc>
              <w:tc>
                <w:tcPr>
                  <w:tcW w:w="5776" w:type="dxa"/>
                  <w:gridSpan w:val="3"/>
                  <w:noWrap w:val="0"/>
                  <w:vAlign w:val="top"/>
                </w:tcPr>
                <w:p w14:paraId="01EF1D57">
                  <w:pPr>
                    <w:jc w:val="center"/>
                    <w:rPr>
                      <w:color w:val="auto"/>
                      <w:szCs w:val="21"/>
                    </w:rPr>
                  </w:pPr>
                  <w:r>
                    <w:rPr>
                      <w:rFonts w:hint="eastAsia"/>
                      <w:color w:val="auto"/>
                      <w:szCs w:val="21"/>
                    </w:rPr>
                    <w:t>0.6（8h平均值）</w:t>
                  </w:r>
                </w:p>
              </w:tc>
            </w:tr>
          </w:tbl>
          <w:p w14:paraId="1187DDAD">
            <w:pPr>
              <w:pStyle w:val="5"/>
              <w:ind w:left="0" w:leftChars="0" w:firstLine="0" w:firstLineChars="0"/>
            </w:pPr>
          </w:p>
          <w:p w14:paraId="574B3FE3">
            <w:pPr>
              <w:pStyle w:val="45"/>
              <w:numPr>
                <w:ilvl w:val="0"/>
                <w:numId w:val="0"/>
              </w:numPr>
              <w:adjustRightInd w:val="0"/>
              <w:snapToGrid w:val="0"/>
              <w:ind w:left="0" w:leftChars="0" w:firstLine="0" w:firstLineChars="0"/>
              <w:rPr>
                <w:rFonts w:hint="eastAsia" w:hAnsi="Times New Roman"/>
                <w:b/>
                <w:bCs/>
                <w:snapToGrid/>
                <w:color w:val="auto"/>
                <w:kern w:val="2"/>
                <w:sz w:val="24"/>
                <w:lang w:val="en-US" w:bidi="ar-SA"/>
              </w:rPr>
            </w:pPr>
            <w:r>
              <w:rPr>
                <w:rFonts w:hint="eastAsia" w:ascii="Times New Roman" w:hAnsi="Times New Roman" w:eastAsia="宋体" w:cs="Times New Roman"/>
                <w:b/>
                <w:bCs/>
                <w:snapToGrid/>
                <w:color w:val="auto"/>
                <w:kern w:val="2"/>
                <w:sz w:val="24"/>
                <w:szCs w:val="24"/>
                <w:lang w:val="en-US" w:eastAsia="zh-CN" w:bidi="ar-SA"/>
              </w:rPr>
              <w:t>2、</w:t>
            </w:r>
            <w:r>
              <w:rPr>
                <w:rFonts w:hint="eastAsia" w:hAnsi="Times New Roman"/>
                <w:b/>
                <w:bCs/>
                <w:snapToGrid/>
                <w:color w:val="auto"/>
                <w:kern w:val="2"/>
                <w:sz w:val="24"/>
                <w:lang w:val="en-US" w:bidi="ar-SA"/>
              </w:rPr>
              <w:t>地表水环境质量标准</w:t>
            </w:r>
          </w:p>
          <w:p w14:paraId="2906724B">
            <w:pPr>
              <w:adjustRightInd w:val="0"/>
              <w:snapToGrid w:val="0"/>
              <w:spacing w:line="360" w:lineRule="auto"/>
              <w:ind w:firstLine="470" w:firstLineChars="196"/>
              <w:rPr>
                <w:rFonts w:hint="eastAsia"/>
                <w:sz w:val="24"/>
                <w:lang w:val="en-GB" w:eastAsia="zh-CN"/>
              </w:rPr>
            </w:pPr>
            <w:r>
              <w:rPr>
                <w:sz w:val="24"/>
                <w:lang w:val="en-GB"/>
              </w:rPr>
              <w:t>项目区主要水系</w:t>
            </w:r>
            <w:r>
              <w:rPr>
                <w:rFonts w:hint="eastAsia"/>
                <w:sz w:val="24"/>
                <w:lang w:val="en-GB"/>
              </w:rPr>
              <w:t>为</w:t>
            </w:r>
          </w:p>
          <w:p w14:paraId="1D531BE4">
            <w:pPr>
              <w:adjustRightInd w:val="0"/>
              <w:snapToGrid w:val="0"/>
              <w:spacing w:line="360" w:lineRule="auto"/>
              <w:ind w:firstLine="470" w:firstLineChars="196"/>
              <w:rPr>
                <w:rFonts w:hint="eastAsia" w:hAnsi="Times New Roman"/>
                <w:b w:val="0"/>
                <w:bCs w:val="0"/>
                <w:snapToGrid/>
                <w:color w:val="auto"/>
                <w:kern w:val="2"/>
                <w:sz w:val="24"/>
                <w:lang w:val="en-US" w:eastAsia="zh-CN" w:bidi="ar-SA"/>
              </w:rPr>
            </w:pPr>
            <w:r>
              <w:rPr>
                <w:rFonts w:hint="eastAsia"/>
                <w:sz w:val="24"/>
                <w:lang w:val="en-GB" w:eastAsia="zh-CN"/>
              </w:rPr>
              <w:t>（</w:t>
            </w:r>
            <w:r>
              <w:rPr>
                <w:rFonts w:hint="eastAsia"/>
                <w:sz w:val="24"/>
                <w:lang w:val="en-US" w:eastAsia="zh-CN"/>
              </w:rPr>
              <w:t>1</w:t>
            </w:r>
            <w:r>
              <w:rPr>
                <w:rFonts w:hint="eastAsia"/>
                <w:sz w:val="24"/>
                <w:lang w:val="en-GB" w:eastAsia="zh-CN"/>
              </w:rPr>
              <w:t>）南</w:t>
            </w:r>
            <w:r>
              <w:rPr>
                <w:rFonts w:hint="eastAsia"/>
                <w:color w:val="000000"/>
                <w:sz w:val="24"/>
                <w:lang w:val="en-GB"/>
              </w:rPr>
              <w:t>侧距项目区</w:t>
            </w:r>
            <w:r>
              <w:rPr>
                <w:rFonts w:hint="eastAsia"/>
                <w:color w:val="000000"/>
                <w:sz w:val="24"/>
                <w:lang w:val="en-US" w:eastAsia="zh-CN"/>
              </w:rPr>
              <w:t>2700</w:t>
            </w:r>
            <w:r>
              <w:rPr>
                <w:rFonts w:hint="eastAsia"/>
                <w:color w:val="000000"/>
                <w:sz w:val="24"/>
              </w:rPr>
              <w:t>m处</w:t>
            </w:r>
            <w:r>
              <w:rPr>
                <w:rFonts w:hint="eastAsia"/>
                <w:color w:val="000000"/>
                <w:sz w:val="24"/>
                <w:lang w:eastAsia="zh-CN"/>
              </w:rPr>
              <w:t>芒市大河</w:t>
            </w:r>
            <w:r>
              <w:rPr>
                <w:rFonts w:hAnsi="宋体"/>
                <w:color w:val="000000"/>
                <w:sz w:val="24"/>
                <w:lang w:val="en-GB"/>
              </w:rPr>
              <w:t>（</w:t>
            </w:r>
            <w:r>
              <w:rPr>
                <w:rFonts w:hint="eastAsia" w:hAnsi="宋体"/>
                <w:color w:val="auto"/>
                <w:sz w:val="24"/>
                <w:lang w:val="en-GB" w:eastAsia="zh-CN"/>
              </w:rPr>
              <w:t>遮放团结</w:t>
            </w:r>
            <w:r>
              <w:rPr>
                <w:color w:val="auto"/>
                <w:sz w:val="24"/>
                <w:lang w:val="en-GB"/>
              </w:rPr>
              <w:t>—</w:t>
            </w:r>
            <w:r>
              <w:rPr>
                <w:rFonts w:hint="eastAsia"/>
                <w:color w:val="auto"/>
                <w:sz w:val="24"/>
                <w:lang w:val="en-GB" w:eastAsia="zh-CN"/>
              </w:rPr>
              <w:t>龙江</w:t>
            </w:r>
            <w:r>
              <w:rPr>
                <w:rFonts w:hint="eastAsia"/>
                <w:color w:val="auto"/>
                <w:sz w:val="24"/>
                <w:lang w:val="en-GB"/>
              </w:rPr>
              <w:t>口</w:t>
            </w:r>
            <w:r>
              <w:rPr>
                <w:rFonts w:hAnsi="宋体"/>
                <w:color w:val="000000"/>
                <w:sz w:val="24"/>
                <w:lang w:val="en-GB"/>
              </w:rPr>
              <w:t>）</w:t>
            </w:r>
            <w:r>
              <w:rPr>
                <w:rFonts w:hint="eastAsia"/>
                <w:color w:val="000000"/>
                <w:sz w:val="24"/>
              </w:rPr>
              <w:t>，</w:t>
            </w:r>
            <w:r>
              <w:rPr>
                <w:color w:val="000000"/>
                <w:sz w:val="24"/>
              </w:rPr>
              <w:t>根据《德宏州人民政府关于水功</w:t>
            </w:r>
            <w:r>
              <w:rPr>
                <w:color w:val="auto"/>
                <w:sz w:val="24"/>
              </w:rPr>
              <w:t>能区划复核和调整报告》（德政复（2014）257号）区划水质标准，</w:t>
            </w:r>
            <w:r>
              <w:rPr>
                <w:rFonts w:hint="eastAsia"/>
                <w:color w:val="auto"/>
                <w:sz w:val="24"/>
                <w:lang w:eastAsia="zh-CN"/>
              </w:rPr>
              <w:t>芒市大河</w:t>
            </w:r>
            <w:r>
              <w:rPr>
                <w:rFonts w:hAnsi="宋体"/>
                <w:color w:val="auto"/>
                <w:sz w:val="24"/>
                <w:lang w:val="en-GB"/>
              </w:rPr>
              <w:t>（</w:t>
            </w:r>
            <w:r>
              <w:rPr>
                <w:rFonts w:hint="eastAsia" w:hAnsi="宋体"/>
                <w:color w:val="auto"/>
                <w:sz w:val="24"/>
                <w:lang w:val="en-GB" w:eastAsia="zh-CN"/>
              </w:rPr>
              <w:t>遮放团结</w:t>
            </w:r>
            <w:r>
              <w:rPr>
                <w:color w:val="auto"/>
                <w:sz w:val="24"/>
                <w:lang w:val="en-GB"/>
              </w:rPr>
              <w:t>—</w:t>
            </w:r>
            <w:r>
              <w:rPr>
                <w:rFonts w:hint="eastAsia"/>
                <w:color w:val="auto"/>
                <w:sz w:val="24"/>
                <w:lang w:val="en-GB" w:eastAsia="zh-CN"/>
              </w:rPr>
              <w:t>龙江</w:t>
            </w:r>
            <w:r>
              <w:rPr>
                <w:rFonts w:hint="eastAsia"/>
                <w:color w:val="auto"/>
                <w:sz w:val="24"/>
                <w:lang w:val="en-GB"/>
              </w:rPr>
              <w:t>口</w:t>
            </w:r>
            <w:r>
              <w:rPr>
                <w:rFonts w:hAnsi="宋体"/>
                <w:color w:val="auto"/>
                <w:sz w:val="24"/>
                <w:lang w:val="en-GB"/>
              </w:rPr>
              <w:t>）</w:t>
            </w:r>
            <w:r>
              <w:rPr>
                <w:color w:val="auto"/>
                <w:sz w:val="24"/>
                <w:lang w:val="en-GB"/>
              </w:rPr>
              <w:t>水功能区划为</w:t>
            </w:r>
            <w:r>
              <w:rPr>
                <w:rFonts w:hint="eastAsia"/>
                <w:color w:val="auto"/>
                <w:sz w:val="24"/>
                <w:lang w:val="en-GB" w:eastAsia="zh-CN"/>
              </w:rPr>
              <w:t>芒市河（下）</w:t>
            </w:r>
            <w:r>
              <w:rPr>
                <w:color w:val="auto"/>
                <w:sz w:val="24"/>
                <w:lang w:val="en-GB"/>
              </w:rPr>
              <w:t>开发利用区</w:t>
            </w:r>
            <w:r>
              <w:rPr>
                <w:rFonts w:hint="eastAsia"/>
                <w:color w:val="auto"/>
                <w:sz w:val="24"/>
                <w:lang w:val="en-GB"/>
              </w:rPr>
              <w:t>，</w:t>
            </w:r>
            <w:r>
              <w:rPr>
                <w:rFonts w:hint="eastAsia"/>
                <w:color w:val="auto"/>
                <w:sz w:val="24"/>
              </w:rPr>
              <w:t>2030</w:t>
            </w:r>
            <w:r>
              <w:rPr>
                <w:color w:val="auto"/>
                <w:sz w:val="24"/>
                <w:lang w:val="en-GB"/>
              </w:rPr>
              <w:t>年规划水质目标为Ⅲ类。具体标准值见表</w:t>
            </w:r>
            <w:r>
              <w:rPr>
                <w:rFonts w:hint="eastAsia"/>
                <w:color w:val="auto"/>
                <w:sz w:val="24"/>
              </w:rPr>
              <w:t>3-</w:t>
            </w:r>
            <w:r>
              <w:rPr>
                <w:rFonts w:hint="eastAsia"/>
                <w:color w:val="auto"/>
                <w:sz w:val="24"/>
                <w:lang w:val="en-US" w:eastAsia="zh-CN"/>
              </w:rPr>
              <w:t>6</w:t>
            </w:r>
            <w:r>
              <w:rPr>
                <w:color w:val="auto"/>
                <w:sz w:val="24"/>
                <w:lang w:val="en-GB"/>
              </w:rPr>
              <w:t>。</w:t>
            </w:r>
          </w:p>
          <w:p w14:paraId="1B1175EC">
            <w:pPr>
              <w:pStyle w:val="45"/>
              <w:numPr>
                <w:ilvl w:val="0"/>
                <w:numId w:val="0"/>
              </w:numPr>
              <w:adjustRightInd w:val="0"/>
              <w:snapToGrid w:val="0"/>
              <w:ind w:left="0" w:leftChars="0" w:firstLine="480" w:firstLineChars="200"/>
              <w:rPr>
                <w:color w:val="auto"/>
                <w:sz w:val="24"/>
                <w:lang w:val="en-GB"/>
              </w:rPr>
            </w:pPr>
            <w:r>
              <w:rPr>
                <w:rFonts w:ascii="Times New Roman" w:hAnsi="宋体" w:eastAsia="宋体" w:cs="Times New Roman"/>
                <w:snapToGrid w:val="0"/>
                <w:color w:val="auto"/>
                <w:kern w:val="0"/>
                <w:sz w:val="24"/>
                <w:szCs w:val="24"/>
                <w:lang w:val="en-GB" w:eastAsia="zh-CN" w:bidi="he-IL"/>
              </w:rPr>
              <w:t>（</w:t>
            </w:r>
            <w:r>
              <w:rPr>
                <w:rFonts w:hint="eastAsia" w:cs="Times New Roman"/>
                <w:snapToGrid w:val="0"/>
                <w:color w:val="auto"/>
                <w:kern w:val="0"/>
                <w:sz w:val="24"/>
                <w:szCs w:val="24"/>
                <w:lang w:val="en-US" w:eastAsia="zh-CN" w:bidi="he-IL"/>
              </w:rPr>
              <w:t>2</w:t>
            </w:r>
            <w:r>
              <w:rPr>
                <w:rFonts w:ascii="Times New Roman" w:hAnsi="宋体" w:eastAsia="宋体" w:cs="Times New Roman"/>
                <w:snapToGrid w:val="0"/>
                <w:color w:val="auto"/>
                <w:kern w:val="0"/>
                <w:sz w:val="24"/>
                <w:szCs w:val="24"/>
                <w:lang w:val="en-GB" w:eastAsia="zh-CN" w:bidi="he-IL"/>
              </w:rPr>
              <w:t>）</w:t>
            </w:r>
            <w:r>
              <w:rPr>
                <w:rFonts w:hint="eastAsia" w:hAnsi="Times New Roman"/>
                <w:b w:val="0"/>
                <w:bCs w:val="0"/>
                <w:snapToGrid/>
                <w:color w:val="auto"/>
                <w:kern w:val="2"/>
                <w:sz w:val="24"/>
                <w:lang w:val="en-US" w:eastAsia="zh-CN" w:bidi="ar-SA"/>
              </w:rPr>
              <w:t>西侧距离项目区4500m处龙江（龙江入—遮冒），</w:t>
            </w:r>
            <w:r>
              <w:rPr>
                <w:color w:val="000000"/>
                <w:sz w:val="24"/>
              </w:rPr>
              <w:t>根据《德宏州人民政府关于水功</w:t>
            </w:r>
            <w:r>
              <w:rPr>
                <w:color w:val="auto"/>
                <w:sz w:val="24"/>
              </w:rPr>
              <w:t>能区划复核和调整报告》（德政复（2014）257号）区划水质标准，</w:t>
            </w:r>
            <w:r>
              <w:rPr>
                <w:rFonts w:hint="eastAsia" w:hAnsi="Times New Roman"/>
                <w:b w:val="0"/>
                <w:bCs w:val="0"/>
                <w:snapToGrid/>
                <w:color w:val="auto"/>
                <w:kern w:val="2"/>
                <w:sz w:val="24"/>
                <w:lang w:val="en-US" w:eastAsia="zh-CN" w:bidi="ar-SA"/>
              </w:rPr>
              <w:t>龙江（龙江入—遮冒）</w:t>
            </w:r>
            <w:r>
              <w:rPr>
                <w:color w:val="auto"/>
                <w:sz w:val="24"/>
                <w:lang w:val="en-GB"/>
              </w:rPr>
              <w:t>水功能区划为</w:t>
            </w:r>
            <w:r>
              <w:rPr>
                <w:rFonts w:hint="eastAsia"/>
                <w:color w:val="auto"/>
                <w:sz w:val="24"/>
                <w:lang w:val="en-GB"/>
              </w:rPr>
              <w:t>龙江电站水库芒市开发利用区</w:t>
            </w:r>
            <w:r>
              <w:rPr>
                <w:rFonts w:hint="eastAsia"/>
                <w:color w:val="auto"/>
                <w:sz w:val="24"/>
                <w:lang w:val="en-GB" w:eastAsia="zh-CN"/>
              </w:rPr>
              <w:t>，</w:t>
            </w:r>
            <w:r>
              <w:rPr>
                <w:rFonts w:hint="eastAsia"/>
                <w:color w:val="auto"/>
                <w:sz w:val="24"/>
              </w:rPr>
              <w:t>2030</w:t>
            </w:r>
            <w:r>
              <w:rPr>
                <w:color w:val="auto"/>
                <w:sz w:val="24"/>
                <w:lang w:val="en-GB"/>
              </w:rPr>
              <w:t>年规划水质目标为Ⅲ类。具体标准值见表</w:t>
            </w:r>
            <w:r>
              <w:rPr>
                <w:rFonts w:hint="eastAsia"/>
                <w:color w:val="auto"/>
                <w:sz w:val="24"/>
              </w:rPr>
              <w:t>3-</w:t>
            </w:r>
            <w:r>
              <w:rPr>
                <w:rFonts w:hint="eastAsia"/>
                <w:color w:val="auto"/>
                <w:sz w:val="24"/>
                <w:lang w:val="en-US" w:eastAsia="zh-CN"/>
              </w:rPr>
              <w:t>6</w:t>
            </w:r>
            <w:r>
              <w:rPr>
                <w:color w:val="auto"/>
                <w:sz w:val="24"/>
                <w:lang w:val="en-GB"/>
              </w:rPr>
              <w:t>。</w:t>
            </w:r>
          </w:p>
          <w:p w14:paraId="03DC48E1">
            <w:pPr>
              <w:adjustRightInd w:val="0"/>
              <w:snapToGrid w:val="0"/>
              <w:ind w:left="567"/>
              <w:jc w:val="center"/>
              <w:rPr>
                <w:b/>
                <w:color w:val="auto"/>
                <w:sz w:val="24"/>
              </w:rPr>
            </w:pPr>
          </w:p>
          <w:p w14:paraId="00F3B46D">
            <w:pPr>
              <w:adjustRightInd w:val="0"/>
              <w:snapToGrid w:val="0"/>
              <w:ind w:left="567"/>
              <w:jc w:val="center"/>
              <w:rPr>
                <w:b/>
                <w:color w:val="auto"/>
                <w:sz w:val="24"/>
              </w:rPr>
            </w:pPr>
          </w:p>
          <w:p w14:paraId="2B8EE073">
            <w:pPr>
              <w:adjustRightInd w:val="0"/>
              <w:snapToGrid w:val="0"/>
              <w:ind w:left="567"/>
              <w:jc w:val="center"/>
              <w:rPr>
                <w:b/>
                <w:color w:val="auto"/>
                <w:sz w:val="24"/>
              </w:rPr>
            </w:pPr>
          </w:p>
          <w:p w14:paraId="37BF0C1B">
            <w:pPr>
              <w:adjustRightInd w:val="0"/>
              <w:snapToGrid w:val="0"/>
              <w:ind w:left="567"/>
              <w:jc w:val="center"/>
              <w:rPr>
                <w:b/>
                <w:color w:val="auto"/>
                <w:sz w:val="24"/>
              </w:rPr>
            </w:pPr>
            <w:r>
              <w:rPr>
                <w:b/>
                <w:color w:val="auto"/>
                <w:sz w:val="24"/>
              </w:rPr>
              <w:t>表</w:t>
            </w:r>
            <w:r>
              <w:rPr>
                <w:rFonts w:hint="eastAsia"/>
                <w:b/>
                <w:color w:val="auto"/>
                <w:sz w:val="24"/>
              </w:rPr>
              <w:t>3</w:t>
            </w:r>
            <w:r>
              <w:rPr>
                <w:color w:val="auto"/>
                <w:sz w:val="24"/>
              </w:rPr>
              <w:t>-</w:t>
            </w:r>
            <w:r>
              <w:rPr>
                <w:rFonts w:hint="eastAsia"/>
                <w:color w:val="auto"/>
                <w:sz w:val="24"/>
                <w:lang w:val="en-US" w:eastAsia="zh-CN"/>
              </w:rPr>
              <w:t>6</w:t>
            </w:r>
            <w:r>
              <w:rPr>
                <w:b/>
                <w:color w:val="auto"/>
                <w:sz w:val="24"/>
              </w:rPr>
              <w:t>地表水环境质量限值  单位：mg/L</w:t>
            </w:r>
          </w:p>
          <w:tbl>
            <w:tblPr>
              <w:tblStyle w:val="23"/>
              <w:tblW w:w="7877"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720"/>
              <w:gridCol w:w="872"/>
              <w:gridCol w:w="898"/>
              <w:gridCol w:w="737"/>
              <w:gridCol w:w="667"/>
              <w:gridCol w:w="830"/>
              <w:gridCol w:w="899"/>
              <w:gridCol w:w="1200"/>
            </w:tblGrid>
            <w:tr w14:paraId="04F7F5E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1054" w:type="dxa"/>
                  <w:noWrap w:val="0"/>
                  <w:vAlign w:val="center"/>
                </w:tcPr>
                <w:p w14:paraId="030CB29C">
                  <w:pPr>
                    <w:snapToGrid w:val="0"/>
                    <w:spacing w:line="360" w:lineRule="auto"/>
                    <w:ind w:left="72" w:hanging="72" w:hangingChars="34"/>
                    <w:jc w:val="center"/>
                    <w:rPr>
                      <w:b/>
                      <w:color w:val="auto"/>
                      <w:szCs w:val="21"/>
                    </w:rPr>
                  </w:pPr>
                  <w:r>
                    <w:rPr>
                      <w:b/>
                      <w:color w:val="auto"/>
                      <w:szCs w:val="21"/>
                    </w:rPr>
                    <w:t>项目</w:t>
                  </w:r>
                </w:p>
              </w:tc>
              <w:tc>
                <w:tcPr>
                  <w:tcW w:w="720" w:type="dxa"/>
                  <w:noWrap w:val="0"/>
                  <w:vAlign w:val="center"/>
                </w:tcPr>
                <w:p w14:paraId="4EF45D54">
                  <w:pPr>
                    <w:snapToGrid w:val="0"/>
                    <w:spacing w:line="360" w:lineRule="auto"/>
                    <w:ind w:left="72" w:hanging="72" w:hangingChars="34"/>
                    <w:jc w:val="center"/>
                    <w:rPr>
                      <w:b/>
                      <w:color w:val="auto"/>
                      <w:szCs w:val="21"/>
                    </w:rPr>
                  </w:pPr>
                  <w:r>
                    <w:rPr>
                      <w:b/>
                      <w:color w:val="auto"/>
                      <w:szCs w:val="21"/>
                    </w:rPr>
                    <w:t>pH</w:t>
                  </w:r>
                </w:p>
              </w:tc>
              <w:tc>
                <w:tcPr>
                  <w:tcW w:w="872" w:type="dxa"/>
                  <w:noWrap w:val="0"/>
                  <w:vAlign w:val="center"/>
                </w:tcPr>
                <w:p w14:paraId="5376CE63">
                  <w:pPr>
                    <w:snapToGrid w:val="0"/>
                    <w:spacing w:line="360" w:lineRule="auto"/>
                    <w:ind w:left="72" w:hanging="72" w:hangingChars="34"/>
                    <w:jc w:val="center"/>
                    <w:rPr>
                      <w:b/>
                      <w:color w:val="auto"/>
                      <w:szCs w:val="21"/>
                    </w:rPr>
                  </w:pPr>
                  <w:r>
                    <w:rPr>
                      <w:b/>
                      <w:color w:val="auto"/>
                      <w:szCs w:val="21"/>
                    </w:rPr>
                    <w:t>COD</w:t>
                  </w:r>
                  <w:r>
                    <w:rPr>
                      <w:rFonts w:hint="eastAsia"/>
                      <w:b/>
                      <w:color w:val="auto"/>
                      <w:szCs w:val="21"/>
                      <w:vertAlign w:val="subscript"/>
                    </w:rPr>
                    <w:t>cr</w:t>
                  </w:r>
                </w:p>
              </w:tc>
              <w:tc>
                <w:tcPr>
                  <w:tcW w:w="898" w:type="dxa"/>
                  <w:noWrap w:val="0"/>
                  <w:vAlign w:val="center"/>
                </w:tcPr>
                <w:p w14:paraId="2D2E55EF">
                  <w:pPr>
                    <w:snapToGrid w:val="0"/>
                    <w:spacing w:line="360" w:lineRule="auto"/>
                    <w:ind w:left="72" w:hanging="72" w:hangingChars="34"/>
                    <w:jc w:val="center"/>
                    <w:rPr>
                      <w:b/>
                      <w:color w:val="auto"/>
                      <w:szCs w:val="21"/>
                    </w:rPr>
                  </w:pPr>
                  <w:r>
                    <w:rPr>
                      <w:rFonts w:hint="eastAsia"/>
                      <w:b/>
                      <w:color w:val="auto"/>
                      <w:szCs w:val="21"/>
                    </w:rPr>
                    <w:t>溶解氧</w:t>
                  </w:r>
                </w:p>
              </w:tc>
              <w:tc>
                <w:tcPr>
                  <w:tcW w:w="737" w:type="dxa"/>
                  <w:noWrap w:val="0"/>
                  <w:vAlign w:val="center"/>
                </w:tcPr>
                <w:p w14:paraId="39CCA995">
                  <w:pPr>
                    <w:snapToGrid w:val="0"/>
                    <w:spacing w:line="360" w:lineRule="auto"/>
                    <w:ind w:left="72" w:hanging="72" w:hangingChars="34"/>
                    <w:jc w:val="center"/>
                    <w:rPr>
                      <w:b/>
                      <w:color w:val="auto"/>
                      <w:szCs w:val="21"/>
                    </w:rPr>
                  </w:pPr>
                  <w:r>
                    <w:rPr>
                      <w:b/>
                      <w:color w:val="auto"/>
                      <w:szCs w:val="21"/>
                    </w:rPr>
                    <w:t>BOD</w:t>
                  </w:r>
                  <w:r>
                    <w:rPr>
                      <w:b/>
                      <w:color w:val="auto"/>
                      <w:szCs w:val="21"/>
                      <w:vertAlign w:val="subscript"/>
                    </w:rPr>
                    <w:t>5</w:t>
                  </w:r>
                </w:p>
              </w:tc>
              <w:tc>
                <w:tcPr>
                  <w:tcW w:w="667" w:type="dxa"/>
                  <w:noWrap w:val="0"/>
                  <w:vAlign w:val="center"/>
                </w:tcPr>
                <w:p w14:paraId="334987D9">
                  <w:pPr>
                    <w:snapToGrid w:val="0"/>
                    <w:spacing w:line="360" w:lineRule="auto"/>
                    <w:ind w:left="72" w:hanging="72" w:hangingChars="34"/>
                    <w:jc w:val="center"/>
                    <w:rPr>
                      <w:b/>
                      <w:color w:val="auto"/>
                      <w:szCs w:val="21"/>
                    </w:rPr>
                  </w:pPr>
                  <w:r>
                    <w:rPr>
                      <w:rFonts w:hint="eastAsia"/>
                      <w:b/>
                      <w:color w:val="auto"/>
                      <w:szCs w:val="21"/>
                    </w:rPr>
                    <w:t xml:space="preserve">  </w:t>
                  </w:r>
                  <w:r>
                    <w:rPr>
                      <w:b/>
                      <w:color w:val="auto"/>
                      <w:szCs w:val="21"/>
                    </w:rPr>
                    <w:t>TP</w:t>
                  </w:r>
                </w:p>
              </w:tc>
              <w:tc>
                <w:tcPr>
                  <w:tcW w:w="830" w:type="dxa"/>
                  <w:noWrap w:val="0"/>
                  <w:vAlign w:val="center"/>
                </w:tcPr>
                <w:p w14:paraId="19BD6DFB">
                  <w:pPr>
                    <w:snapToGrid w:val="0"/>
                    <w:spacing w:line="360" w:lineRule="auto"/>
                    <w:ind w:left="72" w:hanging="72" w:hangingChars="34"/>
                    <w:jc w:val="center"/>
                    <w:rPr>
                      <w:b/>
                      <w:color w:val="auto"/>
                      <w:szCs w:val="21"/>
                    </w:rPr>
                  </w:pPr>
                  <w:r>
                    <w:rPr>
                      <w:b/>
                      <w:color w:val="auto"/>
                      <w:szCs w:val="21"/>
                    </w:rPr>
                    <w:t>NH</w:t>
                  </w:r>
                  <w:r>
                    <w:rPr>
                      <w:b/>
                      <w:color w:val="auto"/>
                      <w:szCs w:val="21"/>
                      <w:vertAlign w:val="subscript"/>
                    </w:rPr>
                    <w:t>3</w:t>
                  </w:r>
                  <w:r>
                    <w:rPr>
                      <w:b/>
                      <w:color w:val="auto"/>
                      <w:szCs w:val="21"/>
                    </w:rPr>
                    <w:t>-N</w:t>
                  </w:r>
                </w:p>
              </w:tc>
              <w:tc>
                <w:tcPr>
                  <w:tcW w:w="899" w:type="dxa"/>
                  <w:noWrap w:val="0"/>
                  <w:vAlign w:val="center"/>
                </w:tcPr>
                <w:p w14:paraId="16879009">
                  <w:pPr>
                    <w:snapToGrid w:val="0"/>
                    <w:spacing w:line="360" w:lineRule="auto"/>
                    <w:ind w:left="72" w:hanging="72" w:hangingChars="34"/>
                    <w:jc w:val="center"/>
                    <w:rPr>
                      <w:b/>
                      <w:color w:val="auto"/>
                      <w:szCs w:val="21"/>
                    </w:rPr>
                  </w:pPr>
                  <w:r>
                    <w:rPr>
                      <w:rFonts w:hint="eastAsia"/>
                      <w:b/>
                      <w:color w:val="auto"/>
                      <w:szCs w:val="21"/>
                    </w:rPr>
                    <w:t>石油类</w:t>
                  </w:r>
                </w:p>
              </w:tc>
              <w:tc>
                <w:tcPr>
                  <w:tcW w:w="1200" w:type="dxa"/>
                  <w:noWrap w:val="0"/>
                  <w:vAlign w:val="center"/>
                </w:tcPr>
                <w:p w14:paraId="588D32C5">
                  <w:pPr>
                    <w:snapToGrid w:val="0"/>
                    <w:spacing w:line="360" w:lineRule="auto"/>
                    <w:ind w:left="72" w:hanging="72" w:hangingChars="34"/>
                    <w:jc w:val="center"/>
                    <w:rPr>
                      <w:rFonts w:hint="eastAsia"/>
                      <w:b/>
                      <w:color w:val="auto"/>
                      <w:szCs w:val="21"/>
                    </w:rPr>
                  </w:pPr>
                  <w:r>
                    <w:rPr>
                      <w:rFonts w:hint="eastAsia"/>
                      <w:b/>
                      <w:color w:val="auto"/>
                      <w:szCs w:val="21"/>
                    </w:rPr>
                    <w:t>粪大肠菌群（个/L）</w:t>
                  </w:r>
                </w:p>
              </w:tc>
            </w:tr>
            <w:tr w14:paraId="1AE85EB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054" w:type="dxa"/>
                  <w:noWrap w:val="0"/>
                  <w:vAlign w:val="center"/>
                </w:tcPr>
                <w:p w14:paraId="635320A3">
                  <w:pPr>
                    <w:snapToGrid w:val="0"/>
                    <w:spacing w:line="360" w:lineRule="auto"/>
                    <w:ind w:left="71" w:hanging="71" w:hangingChars="34"/>
                    <w:jc w:val="center"/>
                    <w:rPr>
                      <w:color w:val="auto"/>
                      <w:szCs w:val="21"/>
                    </w:rPr>
                  </w:pPr>
                  <w:r>
                    <w:rPr>
                      <w:color w:val="auto"/>
                      <w:szCs w:val="21"/>
                    </w:rPr>
                    <w:t>Ⅲ类标准</w:t>
                  </w:r>
                </w:p>
              </w:tc>
              <w:tc>
                <w:tcPr>
                  <w:tcW w:w="720" w:type="dxa"/>
                  <w:noWrap w:val="0"/>
                  <w:vAlign w:val="center"/>
                </w:tcPr>
                <w:p w14:paraId="210F75EA">
                  <w:pPr>
                    <w:snapToGrid w:val="0"/>
                    <w:spacing w:line="360" w:lineRule="auto"/>
                    <w:ind w:left="71" w:hanging="71" w:hangingChars="34"/>
                    <w:jc w:val="center"/>
                    <w:rPr>
                      <w:color w:val="auto"/>
                      <w:szCs w:val="21"/>
                    </w:rPr>
                  </w:pPr>
                  <w:r>
                    <w:rPr>
                      <w:color w:val="auto"/>
                      <w:szCs w:val="21"/>
                    </w:rPr>
                    <w:t>6~9</w:t>
                  </w:r>
                </w:p>
              </w:tc>
              <w:tc>
                <w:tcPr>
                  <w:tcW w:w="872" w:type="dxa"/>
                  <w:noWrap w:val="0"/>
                  <w:vAlign w:val="center"/>
                </w:tcPr>
                <w:p w14:paraId="7EE6366D">
                  <w:pPr>
                    <w:snapToGrid w:val="0"/>
                    <w:spacing w:line="360" w:lineRule="auto"/>
                    <w:ind w:left="71" w:hanging="71" w:hangingChars="34"/>
                    <w:jc w:val="center"/>
                    <w:rPr>
                      <w:color w:val="auto"/>
                      <w:szCs w:val="21"/>
                    </w:rPr>
                  </w:pPr>
                  <w:r>
                    <w:rPr>
                      <w:color w:val="auto"/>
                      <w:szCs w:val="21"/>
                    </w:rPr>
                    <w:t>≤20</w:t>
                  </w:r>
                </w:p>
              </w:tc>
              <w:tc>
                <w:tcPr>
                  <w:tcW w:w="898" w:type="dxa"/>
                  <w:noWrap w:val="0"/>
                  <w:vAlign w:val="center"/>
                </w:tcPr>
                <w:p w14:paraId="6B35A8CE">
                  <w:pPr>
                    <w:snapToGrid w:val="0"/>
                    <w:spacing w:line="360" w:lineRule="auto"/>
                    <w:ind w:left="71" w:hanging="71" w:hangingChars="34"/>
                    <w:jc w:val="center"/>
                    <w:rPr>
                      <w:color w:val="auto"/>
                      <w:szCs w:val="21"/>
                    </w:rPr>
                  </w:pPr>
                  <w:r>
                    <w:rPr>
                      <w:color w:val="auto"/>
                      <w:szCs w:val="21"/>
                    </w:rPr>
                    <w:t>≥5</w:t>
                  </w:r>
                </w:p>
              </w:tc>
              <w:tc>
                <w:tcPr>
                  <w:tcW w:w="737" w:type="dxa"/>
                  <w:noWrap w:val="0"/>
                  <w:vAlign w:val="center"/>
                </w:tcPr>
                <w:p w14:paraId="35131AF6">
                  <w:pPr>
                    <w:snapToGrid w:val="0"/>
                    <w:spacing w:line="360" w:lineRule="auto"/>
                    <w:ind w:left="71" w:hanging="71" w:hangingChars="34"/>
                    <w:jc w:val="center"/>
                    <w:rPr>
                      <w:color w:val="auto"/>
                      <w:szCs w:val="21"/>
                    </w:rPr>
                  </w:pPr>
                  <w:r>
                    <w:rPr>
                      <w:color w:val="auto"/>
                      <w:szCs w:val="21"/>
                    </w:rPr>
                    <w:t>≤4</w:t>
                  </w:r>
                </w:p>
              </w:tc>
              <w:tc>
                <w:tcPr>
                  <w:tcW w:w="667" w:type="dxa"/>
                  <w:noWrap w:val="0"/>
                  <w:vAlign w:val="center"/>
                </w:tcPr>
                <w:p w14:paraId="40A26FF5">
                  <w:pPr>
                    <w:snapToGrid w:val="0"/>
                    <w:spacing w:line="360" w:lineRule="auto"/>
                    <w:ind w:left="71" w:hanging="71" w:hangingChars="34"/>
                    <w:jc w:val="center"/>
                    <w:rPr>
                      <w:color w:val="auto"/>
                      <w:szCs w:val="21"/>
                    </w:rPr>
                  </w:pPr>
                  <w:r>
                    <w:rPr>
                      <w:color w:val="auto"/>
                      <w:szCs w:val="21"/>
                    </w:rPr>
                    <w:t>≤0.2</w:t>
                  </w:r>
                </w:p>
              </w:tc>
              <w:tc>
                <w:tcPr>
                  <w:tcW w:w="830" w:type="dxa"/>
                  <w:noWrap w:val="0"/>
                  <w:vAlign w:val="center"/>
                </w:tcPr>
                <w:p w14:paraId="42185AEF">
                  <w:pPr>
                    <w:snapToGrid w:val="0"/>
                    <w:spacing w:line="360" w:lineRule="auto"/>
                    <w:ind w:left="71" w:hanging="71" w:hangingChars="34"/>
                    <w:jc w:val="center"/>
                    <w:rPr>
                      <w:color w:val="auto"/>
                      <w:szCs w:val="21"/>
                    </w:rPr>
                  </w:pPr>
                  <w:r>
                    <w:rPr>
                      <w:color w:val="auto"/>
                      <w:szCs w:val="21"/>
                    </w:rPr>
                    <w:t>≤1.0</w:t>
                  </w:r>
                </w:p>
              </w:tc>
              <w:tc>
                <w:tcPr>
                  <w:tcW w:w="899" w:type="dxa"/>
                  <w:noWrap w:val="0"/>
                  <w:vAlign w:val="center"/>
                </w:tcPr>
                <w:p w14:paraId="7FD74E07">
                  <w:pPr>
                    <w:snapToGrid w:val="0"/>
                    <w:spacing w:line="360" w:lineRule="auto"/>
                    <w:ind w:left="71" w:hanging="71" w:hangingChars="34"/>
                    <w:jc w:val="center"/>
                    <w:rPr>
                      <w:color w:val="auto"/>
                      <w:szCs w:val="21"/>
                    </w:rPr>
                  </w:pPr>
                  <w:r>
                    <w:rPr>
                      <w:color w:val="auto"/>
                      <w:szCs w:val="21"/>
                    </w:rPr>
                    <w:t>≤0.05</w:t>
                  </w:r>
                </w:p>
              </w:tc>
              <w:tc>
                <w:tcPr>
                  <w:tcW w:w="1200" w:type="dxa"/>
                  <w:noWrap w:val="0"/>
                  <w:vAlign w:val="center"/>
                </w:tcPr>
                <w:p w14:paraId="2E62A000">
                  <w:pPr>
                    <w:snapToGrid w:val="0"/>
                    <w:spacing w:line="360" w:lineRule="auto"/>
                    <w:ind w:left="71" w:hanging="71" w:hangingChars="34"/>
                    <w:jc w:val="center"/>
                    <w:rPr>
                      <w:color w:val="auto"/>
                      <w:szCs w:val="21"/>
                    </w:rPr>
                  </w:pPr>
                  <w:r>
                    <w:rPr>
                      <w:color w:val="auto"/>
                      <w:szCs w:val="21"/>
                    </w:rPr>
                    <w:t>≤</w:t>
                  </w:r>
                  <w:r>
                    <w:rPr>
                      <w:rFonts w:hint="eastAsia"/>
                      <w:color w:val="auto"/>
                      <w:szCs w:val="21"/>
                    </w:rPr>
                    <w:t>100</w:t>
                  </w:r>
                  <w:r>
                    <w:rPr>
                      <w:color w:val="auto"/>
                      <w:szCs w:val="21"/>
                    </w:rPr>
                    <w:t>00</w:t>
                  </w:r>
                </w:p>
              </w:tc>
            </w:tr>
          </w:tbl>
          <w:p w14:paraId="67D76CE9">
            <w:pPr>
              <w:numPr>
                <w:ilvl w:val="0"/>
                <w:numId w:val="0"/>
              </w:numPr>
              <w:spacing w:line="360" w:lineRule="auto"/>
              <w:ind w:left="0" w:leftChars="0" w:firstLine="0" w:firstLineChars="0"/>
              <w:rPr>
                <w:rFonts w:hint="eastAsia" w:ascii="Times New Roman" w:hAnsi="Times New Roman" w:eastAsia="宋体" w:cs="Times New Roman"/>
                <w:b/>
                <w:bCs/>
                <w:color w:val="000000"/>
                <w:sz w:val="24"/>
                <w:lang w:eastAsia="zh-CN"/>
              </w:rPr>
            </w:pPr>
            <w:r>
              <w:rPr>
                <w:rFonts w:hint="eastAsia" w:cs="Times New Roman"/>
                <w:b/>
                <w:bCs/>
                <w:color w:val="000000"/>
                <w:kern w:val="2"/>
                <w:sz w:val="24"/>
                <w:szCs w:val="24"/>
                <w:lang w:val="en-US" w:eastAsia="zh-CN" w:bidi="ar-SA"/>
              </w:rPr>
              <w:t>3</w:t>
            </w:r>
            <w:r>
              <w:rPr>
                <w:rFonts w:hint="default" w:ascii="Times New Roman" w:hAnsi="Times New Roman" w:eastAsia="宋体" w:cs="Times New Roman"/>
                <w:b/>
                <w:bCs/>
                <w:color w:val="000000"/>
                <w:kern w:val="2"/>
                <w:sz w:val="24"/>
                <w:szCs w:val="24"/>
                <w:lang w:val="en-US" w:eastAsia="zh-CN" w:bidi="ar-SA"/>
              </w:rPr>
              <w:t>、</w:t>
            </w:r>
            <w:r>
              <w:rPr>
                <w:rFonts w:hint="default" w:ascii="Times New Roman" w:hAnsi="Times New Roman" w:cs="Times New Roman"/>
                <w:b/>
                <w:bCs/>
                <w:color w:val="000000"/>
                <w:sz w:val="24"/>
              </w:rPr>
              <w:t>声环境质量</w:t>
            </w:r>
            <w:r>
              <w:rPr>
                <w:rFonts w:hint="eastAsia" w:cs="Times New Roman"/>
                <w:b/>
                <w:bCs/>
                <w:color w:val="000000"/>
                <w:sz w:val="24"/>
                <w:lang w:eastAsia="zh-CN"/>
              </w:rPr>
              <w:t>标准</w:t>
            </w:r>
          </w:p>
          <w:p w14:paraId="68DE7A88">
            <w:pPr>
              <w:tabs>
                <w:tab w:val="center" w:pos="4153"/>
                <w:tab w:val="right" w:pos="8306"/>
              </w:tabs>
              <w:adjustRightInd w:val="0"/>
              <w:snapToGrid w:val="0"/>
              <w:spacing w:line="360" w:lineRule="auto"/>
              <w:ind w:firstLine="480" w:firstLineChars="200"/>
              <w:rPr>
                <w:rFonts w:hint="default" w:ascii="黑体" w:hAnsi="黑体" w:eastAsia="黑体"/>
                <w:snapToGrid w:val="0"/>
                <w:sz w:val="30"/>
                <w:szCs w:val="30"/>
                <w:vertAlign w:val="baseline"/>
                <w:lang w:val="en-US" w:eastAsia="zh-CN"/>
              </w:rPr>
            </w:pPr>
            <w:r>
              <w:rPr>
                <w:rFonts w:hint="default" w:ascii="Times New Roman" w:hAnsi="Times New Roman" w:eastAsia="宋体" w:cs="Times New Roman"/>
                <w:snapToGrid w:val="0"/>
                <w:kern w:val="0"/>
                <w:sz w:val="24"/>
                <w:szCs w:val="24"/>
              </w:rPr>
              <w:t>本项目位于</w:t>
            </w:r>
            <w:r>
              <w:rPr>
                <w:rFonts w:hint="default" w:ascii="Times New Roman" w:hAnsi="Times New Roman" w:eastAsia="宋体" w:cs="Times New Roman"/>
                <w:color w:val="auto"/>
                <w:sz w:val="24"/>
                <w:szCs w:val="24"/>
                <w:highlight w:val="none"/>
                <w:lang w:val="en-US" w:eastAsia="zh-CN"/>
              </w:rPr>
              <w:t>云南省德宏州芒市遮放农场晓阳社区居民委员会第七居民小组</w:t>
            </w:r>
            <w:r>
              <w:rPr>
                <w:rFonts w:hint="default" w:ascii="Times New Roman" w:hAnsi="Times New Roman" w:eastAsia="宋体" w:cs="Times New Roman"/>
                <w:snapToGrid w:val="0"/>
                <w:kern w:val="0"/>
                <w:sz w:val="24"/>
                <w:szCs w:val="24"/>
              </w:rPr>
              <w:t>，属于乡镇地区，根据《声环境质量标准》（GB3096-2008），项目所在区域噪声功能划分为2类声环境功能区。</w:t>
            </w:r>
            <w:r>
              <w:rPr>
                <w:rFonts w:hint="eastAsia"/>
                <w:color w:val="auto"/>
                <w:kern w:val="0"/>
                <w:sz w:val="24"/>
              </w:rPr>
              <w:t>根据《</w:t>
            </w:r>
            <w:r>
              <w:rPr>
                <w:rFonts w:hint="eastAsia"/>
                <w:color w:val="auto"/>
                <w:kern w:val="0"/>
                <w:sz w:val="24"/>
              </w:rPr>
              <w:fldChar w:fldCharType="begin"/>
            </w:r>
            <w:r>
              <w:rPr>
                <w:rFonts w:hint="eastAsia"/>
                <w:color w:val="auto"/>
                <w:kern w:val="0"/>
                <w:sz w:val="24"/>
              </w:rPr>
              <w:instrText xml:space="preserve"> HYPERLINK "http://www.mee.gov.cn/ywgz/fgbz/bz/bzwb/wlhj/shjzlbz/201412/W020141211579618213818.pdf" </w:instrText>
            </w:r>
            <w:r>
              <w:rPr>
                <w:rFonts w:hint="eastAsia"/>
                <w:color w:val="auto"/>
                <w:kern w:val="0"/>
                <w:sz w:val="24"/>
              </w:rPr>
              <w:fldChar w:fldCharType="separate"/>
            </w:r>
            <w:r>
              <w:rPr>
                <w:rFonts w:hint="eastAsia"/>
                <w:color w:val="auto"/>
                <w:kern w:val="0"/>
                <w:sz w:val="24"/>
              </w:rPr>
              <w:t>声环境功能区划分技术规范（GB/T 15190–2014)</w:t>
            </w:r>
            <w:r>
              <w:rPr>
                <w:rFonts w:hint="eastAsia"/>
                <w:color w:val="auto"/>
                <w:kern w:val="0"/>
                <w:sz w:val="24"/>
              </w:rPr>
              <w:fldChar w:fldCharType="end"/>
            </w:r>
            <w:r>
              <w:rPr>
                <w:rFonts w:hint="eastAsia"/>
                <w:color w:val="auto"/>
                <w:kern w:val="0"/>
                <w:sz w:val="24"/>
              </w:rPr>
              <w:t>》</w:t>
            </w:r>
            <w:r>
              <w:rPr>
                <w:rFonts w:hint="eastAsia"/>
                <w:color w:val="auto"/>
                <w:kern w:val="0"/>
                <w:sz w:val="24"/>
                <w:lang w:eastAsia="zh-CN"/>
              </w:rPr>
              <w:t>，执行</w:t>
            </w:r>
            <w:r>
              <w:rPr>
                <w:rFonts w:hint="eastAsia"/>
                <w:color w:val="auto"/>
                <w:kern w:val="0"/>
                <w:sz w:val="24"/>
                <w:lang w:val="en-US" w:eastAsia="zh-CN"/>
              </w:rPr>
              <w:t>2类标准：昼间</w:t>
            </w:r>
            <w:r>
              <w:rPr>
                <w:rFonts w:hint="eastAsia" w:ascii="宋体" w:hAnsi="宋体" w:cs="宋体"/>
                <w:color w:val="auto"/>
                <w:kern w:val="0"/>
                <w:sz w:val="24"/>
                <w:lang w:val="en-US" w:eastAsia="zh-CN"/>
              </w:rPr>
              <w:t>≤</w:t>
            </w:r>
            <w:r>
              <w:rPr>
                <w:rFonts w:hint="eastAsia"/>
                <w:color w:val="auto"/>
                <w:kern w:val="0"/>
                <w:sz w:val="24"/>
                <w:lang w:val="en-US" w:eastAsia="zh-CN"/>
              </w:rPr>
              <w:t>60</w:t>
            </w:r>
            <w:r>
              <w:rPr>
                <w:color w:val="auto"/>
                <w:kern w:val="0"/>
                <w:sz w:val="24"/>
              </w:rPr>
              <w:t>dB(A)</w:t>
            </w:r>
            <w:r>
              <w:rPr>
                <w:rFonts w:hint="eastAsia"/>
                <w:color w:val="auto"/>
                <w:kern w:val="0"/>
                <w:sz w:val="24"/>
                <w:lang w:val="en-US" w:eastAsia="zh-CN"/>
              </w:rPr>
              <w:t>，夜间</w:t>
            </w:r>
            <w:r>
              <w:rPr>
                <w:rFonts w:hint="eastAsia" w:ascii="宋体" w:hAnsi="宋体" w:cs="宋体"/>
                <w:color w:val="auto"/>
                <w:kern w:val="0"/>
                <w:sz w:val="24"/>
                <w:lang w:val="en-US" w:eastAsia="zh-CN"/>
              </w:rPr>
              <w:t>≤</w:t>
            </w:r>
            <w:r>
              <w:rPr>
                <w:rFonts w:hint="eastAsia"/>
                <w:color w:val="auto"/>
                <w:kern w:val="0"/>
                <w:sz w:val="24"/>
                <w:lang w:val="en-US" w:eastAsia="zh-CN"/>
              </w:rPr>
              <w:t>50</w:t>
            </w:r>
            <w:r>
              <w:rPr>
                <w:color w:val="auto"/>
                <w:kern w:val="0"/>
                <w:sz w:val="24"/>
              </w:rPr>
              <w:t>dB(A)</w:t>
            </w:r>
            <w:r>
              <w:rPr>
                <w:rFonts w:hint="eastAsia"/>
                <w:color w:val="auto"/>
                <w:kern w:val="0"/>
                <w:sz w:val="24"/>
                <w:lang w:eastAsia="zh-CN"/>
              </w:rPr>
              <w:t>。</w:t>
            </w:r>
          </w:p>
        </w:tc>
      </w:tr>
      <w:tr w14:paraId="16E19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6" w:hRule="atLeast"/>
        </w:trPr>
        <w:tc>
          <w:tcPr>
            <w:tcW w:w="458" w:type="dxa"/>
            <w:vAlign w:val="center"/>
          </w:tcPr>
          <w:p w14:paraId="7276C528">
            <w:pPr>
              <w:pStyle w:val="20"/>
              <w:numPr>
                <w:ilvl w:val="0"/>
                <w:numId w:val="0"/>
              </w:numPr>
              <w:spacing w:before="0" w:beforeAutospacing="0" w:after="0" w:afterAutospacing="0"/>
              <w:jc w:val="center"/>
              <w:outlineLvl w:val="0"/>
              <w:rPr>
                <w:rFonts w:hint="eastAsia" w:ascii="黑体" w:hAnsi="黑体" w:eastAsia="黑体"/>
                <w:snapToGrid w:val="0"/>
                <w:sz w:val="30"/>
                <w:szCs w:val="30"/>
                <w:vertAlign w:val="baseline"/>
                <w:lang w:eastAsia="zh-CN"/>
              </w:rPr>
            </w:pPr>
            <w:r>
              <w:rPr>
                <w:rFonts w:hint="eastAsia" w:asciiTheme="majorEastAsia" w:hAnsiTheme="majorEastAsia" w:eastAsiaTheme="majorEastAsia" w:cstheme="majorEastAsia"/>
                <w:b/>
                <w:bCs/>
                <w:snapToGrid w:val="0"/>
                <w:sz w:val="24"/>
                <w:szCs w:val="24"/>
                <w:vertAlign w:val="baseline"/>
                <w:lang w:eastAsia="zh-CN"/>
              </w:rPr>
              <w:t>污染物排放控制标准</w:t>
            </w:r>
          </w:p>
        </w:tc>
        <w:tc>
          <w:tcPr>
            <w:tcW w:w="7960" w:type="dxa"/>
          </w:tcPr>
          <w:p w14:paraId="7C7ED551">
            <w:pPr>
              <w:spacing w:line="360" w:lineRule="auto"/>
              <w:rPr>
                <w:rFonts w:hint="default" w:ascii="Times New Roman" w:hAnsi="Times New Roman" w:cs="Times New Roman"/>
                <w:b/>
                <w:color w:val="000000"/>
                <w:sz w:val="24"/>
              </w:rPr>
            </w:pPr>
            <w:r>
              <w:rPr>
                <w:rFonts w:hint="default" w:ascii="Times New Roman" w:hAnsi="Times New Roman" w:cs="Times New Roman"/>
                <w:b/>
                <w:color w:val="000000"/>
                <w:sz w:val="24"/>
              </w:rPr>
              <w:t>1、废气污染物排放标准</w:t>
            </w:r>
          </w:p>
          <w:p w14:paraId="37B4916E">
            <w:pPr>
              <w:spacing w:line="360" w:lineRule="auto"/>
              <w:ind w:firstLine="240" w:firstLineChars="100"/>
              <w:rPr>
                <w:color w:val="auto"/>
                <w:sz w:val="24"/>
              </w:rPr>
            </w:pPr>
            <w:r>
              <w:rPr>
                <w:rFonts w:hint="eastAsia" w:ascii="宋体" w:hAnsi="宋体" w:cs="宋体"/>
                <w:color w:val="000000"/>
                <w:sz w:val="24"/>
              </w:rPr>
              <w:t>（1）项目施工期、运营期厂界外无组织粉尘，运营期厂界外无组织非甲烷总烃执行《大气污染物综合排放</w:t>
            </w:r>
            <w:r>
              <w:rPr>
                <w:color w:val="000000"/>
                <w:sz w:val="24"/>
              </w:rPr>
              <w:t>标准》（GB16297-1996）新污染源二级标准；</w:t>
            </w:r>
            <w:r>
              <w:rPr>
                <w:rFonts w:hint="eastAsia"/>
                <w:color w:val="000000"/>
                <w:sz w:val="24"/>
              </w:rPr>
              <w:t>厂区内</w:t>
            </w:r>
            <w:r>
              <w:rPr>
                <w:color w:val="000000"/>
                <w:sz w:val="24"/>
              </w:rPr>
              <w:t>工业炉窑周边无组织粉尘</w:t>
            </w:r>
            <w:r>
              <w:rPr>
                <w:rFonts w:hint="eastAsia"/>
                <w:color w:val="auto"/>
                <w:sz w:val="24"/>
              </w:rPr>
              <w:t>执行</w:t>
            </w:r>
            <w:r>
              <w:rPr>
                <w:color w:val="auto"/>
                <w:sz w:val="24"/>
              </w:rPr>
              <w:t>《工业炉窑大气污染物排放标准》(GB9078-1996)中表3各种工业炉窑标准；</w:t>
            </w:r>
            <w:r>
              <w:rPr>
                <w:rFonts w:hint="eastAsia"/>
                <w:color w:val="auto"/>
                <w:sz w:val="24"/>
              </w:rPr>
              <w:t>厂界内炭化</w:t>
            </w:r>
            <w:r>
              <w:rPr>
                <w:color w:val="auto"/>
                <w:sz w:val="24"/>
              </w:rPr>
              <w:t>窑</w:t>
            </w:r>
            <w:r>
              <w:rPr>
                <w:rFonts w:hint="eastAsia"/>
                <w:color w:val="auto"/>
                <w:sz w:val="24"/>
              </w:rPr>
              <w:t>下方向</w:t>
            </w:r>
            <w:r>
              <w:rPr>
                <w:color w:val="auto"/>
                <w:sz w:val="24"/>
              </w:rPr>
              <w:t>无组织非甲烷总烃执行《</w:t>
            </w:r>
            <w:r>
              <w:rPr>
                <w:color w:val="auto"/>
                <w:sz w:val="24"/>
                <w:shd w:val="clear" w:color="auto" w:fill="FFFFFF"/>
              </w:rPr>
              <w:t>挥发性有机物无组织排放控制标准》（GB 37822-2019）附录</w:t>
            </w:r>
            <w:r>
              <w:rPr>
                <w:rFonts w:hint="eastAsia"/>
                <w:color w:val="auto"/>
                <w:sz w:val="24"/>
                <w:shd w:val="clear" w:color="auto" w:fill="FFFFFF"/>
              </w:rPr>
              <w:t>A，</w:t>
            </w:r>
            <w:r>
              <w:rPr>
                <w:color w:val="auto"/>
                <w:sz w:val="24"/>
                <w:shd w:val="clear" w:color="auto" w:fill="FFFFFF"/>
              </w:rPr>
              <w:t>A.1厂区内VOCs无组织排放限值，具体执行限值</w:t>
            </w:r>
            <w:r>
              <w:rPr>
                <w:color w:val="auto"/>
                <w:sz w:val="24"/>
              </w:rPr>
              <w:t>见表3-</w:t>
            </w:r>
            <w:r>
              <w:rPr>
                <w:rFonts w:hint="eastAsia"/>
                <w:color w:val="auto"/>
                <w:sz w:val="24"/>
                <w:lang w:val="en-US" w:eastAsia="zh-CN"/>
              </w:rPr>
              <w:t>7</w:t>
            </w:r>
            <w:r>
              <w:rPr>
                <w:color w:val="auto"/>
                <w:sz w:val="24"/>
              </w:rPr>
              <w:t>。</w:t>
            </w:r>
          </w:p>
          <w:p w14:paraId="7E796159">
            <w:pPr>
              <w:ind w:firstLine="482"/>
              <w:jc w:val="center"/>
              <w:rPr>
                <w:rFonts w:ascii="宋体" w:hAnsi="宋体" w:cs="宋体"/>
                <w:b/>
                <w:bCs/>
                <w:sz w:val="24"/>
              </w:rPr>
            </w:pPr>
            <w:r>
              <w:rPr>
                <w:rFonts w:hint="eastAsia" w:ascii="宋体" w:hAnsi="宋体" w:cs="宋体"/>
                <w:b/>
                <w:bCs/>
                <w:sz w:val="24"/>
              </w:rPr>
              <w:t>表3-</w:t>
            </w:r>
            <w:r>
              <w:rPr>
                <w:rFonts w:hint="eastAsia" w:ascii="宋体" w:hAnsi="宋体" w:cs="宋体"/>
                <w:b/>
                <w:bCs/>
                <w:sz w:val="24"/>
                <w:lang w:val="en-US" w:eastAsia="zh-CN"/>
              </w:rPr>
              <w:t>7</w:t>
            </w:r>
            <w:r>
              <w:rPr>
                <w:rFonts w:hint="eastAsia" w:ascii="宋体" w:hAnsi="宋体" w:cs="宋体"/>
                <w:b/>
                <w:bCs/>
                <w:sz w:val="24"/>
              </w:rPr>
              <w:t>项目无组织废气污染物排放限值</w:t>
            </w:r>
          </w:p>
          <w:tbl>
            <w:tblPr>
              <w:tblStyle w:val="23"/>
              <w:tblW w:w="7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9"/>
              <w:gridCol w:w="2447"/>
              <w:gridCol w:w="1894"/>
              <w:gridCol w:w="1898"/>
            </w:tblGrid>
            <w:tr w14:paraId="4CE13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009" w:type="pct"/>
                  <w:vMerge w:val="restart"/>
                  <w:noWrap w:val="0"/>
                  <w:vAlign w:val="center"/>
                </w:tcPr>
                <w:p w14:paraId="631CC7D0">
                  <w:pPr>
                    <w:pStyle w:val="12"/>
                    <w:spacing w:line="240" w:lineRule="auto"/>
                    <w:jc w:val="center"/>
                    <w:rPr>
                      <w:rFonts w:ascii="Times New Roman" w:hAnsi="Times New Roman"/>
                      <w:b/>
                      <w:bCs/>
                      <w:color w:val="auto"/>
                      <w:sz w:val="21"/>
                      <w:szCs w:val="21"/>
                    </w:rPr>
                  </w:pPr>
                  <w:r>
                    <w:rPr>
                      <w:rFonts w:ascii="Times New Roman" w:hAnsi="Times New Roman"/>
                      <w:b/>
                      <w:bCs/>
                      <w:color w:val="auto"/>
                      <w:sz w:val="21"/>
                      <w:szCs w:val="21"/>
                    </w:rPr>
                    <w:t>污染物</w:t>
                  </w:r>
                </w:p>
              </w:tc>
              <w:tc>
                <w:tcPr>
                  <w:tcW w:w="2776" w:type="pct"/>
                  <w:gridSpan w:val="2"/>
                  <w:noWrap w:val="0"/>
                  <w:vAlign w:val="center"/>
                </w:tcPr>
                <w:p w14:paraId="3E1BE820">
                  <w:pPr>
                    <w:pStyle w:val="12"/>
                    <w:spacing w:line="240" w:lineRule="auto"/>
                    <w:jc w:val="center"/>
                    <w:rPr>
                      <w:rFonts w:ascii="Times New Roman" w:hAnsi="Times New Roman"/>
                      <w:b/>
                      <w:bCs/>
                      <w:color w:val="auto"/>
                      <w:sz w:val="21"/>
                      <w:szCs w:val="21"/>
                    </w:rPr>
                  </w:pPr>
                  <w:r>
                    <w:rPr>
                      <w:rFonts w:ascii="Times New Roman" w:hAnsi="Times New Roman"/>
                      <w:b/>
                      <w:bCs/>
                      <w:color w:val="auto"/>
                      <w:sz w:val="21"/>
                      <w:szCs w:val="21"/>
                    </w:rPr>
                    <w:t>无组织排放监控浓度限值</w:t>
                  </w:r>
                </w:p>
              </w:tc>
              <w:tc>
                <w:tcPr>
                  <w:tcW w:w="1213" w:type="pct"/>
                  <w:vMerge w:val="restart"/>
                  <w:noWrap w:val="0"/>
                  <w:vAlign w:val="center"/>
                </w:tcPr>
                <w:p w14:paraId="2029FEF7">
                  <w:pPr>
                    <w:pStyle w:val="12"/>
                    <w:spacing w:line="240" w:lineRule="auto"/>
                    <w:jc w:val="center"/>
                    <w:rPr>
                      <w:rFonts w:ascii="Times New Roman" w:hAnsi="Times New Roman"/>
                      <w:b/>
                      <w:bCs/>
                      <w:color w:val="auto"/>
                      <w:sz w:val="21"/>
                      <w:szCs w:val="21"/>
                    </w:rPr>
                  </w:pPr>
                  <w:r>
                    <w:rPr>
                      <w:rFonts w:ascii="Times New Roman" w:hAnsi="Times New Roman"/>
                      <w:b/>
                      <w:bCs/>
                      <w:color w:val="auto"/>
                      <w:sz w:val="21"/>
                      <w:szCs w:val="21"/>
                    </w:rPr>
                    <w:t>执行标准</w:t>
                  </w:r>
                </w:p>
              </w:tc>
            </w:tr>
            <w:tr w14:paraId="270DE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009" w:type="pct"/>
                  <w:vMerge w:val="continue"/>
                  <w:noWrap w:val="0"/>
                  <w:vAlign w:val="center"/>
                </w:tcPr>
                <w:p w14:paraId="1B97F9AE">
                  <w:pPr>
                    <w:pStyle w:val="12"/>
                    <w:spacing w:line="240" w:lineRule="auto"/>
                    <w:jc w:val="center"/>
                    <w:rPr>
                      <w:rFonts w:ascii="Times New Roman" w:hAnsi="Times New Roman"/>
                      <w:b/>
                      <w:bCs/>
                      <w:color w:val="auto"/>
                      <w:sz w:val="21"/>
                      <w:szCs w:val="21"/>
                    </w:rPr>
                  </w:pPr>
                </w:p>
              </w:tc>
              <w:tc>
                <w:tcPr>
                  <w:tcW w:w="1564" w:type="pct"/>
                  <w:noWrap w:val="0"/>
                  <w:vAlign w:val="center"/>
                </w:tcPr>
                <w:p w14:paraId="1BC032D7">
                  <w:pPr>
                    <w:pStyle w:val="12"/>
                    <w:spacing w:line="240" w:lineRule="auto"/>
                    <w:jc w:val="center"/>
                    <w:rPr>
                      <w:rFonts w:ascii="Times New Roman" w:hAnsi="Times New Roman"/>
                      <w:b/>
                      <w:bCs/>
                      <w:color w:val="auto"/>
                      <w:sz w:val="21"/>
                      <w:szCs w:val="21"/>
                    </w:rPr>
                  </w:pPr>
                  <w:r>
                    <w:rPr>
                      <w:rFonts w:ascii="Times New Roman" w:hAnsi="Times New Roman"/>
                      <w:b/>
                      <w:bCs/>
                      <w:color w:val="auto"/>
                      <w:sz w:val="21"/>
                      <w:szCs w:val="21"/>
                    </w:rPr>
                    <w:t>监控点</w:t>
                  </w:r>
                </w:p>
              </w:tc>
              <w:tc>
                <w:tcPr>
                  <w:tcW w:w="1211" w:type="pct"/>
                  <w:noWrap w:val="0"/>
                  <w:vAlign w:val="center"/>
                </w:tcPr>
                <w:p w14:paraId="4E8D08FB">
                  <w:pPr>
                    <w:pStyle w:val="12"/>
                    <w:spacing w:line="240" w:lineRule="auto"/>
                    <w:jc w:val="center"/>
                    <w:rPr>
                      <w:rFonts w:ascii="Times New Roman" w:hAnsi="Times New Roman"/>
                      <w:b/>
                      <w:bCs/>
                      <w:color w:val="auto"/>
                      <w:sz w:val="21"/>
                      <w:szCs w:val="21"/>
                    </w:rPr>
                  </w:pPr>
                  <w:r>
                    <w:rPr>
                      <w:rFonts w:ascii="Times New Roman" w:hAnsi="Times New Roman"/>
                      <w:b/>
                      <w:bCs/>
                      <w:color w:val="auto"/>
                      <w:sz w:val="21"/>
                      <w:szCs w:val="21"/>
                    </w:rPr>
                    <w:t>浓度（mg/m</w:t>
                  </w:r>
                  <w:r>
                    <w:rPr>
                      <w:rFonts w:ascii="Times New Roman" w:hAnsi="Times New Roman"/>
                      <w:b/>
                      <w:bCs/>
                      <w:color w:val="auto"/>
                      <w:sz w:val="21"/>
                      <w:szCs w:val="21"/>
                      <w:vertAlign w:val="superscript"/>
                    </w:rPr>
                    <w:t>3</w:t>
                  </w:r>
                  <w:r>
                    <w:rPr>
                      <w:rFonts w:ascii="Times New Roman" w:hAnsi="Times New Roman"/>
                      <w:b/>
                      <w:bCs/>
                      <w:color w:val="auto"/>
                      <w:sz w:val="21"/>
                      <w:szCs w:val="21"/>
                    </w:rPr>
                    <w:t>）</w:t>
                  </w:r>
                </w:p>
              </w:tc>
              <w:tc>
                <w:tcPr>
                  <w:tcW w:w="1213" w:type="pct"/>
                  <w:vMerge w:val="continue"/>
                  <w:noWrap w:val="0"/>
                  <w:vAlign w:val="center"/>
                </w:tcPr>
                <w:p w14:paraId="472F4E99">
                  <w:pPr>
                    <w:pStyle w:val="12"/>
                    <w:spacing w:line="240" w:lineRule="auto"/>
                    <w:jc w:val="center"/>
                    <w:rPr>
                      <w:rFonts w:ascii="Times New Roman" w:hAnsi="Times New Roman"/>
                      <w:b/>
                      <w:bCs/>
                      <w:color w:val="auto"/>
                      <w:sz w:val="21"/>
                      <w:szCs w:val="21"/>
                    </w:rPr>
                  </w:pPr>
                </w:p>
              </w:tc>
            </w:tr>
            <w:tr w14:paraId="11CE2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009" w:type="pct"/>
                  <w:noWrap w:val="0"/>
                  <w:vAlign w:val="center"/>
                </w:tcPr>
                <w:p w14:paraId="22C40A18">
                  <w:pPr>
                    <w:pStyle w:val="12"/>
                    <w:spacing w:line="240" w:lineRule="auto"/>
                    <w:jc w:val="center"/>
                    <w:rPr>
                      <w:rFonts w:ascii="Times New Roman" w:hAnsi="Times New Roman"/>
                      <w:color w:val="auto"/>
                      <w:sz w:val="21"/>
                      <w:szCs w:val="21"/>
                    </w:rPr>
                  </w:pPr>
                  <w:r>
                    <w:rPr>
                      <w:rFonts w:ascii="Times New Roman" w:hAnsi="Times New Roman"/>
                      <w:color w:val="auto"/>
                      <w:sz w:val="21"/>
                      <w:szCs w:val="21"/>
                    </w:rPr>
                    <w:t>颗粒物</w:t>
                  </w:r>
                </w:p>
              </w:tc>
              <w:tc>
                <w:tcPr>
                  <w:tcW w:w="1564" w:type="pct"/>
                  <w:noWrap w:val="0"/>
                  <w:vAlign w:val="center"/>
                </w:tcPr>
                <w:p w14:paraId="1E0C4CAD">
                  <w:pPr>
                    <w:pStyle w:val="12"/>
                    <w:spacing w:line="240" w:lineRule="auto"/>
                    <w:jc w:val="center"/>
                    <w:rPr>
                      <w:rFonts w:ascii="Times New Roman" w:hAnsi="Times New Roman"/>
                      <w:color w:val="auto"/>
                      <w:sz w:val="21"/>
                      <w:szCs w:val="21"/>
                    </w:rPr>
                  </w:pPr>
                  <w:r>
                    <w:rPr>
                      <w:rFonts w:ascii="Times New Roman" w:hAnsi="Times New Roman"/>
                      <w:color w:val="auto"/>
                      <w:sz w:val="21"/>
                      <w:szCs w:val="21"/>
                    </w:rPr>
                    <w:t>厂界外浓度最高点</w:t>
                  </w:r>
                </w:p>
              </w:tc>
              <w:tc>
                <w:tcPr>
                  <w:tcW w:w="1211" w:type="pct"/>
                  <w:noWrap w:val="0"/>
                  <w:vAlign w:val="center"/>
                </w:tcPr>
                <w:p w14:paraId="06BB127E">
                  <w:pPr>
                    <w:pStyle w:val="12"/>
                    <w:spacing w:line="240" w:lineRule="auto"/>
                    <w:jc w:val="center"/>
                    <w:rPr>
                      <w:rFonts w:ascii="Times New Roman" w:hAnsi="Times New Roman"/>
                      <w:color w:val="auto"/>
                      <w:sz w:val="21"/>
                      <w:szCs w:val="21"/>
                    </w:rPr>
                  </w:pPr>
                  <w:r>
                    <w:rPr>
                      <w:rFonts w:ascii="Times New Roman" w:hAnsi="Times New Roman"/>
                      <w:color w:val="auto"/>
                      <w:sz w:val="21"/>
                      <w:szCs w:val="21"/>
                    </w:rPr>
                    <w:t>1.0</w:t>
                  </w:r>
                </w:p>
              </w:tc>
              <w:tc>
                <w:tcPr>
                  <w:tcW w:w="1213" w:type="pct"/>
                  <w:vMerge w:val="restart"/>
                  <w:noWrap w:val="0"/>
                  <w:vAlign w:val="center"/>
                </w:tcPr>
                <w:p w14:paraId="2EA178AE">
                  <w:pPr>
                    <w:pStyle w:val="12"/>
                    <w:spacing w:line="240" w:lineRule="auto"/>
                    <w:jc w:val="center"/>
                    <w:rPr>
                      <w:rFonts w:ascii="Times New Roman" w:hAnsi="Times New Roman"/>
                      <w:color w:val="auto"/>
                      <w:sz w:val="21"/>
                      <w:szCs w:val="21"/>
                    </w:rPr>
                  </w:pPr>
                  <w:r>
                    <w:rPr>
                      <w:rFonts w:ascii="Times New Roman" w:hAnsi="Times New Roman"/>
                      <w:color w:val="auto"/>
                      <w:sz w:val="21"/>
                      <w:szCs w:val="21"/>
                    </w:rPr>
                    <w:t>GB16297-1996</w:t>
                  </w:r>
                </w:p>
              </w:tc>
            </w:tr>
            <w:tr w14:paraId="42CBD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009" w:type="pct"/>
                  <w:noWrap w:val="0"/>
                  <w:vAlign w:val="center"/>
                </w:tcPr>
                <w:p w14:paraId="1D12F588">
                  <w:pPr>
                    <w:pStyle w:val="12"/>
                    <w:spacing w:line="240" w:lineRule="auto"/>
                    <w:jc w:val="center"/>
                    <w:rPr>
                      <w:rFonts w:ascii="Times New Roman" w:hAnsi="Times New Roman"/>
                      <w:color w:val="auto"/>
                      <w:sz w:val="21"/>
                      <w:szCs w:val="21"/>
                    </w:rPr>
                  </w:pPr>
                  <w:r>
                    <w:rPr>
                      <w:rFonts w:ascii="Times New Roman" w:hAnsi="Times New Roman"/>
                      <w:color w:val="auto"/>
                      <w:sz w:val="21"/>
                      <w:szCs w:val="21"/>
                    </w:rPr>
                    <w:t>非甲烷总烃</w:t>
                  </w:r>
                </w:p>
              </w:tc>
              <w:tc>
                <w:tcPr>
                  <w:tcW w:w="1564" w:type="pct"/>
                  <w:noWrap w:val="0"/>
                  <w:vAlign w:val="center"/>
                </w:tcPr>
                <w:p w14:paraId="5ABDD3D7">
                  <w:pPr>
                    <w:pStyle w:val="12"/>
                    <w:spacing w:line="240" w:lineRule="auto"/>
                    <w:jc w:val="center"/>
                    <w:rPr>
                      <w:rFonts w:ascii="Times New Roman" w:hAnsi="Times New Roman"/>
                      <w:color w:val="auto"/>
                      <w:sz w:val="21"/>
                      <w:szCs w:val="21"/>
                    </w:rPr>
                  </w:pPr>
                  <w:r>
                    <w:rPr>
                      <w:rFonts w:ascii="Times New Roman" w:hAnsi="Times New Roman"/>
                      <w:color w:val="auto"/>
                      <w:sz w:val="21"/>
                      <w:szCs w:val="21"/>
                    </w:rPr>
                    <w:t>厂界外浓度最高点</w:t>
                  </w:r>
                </w:p>
              </w:tc>
              <w:tc>
                <w:tcPr>
                  <w:tcW w:w="1211" w:type="pct"/>
                  <w:noWrap w:val="0"/>
                  <w:vAlign w:val="center"/>
                </w:tcPr>
                <w:p w14:paraId="6945AC8E">
                  <w:pPr>
                    <w:pStyle w:val="12"/>
                    <w:spacing w:line="240" w:lineRule="auto"/>
                    <w:jc w:val="center"/>
                    <w:rPr>
                      <w:rFonts w:ascii="Times New Roman" w:hAnsi="Times New Roman"/>
                      <w:color w:val="auto"/>
                      <w:sz w:val="21"/>
                      <w:szCs w:val="21"/>
                    </w:rPr>
                  </w:pPr>
                  <w:r>
                    <w:rPr>
                      <w:rFonts w:ascii="Times New Roman" w:hAnsi="Times New Roman"/>
                      <w:color w:val="auto"/>
                      <w:sz w:val="21"/>
                      <w:szCs w:val="21"/>
                    </w:rPr>
                    <w:t>4.0</w:t>
                  </w:r>
                </w:p>
              </w:tc>
              <w:tc>
                <w:tcPr>
                  <w:tcW w:w="1213" w:type="pct"/>
                  <w:vMerge w:val="continue"/>
                  <w:noWrap w:val="0"/>
                  <w:vAlign w:val="center"/>
                </w:tcPr>
                <w:p w14:paraId="56BA1C6A">
                  <w:pPr>
                    <w:pStyle w:val="12"/>
                    <w:spacing w:line="240" w:lineRule="auto"/>
                    <w:jc w:val="center"/>
                    <w:rPr>
                      <w:rFonts w:ascii="Times New Roman" w:hAnsi="Times New Roman"/>
                      <w:color w:val="auto"/>
                      <w:sz w:val="21"/>
                      <w:szCs w:val="21"/>
                    </w:rPr>
                  </w:pPr>
                </w:p>
              </w:tc>
            </w:tr>
            <w:tr w14:paraId="4DC68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009" w:type="pct"/>
                  <w:noWrap w:val="0"/>
                  <w:vAlign w:val="center"/>
                </w:tcPr>
                <w:p w14:paraId="124D9BDD">
                  <w:pPr>
                    <w:pStyle w:val="12"/>
                    <w:spacing w:line="240" w:lineRule="auto"/>
                    <w:jc w:val="center"/>
                    <w:rPr>
                      <w:rFonts w:ascii="Times New Roman" w:hAnsi="Times New Roman"/>
                      <w:color w:val="auto"/>
                      <w:sz w:val="21"/>
                      <w:szCs w:val="21"/>
                    </w:rPr>
                  </w:pPr>
                  <w:r>
                    <w:rPr>
                      <w:rFonts w:ascii="Times New Roman" w:hAnsi="Times New Roman"/>
                      <w:color w:val="auto"/>
                      <w:sz w:val="21"/>
                      <w:szCs w:val="21"/>
                    </w:rPr>
                    <w:t>颗粒物</w:t>
                  </w:r>
                </w:p>
              </w:tc>
              <w:tc>
                <w:tcPr>
                  <w:tcW w:w="1564" w:type="pct"/>
                  <w:noWrap w:val="0"/>
                  <w:vAlign w:val="center"/>
                </w:tcPr>
                <w:p w14:paraId="0B704935">
                  <w:pPr>
                    <w:pStyle w:val="12"/>
                    <w:spacing w:line="240" w:lineRule="auto"/>
                    <w:jc w:val="center"/>
                    <w:rPr>
                      <w:rFonts w:ascii="Times New Roman" w:hAnsi="Times New Roman"/>
                      <w:color w:val="auto"/>
                      <w:sz w:val="21"/>
                      <w:szCs w:val="21"/>
                    </w:rPr>
                  </w:pPr>
                  <w:r>
                    <w:rPr>
                      <w:rFonts w:hint="eastAsia" w:ascii="Times New Roman" w:hAnsi="Times New Roman"/>
                      <w:color w:val="auto"/>
                      <w:sz w:val="21"/>
                      <w:szCs w:val="21"/>
                    </w:rPr>
                    <w:t>厂界内</w:t>
                  </w:r>
                  <w:r>
                    <w:rPr>
                      <w:rFonts w:ascii="Times New Roman" w:hAnsi="Times New Roman"/>
                      <w:color w:val="auto"/>
                      <w:sz w:val="21"/>
                      <w:szCs w:val="21"/>
                    </w:rPr>
                    <w:t>工业炉窑</w:t>
                  </w:r>
                  <w:r>
                    <w:rPr>
                      <w:rFonts w:hint="eastAsia" w:ascii="Times New Roman" w:hAnsi="Times New Roman"/>
                      <w:color w:val="auto"/>
                      <w:sz w:val="21"/>
                      <w:szCs w:val="21"/>
                    </w:rPr>
                    <w:t>厂房外</w:t>
                  </w:r>
                </w:p>
              </w:tc>
              <w:tc>
                <w:tcPr>
                  <w:tcW w:w="1211" w:type="pct"/>
                  <w:noWrap w:val="0"/>
                  <w:vAlign w:val="center"/>
                </w:tcPr>
                <w:p w14:paraId="481D9EEA">
                  <w:pPr>
                    <w:pStyle w:val="12"/>
                    <w:spacing w:line="240" w:lineRule="auto"/>
                    <w:jc w:val="center"/>
                    <w:rPr>
                      <w:rFonts w:ascii="Times New Roman" w:hAnsi="Times New Roman"/>
                      <w:color w:val="auto"/>
                      <w:sz w:val="21"/>
                      <w:szCs w:val="21"/>
                    </w:rPr>
                  </w:pPr>
                  <w:r>
                    <w:rPr>
                      <w:rFonts w:ascii="Times New Roman" w:hAnsi="Times New Roman"/>
                      <w:color w:val="auto"/>
                      <w:sz w:val="21"/>
                      <w:szCs w:val="21"/>
                    </w:rPr>
                    <w:t>5.0</w:t>
                  </w:r>
                </w:p>
              </w:tc>
              <w:tc>
                <w:tcPr>
                  <w:tcW w:w="1213" w:type="pct"/>
                  <w:noWrap w:val="0"/>
                  <w:vAlign w:val="center"/>
                </w:tcPr>
                <w:p w14:paraId="5273CD59">
                  <w:pPr>
                    <w:pStyle w:val="12"/>
                    <w:spacing w:line="240" w:lineRule="auto"/>
                    <w:jc w:val="center"/>
                    <w:rPr>
                      <w:rFonts w:ascii="Times New Roman" w:hAnsi="Times New Roman"/>
                      <w:color w:val="auto"/>
                      <w:sz w:val="21"/>
                      <w:szCs w:val="21"/>
                    </w:rPr>
                  </w:pPr>
                  <w:r>
                    <w:rPr>
                      <w:rFonts w:ascii="Times New Roman" w:hAnsi="Times New Roman"/>
                      <w:color w:val="auto"/>
                      <w:sz w:val="21"/>
                      <w:szCs w:val="21"/>
                    </w:rPr>
                    <w:t>GB9078-1996</w:t>
                  </w:r>
                </w:p>
              </w:tc>
            </w:tr>
            <w:tr w14:paraId="686B4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009" w:type="pct"/>
                  <w:vMerge w:val="restart"/>
                  <w:noWrap w:val="0"/>
                  <w:vAlign w:val="center"/>
                </w:tcPr>
                <w:p w14:paraId="30D48047">
                  <w:pPr>
                    <w:pStyle w:val="12"/>
                    <w:spacing w:line="240" w:lineRule="auto"/>
                    <w:jc w:val="center"/>
                    <w:rPr>
                      <w:rFonts w:ascii="Times New Roman" w:hAnsi="Times New Roman"/>
                      <w:color w:val="auto"/>
                      <w:sz w:val="21"/>
                      <w:szCs w:val="21"/>
                    </w:rPr>
                  </w:pPr>
                  <w:r>
                    <w:rPr>
                      <w:rFonts w:ascii="Times New Roman" w:hAnsi="Times New Roman"/>
                      <w:color w:val="auto"/>
                      <w:sz w:val="21"/>
                      <w:szCs w:val="21"/>
                    </w:rPr>
                    <w:t>非甲烷总烃</w:t>
                  </w:r>
                  <w:r>
                    <w:rPr>
                      <w:rFonts w:hint="eastAsia" w:ascii="Times New Roman" w:hAnsi="Times New Roman"/>
                      <w:color w:val="auto"/>
                      <w:sz w:val="21"/>
                      <w:szCs w:val="21"/>
                    </w:rPr>
                    <w:t>（在厂房外设置监控点）</w:t>
                  </w:r>
                </w:p>
              </w:tc>
              <w:tc>
                <w:tcPr>
                  <w:tcW w:w="1564" w:type="pct"/>
                  <w:noWrap w:val="0"/>
                  <w:vAlign w:val="center"/>
                </w:tcPr>
                <w:p w14:paraId="06579AC7">
                  <w:pPr>
                    <w:pStyle w:val="12"/>
                    <w:spacing w:line="240" w:lineRule="auto"/>
                    <w:jc w:val="center"/>
                    <w:rPr>
                      <w:rFonts w:ascii="Times New Roman" w:hAnsi="Times New Roman"/>
                      <w:color w:val="auto"/>
                      <w:sz w:val="21"/>
                      <w:szCs w:val="21"/>
                    </w:rPr>
                  </w:pPr>
                  <w:r>
                    <w:rPr>
                      <w:rFonts w:hint="eastAsia" w:ascii="Times New Roman" w:hAnsi="Times New Roman"/>
                      <w:color w:val="auto"/>
                      <w:sz w:val="21"/>
                      <w:szCs w:val="21"/>
                    </w:rPr>
                    <w:t>监控点处1h平均浓度值（厂界内炭化</w:t>
                  </w:r>
                  <w:r>
                    <w:rPr>
                      <w:rFonts w:ascii="Times New Roman" w:hAnsi="Times New Roman"/>
                      <w:color w:val="auto"/>
                      <w:sz w:val="21"/>
                      <w:szCs w:val="21"/>
                    </w:rPr>
                    <w:t>窑下风向</w:t>
                  </w:r>
                  <w:r>
                    <w:rPr>
                      <w:rFonts w:hint="eastAsia" w:ascii="Times New Roman" w:hAnsi="Times New Roman"/>
                      <w:color w:val="auto"/>
                      <w:sz w:val="21"/>
                      <w:szCs w:val="21"/>
                    </w:rPr>
                    <w:t>）</w:t>
                  </w:r>
                </w:p>
              </w:tc>
              <w:tc>
                <w:tcPr>
                  <w:tcW w:w="1211" w:type="pct"/>
                  <w:noWrap w:val="0"/>
                  <w:vAlign w:val="center"/>
                </w:tcPr>
                <w:p w14:paraId="1D0D2FDE">
                  <w:pPr>
                    <w:pStyle w:val="12"/>
                    <w:spacing w:line="240" w:lineRule="auto"/>
                    <w:jc w:val="center"/>
                    <w:rPr>
                      <w:rFonts w:ascii="Times New Roman" w:hAnsi="Times New Roman"/>
                      <w:color w:val="auto"/>
                      <w:sz w:val="21"/>
                      <w:szCs w:val="21"/>
                    </w:rPr>
                  </w:pPr>
                  <w:r>
                    <w:rPr>
                      <w:rFonts w:ascii="Times New Roman" w:hAnsi="Times New Roman"/>
                      <w:color w:val="auto"/>
                      <w:sz w:val="21"/>
                      <w:szCs w:val="21"/>
                    </w:rPr>
                    <w:t>10.0</w:t>
                  </w:r>
                </w:p>
              </w:tc>
              <w:tc>
                <w:tcPr>
                  <w:tcW w:w="1213" w:type="pct"/>
                  <w:vMerge w:val="restart"/>
                  <w:noWrap w:val="0"/>
                  <w:vAlign w:val="center"/>
                </w:tcPr>
                <w:p w14:paraId="05F8AB7A">
                  <w:pPr>
                    <w:pStyle w:val="12"/>
                    <w:spacing w:line="240" w:lineRule="auto"/>
                    <w:jc w:val="center"/>
                    <w:rPr>
                      <w:rFonts w:ascii="Times New Roman" w:hAnsi="Times New Roman"/>
                      <w:color w:val="auto"/>
                      <w:sz w:val="21"/>
                      <w:szCs w:val="21"/>
                    </w:rPr>
                  </w:pPr>
                  <w:r>
                    <w:rPr>
                      <w:rFonts w:ascii="Times New Roman" w:hAnsi="Times New Roman"/>
                      <w:color w:val="auto"/>
                      <w:sz w:val="21"/>
                      <w:szCs w:val="21"/>
                      <w:shd w:val="clear" w:color="auto" w:fill="FFFFFF"/>
                    </w:rPr>
                    <w:t>GB 37822-2019</w:t>
                  </w:r>
                </w:p>
              </w:tc>
            </w:tr>
            <w:tr w14:paraId="69288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09" w:type="pct"/>
                  <w:vMerge w:val="continue"/>
                  <w:noWrap w:val="0"/>
                  <w:vAlign w:val="center"/>
                </w:tcPr>
                <w:p w14:paraId="23EAC450">
                  <w:pPr>
                    <w:pStyle w:val="12"/>
                    <w:spacing w:line="240" w:lineRule="auto"/>
                    <w:jc w:val="center"/>
                    <w:rPr>
                      <w:rFonts w:ascii="Times New Roman" w:hAnsi="Times New Roman"/>
                      <w:color w:val="auto"/>
                      <w:sz w:val="21"/>
                      <w:szCs w:val="21"/>
                    </w:rPr>
                  </w:pPr>
                </w:p>
              </w:tc>
              <w:tc>
                <w:tcPr>
                  <w:tcW w:w="1564" w:type="pct"/>
                  <w:noWrap w:val="0"/>
                  <w:vAlign w:val="center"/>
                </w:tcPr>
                <w:p w14:paraId="72F586F3">
                  <w:pPr>
                    <w:pStyle w:val="12"/>
                    <w:spacing w:line="240" w:lineRule="auto"/>
                    <w:jc w:val="center"/>
                    <w:rPr>
                      <w:rFonts w:ascii="Times New Roman" w:hAnsi="Times New Roman"/>
                      <w:color w:val="auto"/>
                      <w:sz w:val="21"/>
                      <w:szCs w:val="21"/>
                    </w:rPr>
                  </w:pPr>
                  <w:r>
                    <w:rPr>
                      <w:rFonts w:ascii="Times New Roman" w:hAnsi="Times New Roman"/>
                      <w:color w:val="auto"/>
                      <w:sz w:val="21"/>
                      <w:szCs w:val="21"/>
                    </w:rPr>
                    <w:t>监控点处任意一次浓度值</w:t>
                  </w:r>
                </w:p>
              </w:tc>
              <w:tc>
                <w:tcPr>
                  <w:tcW w:w="1211" w:type="pct"/>
                  <w:noWrap w:val="0"/>
                  <w:vAlign w:val="center"/>
                </w:tcPr>
                <w:p w14:paraId="7549C2F9">
                  <w:pPr>
                    <w:pStyle w:val="12"/>
                    <w:spacing w:line="240" w:lineRule="auto"/>
                    <w:jc w:val="center"/>
                    <w:rPr>
                      <w:rFonts w:ascii="Times New Roman" w:hAnsi="Times New Roman"/>
                      <w:color w:val="auto"/>
                      <w:sz w:val="21"/>
                      <w:szCs w:val="21"/>
                    </w:rPr>
                  </w:pPr>
                  <w:r>
                    <w:rPr>
                      <w:rFonts w:hint="eastAsia" w:ascii="Times New Roman" w:hAnsi="Times New Roman"/>
                      <w:color w:val="auto"/>
                      <w:sz w:val="21"/>
                      <w:szCs w:val="21"/>
                    </w:rPr>
                    <w:t>30.0</w:t>
                  </w:r>
                </w:p>
              </w:tc>
              <w:tc>
                <w:tcPr>
                  <w:tcW w:w="1213" w:type="pct"/>
                  <w:vMerge w:val="continue"/>
                  <w:noWrap w:val="0"/>
                  <w:vAlign w:val="center"/>
                </w:tcPr>
                <w:p w14:paraId="0F4623EA">
                  <w:pPr>
                    <w:pStyle w:val="12"/>
                    <w:spacing w:line="240" w:lineRule="auto"/>
                    <w:jc w:val="center"/>
                    <w:rPr>
                      <w:rFonts w:ascii="Times New Roman" w:hAnsi="Times New Roman"/>
                      <w:color w:val="auto"/>
                      <w:sz w:val="21"/>
                      <w:szCs w:val="21"/>
                      <w:shd w:val="clear" w:color="auto" w:fill="FFFFFF"/>
                    </w:rPr>
                  </w:pPr>
                </w:p>
              </w:tc>
            </w:tr>
            <w:tr w14:paraId="6DE15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5000" w:type="pct"/>
                  <w:gridSpan w:val="4"/>
                  <w:noWrap w:val="0"/>
                  <w:vAlign w:val="center"/>
                </w:tcPr>
                <w:p w14:paraId="71D2826C">
                  <w:pPr>
                    <w:spacing w:line="240" w:lineRule="auto"/>
                    <w:rPr>
                      <w:b/>
                      <w:bCs/>
                      <w:color w:val="auto"/>
                      <w:szCs w:val="21"/>
                    </w:rPr>
                  </w:pPr>
                  <w:r>
                    <w:rPr>
                      <w:b/>
                      <w:bCs/>
                      <w:color w:val="auto"/>
                      <w:szCs w:val="21"/>
                    </w:rPr>
                    <w:t>厂区内VOCs无组织排放进行监控要求：</w:t>
                  </w:r>
                </w:p>
                <w:p w14:paraId="1FF4FE66">
                  <w:pPr>
                    <w:spacing w:line="240" w:lineRule="auto"/>
                    <w:rPr>
                      <w:color w:val="auto"/>
                      <w:szCs w:val="21"/>
                    </w:rPr>
                  </w:pPr>
                  <w:r>
                    <w:rPr>
                      <w:color w:val="auto"/>
                      <w:szCs w:val="21"/>
                    </w:rPr>
                    <w:t>1、对厂区内VOCs无组织排放进行监控时，在厂房门窗或通风口、其他开口</w:t>
                  </w:r>
                  <w:r>
                    <w:rPr>
                      <w:rFonts w:hint="eastAsia"/>
                      <w:color w:val="auto"/>
                      <w:szCs w:val="21"/>
                    </w:rPr>
                    <w:t>（</w:t>
                  </w:r>
                  <w:r>
                    <w:rPr>
                      <w:color w:val="auto"/>
                      <w:szCs w:val="21"/>
                    </w:rPr>
                    <w:t>孔)等排放口外1 m，距离地面1.5 m以上位置处进行监测。若厂房不完整</w:t>
                  </w:r>
                  <w:r>
                    <w:rPr>
                      <w:rFonts w:hint="eastAsia"/>
                      <w:color w:val="auto"/>
                      <w:szCs w:val="21"/>
                    </w:rPr>
                    <w:t>（</w:t>
                  </w:r>
                  <w:r>
                    <w:rPr>
                      <w:color w:val="auto"/>
                      <w:szCs w:val="21"/>
                    </w:rPr>
                    <w:t>如有顶无围墙)，则在操作工位下风向1 m，距离地面1.5m以上位置处进行监测。</w:t>
                  </w:r>
                </w:p>
                <w:p w14:paraId="5E5BC6A0">
                  <w:pPr>
                    <w:spacing w:line="240" w:lineRule="auto"/>
                    <w:rPr>
                      <w:color w:val="auto"/>
                      <w:szCs w:val="21"/>
                      <w:shd w:val="clear" w:color="auto" w:fill="FFFFFF"/>
                    </w:rPr>
                  </w:pPr>
                  <w:r>
                    <w:rPr>
                      <w:color w:val="auto"/>
                      <w:szCs w:val="21"/>
                    </w:rPr>
                    <w:t>2、厂区内NMHC任何1 h平均浓度的监测采用HJ 604、HJ 1012 规定的方法，以连续1 h采样获取平均值，或在1h内以等时间间隔采集3~4个样品计平均值。厂区内NMHC任意一次浓度值的监测，按便携式监测仪器相关规定执行。</w:t>
                  </w:r>
                </w:p>
              </w:tc>
            </w:tr>
          </w:tbl>
          <w:p w14:paraId="263E5D85">
            <w:pPr>
              <w:autoSpaceDE w:val="0"/>
              <w:autoSpaceDN w:val="0"/>
              <w:spacing w:line="360" w:lineRule="auto"/>
              <w:ind w:firstLine="240" w:firstLineChars="100"/>
              <w:rPr>
                <w:bCs/>
                <w:color w:val="FF0000"/>
                <w:sz w:val="24"/>
              </w:rPr>
            </w:pPr>
            <w:r>
              <w:rPr>
                <w:rFonts w:hint="eastAsia" w:ascii="宋体" w:hAnsi="宋体" w:cs="宋体"/>
                <w:color w:val="000000"/>
                <w:sz w:val="24"/>
              </w:rPr>
              <w:t>（2）</w:t>
            </w:r>
            <w:r>
              <w:rPr>
                <w:rFonts w:hint="eastAsia"/>
                <w:color w:val="000000"/>
                <w:sz w:val="24"/>
              </w:rPr>
              <w:t>项目有组织废气主要为热风炉烟气、制棒和炭化烟气，最终烘干、制棒、炭化烟气合并排放，主要污染因子为烟尘、SO</w:t>
            </w:r>
            <w:r>
              <w:rPr>
                <w:rFonts w:hint="eastAsia"/>
                <w:color w:val="000000"/>
                <w:sz w:val="24"/>
                <w:vertAlign w:val="subscript"/>
              </w:rPr>
              <w:t>2</w:t>
            </w:r>
            <w:r>
              <w:rPr>
                <w:rFonts w:hint="eastAsia"/>
                <w:color w:val="000000"/>
                <w:sz w:val="24"/>
              </w:rPr>
              <w:t>、NO</w:t>
            </w:r>
            <w:r>
              <w:rPr>
                <w:rFonts w:hint="eastAsia"/>
                <w:color w:val="000000"/>
                <w:sz w:val="24"/>
                <w:vertAlign w:val="subscript"/>
              </w:rPr>
              <w:t>x</w:t>
            </w:r>
            <w:r>
              <w:rPr>
                <w:rFonts w:hint="eastAsia"/>
                <w:color w:val="000000"/>
                <w:sz w:val="24"/>
              </w:rPr>
              <w:t>、非甲烷总烃、烟气黑度。其中非甲烷总烃、SO</w:t>
            </w:r>
            <w:r>
              <w:rPr>
                <w:rFonts w:hint="eastAsia"/>
                <w:color w:val="000000"/>
                <w:sz w:val="24"/>
                <w:vertAlign w:val="subscript"/>
              </w:rPr>
              <w:t>2</w:t>
            </w:r>
            <w:r>
              <w:rPr>
                <w:rFonts w:hint="eastAsia"/>
                <w:color w:val="000000"/>
                <w:sz w:val="24"/>
              </w:rPr>
              <w:t>和NO</w:t>
            </w:r>
            <w:r>
              <w:rPr>
                <w:rFonts w:hint="eastAsia"/>
                <w:color w:val="000000"/>
                <w:sz w:val="24"/>
                <w:vertAlign w:val="subscript"/>
              </w:rPr>
              <w:t>x</w:t>
            </w:r>
            <w:r>
              <w:rPr>
                <w:rFonts w:hint="eastAsia"/>
                <w:color w:val="000000"/>
                <w:sz w:val="24"/>
              </w:rPr>
              <w:t>执行《大气污染物综合排放标准》(GB16297-1996)表2中的二级标准限值；烟（粉)尘、</w:t>
            </w:r>
            <w:r>
              <w:rPr>
                <w:rFonts w:hint="eastAsia" w:ascii="宋体" w:hAnsi="宋体" w:cs="宋体"/>
                <w:color w:val="000000"/>
                <w:sz w:val="24"/>
              </w:rPr>
              <w:t>烟气黑度</w:t>
            </w:r>
            <w:r>
              <w:rPr>
                <w:rFonts w:hint="eastAsia"/>
                <w:color w:val="000000"/>
                <w:sz w:val="24"/>
              </w:rPr>
              <w:t>（林格曼黑度）执行《工业炉窑大气污染物排放标准》(GB9078-1996)中干燥炉窑的二级标准，详见表3-</w:t>
            </w:r>
            <w:r>
              <w:rPr>
                <w:rFonts w:hint="eastAsia"/>
                <w:color w:val="000000"/>
                <w:sz w:val="24"/>
                <w:lang w:val="en-US" w:eastAsia="zh-CN"/>
              </w:rPr>
              <w:t>8</w:t>
            </w:r>
            <w:r>
              <w:rPr>
                <w:rFonts w:hint="eastAsia"/>
                <w:color w:val="000000"/>
                <w:sz w:val="24"/>
              </w:rPr>
              <w:t>。</w:t>
            </w:r>
          </w:p>
          <w:p w14:paraId="1F4C8608">
            <w:pPr>
              <w:snapToGrid w:val="0"/>
              <w:ind w:firstLine="2029" w:firstLineChars="842"/>
              <w:rPr>
                <w:b/>
                <w:sz w:val="24"/>
              </w:rPr>
            </w:pPr>
            <w:r>
              <w:rPr>
                <w:b/>
                <w:sz w:val="24"/>
              </w:rPr>
              <w:t>表</w:t>
            </w:r>
            <w:r>
              <w:rPr>
                <w:rFonts w:hint="eastAsia"/>
                <w:b/>
                <w:sz w:val="24"/>
              </w:rPr>
              <w:t>3</w:t>
            </w:r>
            <w:r>
              <w:rPr>
                <w:b/>
                <w:sz w:val="24"/>
              </w:rPr>
              <w:t>-</w:t>
            </w:r>
            <w:r>
              <w:rPr>
                <w:rFonts w:hint="eastAsia"/>
                <w:b/>
                <w:sz w:val="24"/>
                <w:lang w:val="en-US" w:eastAsia="zh-CN"/>
              </w:rPr>
              <w:t>8</w:t>
            </w:r>
            <w:r>
              <w:rPr>
                <w:b/>
                <w:sz w:val="24"/>
              </w:rPr>
              <w:t xml:space="preserve"> </w:t>
            </w:r>
            <w:r>
              <w:rPr>
                <w:rFonts w:hint="eastAsia"/>
                <w:b/>
                <w:sz w:val="24"/>
              </w:rPr>
              <w:t>有组织</w:t>
            </w:r>
            <w:r>
              <w:rPr>
                <w:rFonts w:hint="eastAsia" w:ascii="宋体" w:hAnsi="宋体" w:cs="宋体"/>
                <w:b/>
                <w:bCs/>
                <w:sz w:val="24"/>
              </w:rPr>
              <w:t>废气污染物排放浓度限值</w:t>
            </w:r>
          </w:p>
          <w:tbl>
            <w:tblPr>
              <w:tblStyle w:val="23"/>
              <w:tblW w:w="7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5"/>
              <w:gridCol w:w="1645"/>
              <w:gridCol w:w="1181"/>
              <w:gridCol w:w="1182"/>
              <w:gridCol w:w="2303"/>
            </w:tblGrid>
            <w:tr w14:paraId="60975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565" w:type="dxa"/>
                  <w:noWrap w:val="0"/>
                  <w:vAlign w:val="center"/>
                </w:tcPr>
                <w:p w14:paraId="0884FA0C">
                  <w:pPr>
                    <w:spacing w:line="240" w:lineRule="auto"/>
                    <w:jc w:val="center"/>
                    <w:rPr>
                      <w:b/>
                    </w:rPr>
                  </w:pPr>
                  <w:r>
                    <w:rPr>
                      <w:b/>
                    </w:rPr>
                    <w:t>污染源</w:t>
                  </w:r>
                </w:p>
              </w:tc>
              <w:tc>
                <w:tcPr>
                  <w:tcW w:w="1645" w:type="dxa"/>
                  <w:noWrap w:val="0"/>
                  <w:vAlign w:val="center"/>
                </w:tcPr>
                <w:p w14:paraId="7154064D">
                  <w:pPr>
                    <w:spacing w:line="240" w:lineRule="auto"/>
                    <w:jc w:val="center"/>
                    <w:rPr>
                      <w:b/>
                    </w:rPr>
                  </w:pPr>
                  <w:r>
                    <w:rPr>
                      <w:b/>
                    </w:rPr>
                    <w:t>炉窑类别</w:t>
                  </w:r>
                </w:p>
              </w:tc>
              <w:tc>
                <w:tcPr>
                  <w:tcW w:w="1181" w:type="dxa"/>
                  <w:noWrap w:val="0"/>
                  <w:vAlign w:val="center"/>
                </w:tcPr>
                <w:p w14:paraId="10F310FA">
                  <w:pPr>
                    <w:spacing w:line="240" w:lineRule="auto"/>
                    <w:jc w:val="center"/>
                    <w:rPr>
                      <w:b/>
                    </w:rPr>
                  </w:pPr>
                  <w:r>
                    <w:rPr>
                      <w:b/>
                    </w:rPr>
                    <w:t>标准限值</w:t>
                  </w:r>
                  <w:r>
                    <w:rPr>
                      <w:b/>
                      <w:szCs w:val="21"/>
                    </w:rPr>
                    <w:t>（mg/m</w:t>
                  </w:r>
                  <w:r>
                    <w:rPr>
                      <w:b/>
                      <w:szCs w:val="21"/>
                      <w:vertAlign w:val="superscript"/>
                    </w:rPr>
                    <w:t>3</w:t>
                  </w:r>
                  <w:r>
                    <w:rPr>
                      <w:b/>
                      <w:szCs w:val="21"/>
                    </w:rPr>
                    <w:t>）</w:t>
                  </w:r>
                </w:p>
              </w:tc>
              <w:tc>
                <w:tcPr>
                  <w:tcW w:w="1182" w:type="dxa"/>
                  <w:noWrap w:val="0"/>
                  <w:vAlign w:val="center"/>
                </w:tcPr>
                <w:p w14:paraId="7C91CC6F">
                  <w:pPr>
                    <w:spacing w:line="240" w:lineRule="auto"/>
                    <w:jc w:val="center"/>
                    <w:rPr>
                      <w:b/>
                      <w:color w:val="000000"/>
                    </w:rPr>
                  </w:pPr>
                  <w:r>
                    <w:rPr>
                      <w:rFonts w:hint="eastAsia"/>
                      <w:b/>
                      <w:color w:val="000000"/>
                    </w:rPr>
                    <w:t>最高允许排放速率（kg/h）</w:t>
                  </w:r>
                </w:p>
              </w:tc>
              <w:tc>
                <w:tcPr>
                  <w:tcW w:w="2303" w:type="dxa"/>
                  <w:noWrap w:val="0"/>
                  <w:vAlign w:val="center"/>
                </w:tcPr>
                <w:p w14:paraId="5C8C8B85">
                  <w:pPr>
                    <w:spacing w:line="240" w:lineRule="auto"/>
                    <w:jc w:val="center"/>
                    <w:rPr>
                      <w:b/>
                    </w:rPr>
                  </w:pPr>
                  <w:r>
                    <w:rPr>
                      <w:rFonts w:hint="eastAsia"/>
                      <w:b/>
                    </w:rPr>
                    <w:t>执行标准</w:t>
                  </w:r>
                </w:p>
              </w:tc>
            </w:tr>
            <w:tr w14:paraId="7D71D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565" w:type="dxa"/>
                  <w:noWrap w:val="0"/>
                  <w:vAlign w:val="center"/>
                </w:tcPr>
                <w:p w14:paraId="1DEAB258">
                  <w:pPr>
                    <w:spacing w:line="240" w:lineRule="auto"/>
                    <w:jc w:val="center"/>
                    <w:rPr>
                      <w:bCs/>
                    </w:rPr>
                  </w:pPr>
                  <w:r>
                    <w:rPr>
                      <w:bCs/>
                    </w:rPr>
                    <w:t>烟尘</w:t>
                  </w:r>
                </w:p>
              </w:tc>
              <w:tc>
                <w:tcPr>
                  <w:tcW w:w="1645" w:type="dxa"/>
                  <w:noWrap w:val="0"/>
                  <w:vAlign w:val="center"/>
                </w:tcPr>
                <w:p w14:paraId="00531DCA">
                  <w:pPr>
                    <w:spacing w:line="240" w:lineRule="auto"/>
                    <w:jc w:val="center"/>
                    <w:rPr>
                      <w:bCs/>
                    </w:rPr>
                  </w:pPr>
                  <w:r>
                    <w:rPr>
                      <w:bCs/>
                    </w:rPr>
                    <w:t>干燥炉、窑</w:t>
                  </w:r>
                </w:p>
              </w:tc>
              <w:tc>
                <w:tcPr>
                  <w:tcW w:w="1181" w:type="dxa"/>
                  <w:noWrap w:val="0"/>
                  <w:vAlign w:val="center"/>
                </w:tcPr>
                <w:p w14:paraId="4B37362E">
                  <w:pPr>
                    <w:spacing w:line="240" w:lineRule="auto"/>
                    <w:jc w:val="center"/>
                    <w:rPr>
                      <w:bCs/>
                    </w:rPr>
                  </w:pPr>
                  <w:r>
                    <w:rPr>
                      <w:bCs/>
                    </w:rPr>
                    <w:t>200</w:t>
                  </w:r>
                </w:p>
              </w:tc>
              <w:tc>
                <w:tcPr>
                  <w:tcW w:w="1182" w:type="dxa"/>
                  <w:noWrap w:val="0"/>
                  <w:vAlign w:val="center"/>
                </w:tcPr>
                <w:p w14:paraId="4C970D77">
                  <w:pPr>
                    <w:spacing w:line="240" w:lineRule="auto"/>
                    <w:jc w:val="center"/>
                    <w:rPr>
                      <w:rFonts w:hint="eastAsia"/>
                      <w:bCs/>
                      <w:color w:val="000000"/>
                    </w:rPr>
                  </w:pPr>
                  <w:r>
                    <w:rPr>
                      <w:rFonts w:hint="eastAsia"/>
                      <w:bCs/>
                      <w:color w:val="000000"/>
                    </w:rPr>
                    <w:t>/</w:t>
                  </w:r>
                </w:p>
              </w:tc>
              <w:tc>
                <w:tcPr>
                  <w:tcW w:w="2303" w:type="dxa"/>
                  <w:vMerge w:val="restart"/>
                  <w:noWrap w:val="0"/>
                  <w:vAlign w:val="center"/>
                </w:tcPr>
                <w:p w14:paraId="50BC75E9">
                  <w:pPr>
                    <w:spacing w:line="240" w:lineRule="auto"/>
                    <w:jc w:val="center"/>
                    <w:rPr>
                      <w:bCs/>
                      <w:color w:val="FF0000"/>
                    </w:rPr>
                  </w:pPr>
                  <w:r>
                    <w:rPr>
                      <w:rFonts w:hint="eastAsia"/>
                      <w:color w:val="000000"/>
                    </w:rPr>
                    <w:t>《工业炉窑大气污染物排放标准》（GB9078-1996）</w:t>
                  </w:r>
                </w:p>
              </w:tc>
            </w:tr>
            <w:tr w14:paraId="7CEFA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565" w:type="dxa"/>
                  <w:noWrap w:val="0"/>
                  <w:vAlign w:val="center"/>
                </w:tcPr>
                <w:p w14:paraId="3416F065">
                  <w:pPr>
                    <w:spacing w:line="240" w:lineRule="auto"/>
                    <w:jc w:val="center"/>
                    <w:rPr>
                      <w:bCs/>
                    </w:rPr>
                  </w:pPr>
                  <w:r>
                    <w:rPr>
                      <w:bCs/>
                    </w:rPr>
                    <w:t>烟气黑度</w:t>
                  </w:r>
                </w:p>
              </w:tc>
              <w:tc>
                <w:tcPr>
                  <w:tcW w:w="1645" w:type="dxa"/>
                  <w:noWrap w:val="0"/>
                  <w:vAlign w:val="center"/>
                </w:tcPr>
                <w:p w14:paraId="7B28AE04">
                  <w:pPr>
                    <w:spacing w:line="240" w:lineRule="auto"/>
                    <w:jc w:val="center"/>
                    <w:rPr>
                      <w:bCs/>
                    </w:rPr>
                  </w:pPr>
                  <w:r>
                    <w:rPr>
                      <w:bCs/>
                    </w:rPr>
                    <w:t>参照燃煤（油）炉窑</w:t>
                  </w:r>
                </w:p>
              </w:tc>
              <w:tc>
                <w:tcPr>
                  <w:tcW w:w="1181" w:type="dxa"/>
                  <w:noWrap w:val="0"/>
                  <w:vAlign w:val="center"/>
                </w:tcPr>
                <w:p w14:paraId="1F8FCCCB">
                  <w:pPr>
                    <w:spacing w:line="240" w:lineRule="auto"/>
                    <w:jc w:val="center"/>
                    <w:rPr>
                      <w:bCs/>
                    </w:rPr>
                  </w:pPr>
                  <w:r>
                    <w:rPr>
                      <w:bCs/>
                    </w:rPr>
                    <w:t>1</w:t>
                  </w:r>
                  <w:r>
                    <w:rPr>
                      <w:rFonts w:hint="eastAsia"/>
                      <w:bCs/>
                    </w:rPr>
                    <w:t>级</w:t>
                  </w:r>
                </w:p>
              </w:tc>
              <w:tc>
                <w:tcPr>
                  <w:tcW w:w="1182" w:type="dxa"/>
                  <w:noWrap w:val="0"/>
                  <w:vAlign w:val="center"/>
                </w:tcPr>
                <w:p w14:paraId="53B5663D">
                  <w:pPr>
                    <w:spacing w:line="240" w:lineRule="auto"/>
                    <w:jc w:val="center"/>
                    <w:rPr>
                      <w:rFonts w:hint="eastAsia"/>
                      <w:bCs/>
                      <w:color w:val="000000"/>
                    </w:rPr>
                  </w:pPr>
                  <w:r>
                    <w:rPr>
                      <w:rFonts w:hint="eastAsia"/>
                      <w:bCs/>
                      <w:color w:val="000000"/>
                    </w:rPr>
                    <w:t>/</w:t>
                  </w:r>
                </w:p>
              </w:tc>
              <w:tc>
                <w:tcPr>
                  <w:tcW w:w="2303" w:type="dxa"/>
                  <w:vMerge w:val="continue"/>
                  <w:noWrap w:val="0"/>
                  <w:vAlign w:val="center"/>
                </w:tcPr>
                <w:p w14:paraId="15FE703F">
                  <w:pPr>
                    <w:spacing w:line="240" w:lineRule="auto"/>
                    <w:jc w:val="center"/>
                    <w:rPr>
                      <w:bCs/>
                      <w:color w:val="FF0000"/>
                    </w:rPr>
                  </w:pPr>
                </w:p>
              </w:tc>
            </w:tr>
            <w:tr w14:paraId="78771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565" w:type="dxa"/>
                  <w:noWrap w:val="0"/>
                  <w:vAlign w:val="center"/>
                </w:tcPr>
                <w:p w14:paraId="58302B0A">
                  <w:pPr>
                    <w:spacing w:line="240" w:lineRule="auto"/>
                    <w:jc w:val="center"/>
                    <w:rPr>
                      <w:bCs/>
                    </w:rPr>
                  </w:pPr>
                  <w:r>
                    <w:rPr>
                      <w:bCs/>
                    </w:rPr>
                    <w:t>NOx</w:t>
                  </w:r>
                </w:p>
              </w:tc>
              <w:tc>
                <w:tcPr>
                  <w:tcW w:w="1645" w:type="dxa"/>
                  <w:noWrap w:val="0"/>
                  <w:vAlign w:val="center"/>
                </w:tcPr>
                <w:p w14:paraId="1322DF66">
                  <w:pPr>
                    <w:spacing w:line="240" w:lineRule="auto"/>
                    <w:jc w:val="center"/>
                    <w:rPr>
                      <w:bCs/>
                    </w:rPr>
                  </w:pPr>
                  <w:r>
                    <w:rPr>
                      <w:rFonts w:hint="eastAsia"/>
                      <w:bCs/>
                    </w:rPr>
                    <w:t>干燥炉、窑</w:t>
                  </w:r>
                </w:p>
              </w:tc>
              <w:tc>
                <w:tcPr>
                  <w:tcW w:w="1181" w:type="dxa"/>
                  <w:noWrap w:val="0"/>
                  <w:vAlign w:val="center"/>
                </w:tcPr>
                <w:p w14:paraId="1B331552">
                  <w:pPr>
                    <w:spacing w:line="240" w:lineRule="auto"/>
                    <w:jc w:val="center"/>
                    <w:rPr>
                      <w:bCs/>
                    </w:rPr>
                  </w:pPr>
                  <w:r>
                    <w:rPr>
                      <w:rFonts w:hint="eastAsia"/>
                      <w:bCs/>
                    </w:rPr>
                    <w:t>240</w:t>
                  </w:r>
                </w:p>
              </w:tc>
              <w:tc>
                <w:tcPr>
                  <w:tcW w:w="1182" w:type="dxa"/>
                  <w:noWrap w:val="0"/>
                  <w:vAlign w:val="center"/>
                </w:tcPr>
                <w:p w14:paraId="6BAC04E6">
                  <w:pPr>
                    <w:spacing w:line="240" w:lineRule="auto"/>
                    <w:jc w:val="center"/>
                    <w:rPr>
                      <w:bCs/>
                      <w:color w:val="000000"/>
                    </w:rPr>
                  </w:pPr>
                  <w:r>
                    <w:rPr>
                      <w:rFonts w:hint="eastAsia"/>
                      <w:bCs/>
                      <w:color w:val="000000"/>
                    </w:rPr>
                    <w:t>0.77</w:t>
                  </w:r>
                </w:p>
              </w:tc>
              <w:tc>
                <w:tcPr>
                  <w:tcW w:w="2303" w:type="dxa"/>
                  <w:vMerge w:val="restart"/>
                  <w:noWrap w:val="0"/>
                  <w:vAlign w:val="center"/>
                </w:tcPr>
                <w:p w14:paraId="471776F6">
                  <w:pPr>
                    <w:spacing w:line="240" w:lineRule="auto"/>
                    <w:jc w:val="center"/>
                    <w:rPr>
                      <w:bCs/>
                      <w:color w:val="FF0000"/>
                    </w:rPr>
                  </w:pPr>
                  <w:r>
                    <w:rPr>
                      <w:rFonts w:hint="eastAsia"/>
                      <w:color w:val="000000"/>
                    </w:rPr>
                    <w:t>《大气污染物综合排放标准》（GB16297-1996）</w:t>
                  </w:r>
                </w:p>
              </w:tc>
            </w:tr>
            <w:tr w14:paraId="7E19A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65" w:type="dxa"/>
                  <w:noWrap w:val="0"/>
                  <w:vAlign w:val="center"/>
                </w:tcPr>
                <w:p w14:paraId="067DB21D">
                  <w:pPr>
                    <w:spacing w:line="240" w:lineRule="auto"/>
                    <w:jc w:val="center"/>
                    <w:rPr>
                      <w:bCs/>
                    </w:rPr>
                  </w:pPr>
                  <w:r>
                    <w:rPr>
                      <w:bCs/>
                    </w:rPr>
                    <w:t>SO</w:t>
                  </w:r>
                  <w:r>
                    <w:rPr>
                      <w:bCs/>
                      <w:vertAlign w:val="subscript"/>
                    </w:rPr>
                    <w:t>2</w:t>
                  </w:r>
                </w:p>
              </w:tc>
              <w:tc>
                <w:tcPr>
                  <w:tcW w:w="1645" w:type="dxa"/>
                  <w:noWrap w:val="0"/>
                  <w:vAlign w:val="center"/>
                </w:tcPr>
                <w:p w14:paraId="58ABD2D4">
                  <w:pPr>
                    <w:spacing w:line="240" w:lineRule="auto"/>
                    <w:jc w:val="center"/>
                    <w:rPr>
                      <w:bCs/>
                    </w:rPr>
                  </w:pPr>
                  <w:r>
                    <w:rPr>
                      <w:bCs/>
                    </w:rPr>
                    <w:t>干燥炉、窑</w:t>
                  </w:r>
                </w:p>
              </w:tc>
              <w:tc>
                <w:tcPr>
                  <w:tcW w:w="1181" w:type="dxa"/>
                  <w:noWrap w:val="0"/>
                  <w:vAlign w:val="center"/>
                </w:tcPr>
                <w:p w14:paraId="2B51D965">
                  <w:pPr>
                    <w:spacing w:line="240" w:lineRule="auto"/>
                    <w:jc w:val="center"/>
                    <w:rPr>
                      <w:rFonts w:hint="eastAsia"/>
                      <w:bCs/>
                    </w:rPr>
                  </w:pPr>
                  <w:r>
                    <w:rPr>
                      <w:rFonts w:hint="eastAsia"/>
                      <w:bCs/>
                    </w:rPr>
                    <w:t>550</w:t>
                  </w:r>
                </w:p>
              </w:tc>
              <w:tc>
                <w:tcPr>
                  <w:tcW w:w="1182" w:type="dxa"/>
                  <w:noWrap w:val="0"/>
                  <w:vAlign w:val="center"/>
                </w:tcPr>
                <w:p w14:paraId="343DB6E8">
                  <w:pPr>
                    <w:spacing w:line="240" w:lineRule="auto"/>
                    <w:jc w:val="center"/>
                    <w:rPr>
                      <w:bCs/>
                      <w:color w:val="000000"/>
                    </w:rPr>
                  </w:pPr>
                  <w:r>
                    <w:rPr>
                      <w:rFonts w:hint="eastAsia"/>
                      <w:bCs/>
                      <w:color w:val="000000"/>
                    </w:rPr>
                    <w:t>2.6</w:t>
                  </w:r>
                </w:p>
              </w:tc>
              <w:tc>
                <w:tcPr>
                  <w:tcW w:w="2303" w:type="dxa"/>
                  <w:vMerge w:val="continue"/>
                  <w:noWrap w:val="0"/>
                  <w:vAlign w:val="center"/>
                </w:tcPr>
                <w:p w14:paraId="2749B226">
                  <w:pPr>
                    <w:spacing w:line="240" w:lineRule="auto"/>
                    <w:jc w:val="center"/>
                    <w:rPr>
                      <w:bCs/>
                      <w:color w:val="FF0000"/>
                    </w:rPr>
                  </w:pPr>
                </w:p>
              </w:tc>
            </w:tr>
            <w:tr w14:paraId="58097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565" w:type="dxa"/>
                  <w:noWrap w:val="0"/>
                  <w:vAlign w:val="center"/>
                </w:tcPr>
                <w:p w14:paraId="2ED7A73E">
                  <w:pPr>
                    <w:spacing w:line="240" w:lineRule="auto"/>
                    <w:jc w:val="center"/>
                    <w:rPr>
                      <w:bCs/>
                      <w:color w:val="auto"/>
                    </w:rPr>
                  </w:pPr>
                  <w:r>
                    <w:rPr>
                      <w:rFonts w:hint="eastAsia" w:ascii="宋体" w:hAnsi="宋体" w:cs="宋体"/>
                      <w:color w:val="auto"/>
                      <w:szCs w:val="21"/>
                    </w:rPr>
                    <w:t>挥发性有机物（非甲烷总烃）</w:t>
                  </w:r>
                </w:p>
              </w:tc>
              <w:tc>
                <w:tcPr>
                  <w:tcW w:w="1645" w:type="dxa"/>
                  <w:noWrap w:val="0"/>
                  <w:vAlign w:val="center"/>
                </w:tcPr>
                <w:p w14:paraId="54D5E4FF">
                  <w:pPr>
                    <w:spacing w:line="240" w:lineRule="auto"/>
                    <w:jc w:val="center"/>
                    <w:rPr>
                      <w:bCs/>
                      <w:color w:val="auto"/>
                    </w:rPr>
                  </w:pPr>
                  <w:r>
                    <w:rPr>
                      <w:bCs/>
                      <w:color w:val="auto"/>
                    </w:rPr>
                    <w:t>干燥炉、窑</w:t>
                  </w:r>
                </w:p>
              </w:tc>
              <w:tc>
                <w:tcPr>
                  <w:tcW w:w="1181" w:type="dxa"/>
                  <w:noWrap w:val="0"/>
                  <w:vAlign w:val="center"/>
                </w:tcPr>
                <w:p w14:paraId="5A594234">
                  <w:pPr>
                    <w:spacing w:line="240" w:lineRule="auto"/>
                    <w:jc w:val="center"/>
                    <w:rPr>
                      <w:rFonts w:hint="eastAsia"/>
                      <w:bCs/>
                      <w:color w:val="auto"/>
                    </w:rPr>
                  </w:pPr>
                  <w:r>
                    <w:rPr>
                      <w:bCs/>
                      <w:color w:val="auto"/>
                      <w:szCs w:val="21"/>
                    </w:rPr>
                    <w:t>1</w:t>
                  </w:r>
                  <w:r>
                    <w:rPr>
                      <w:rFonts w:hint="eastAsia"/>
                      <w:bCs/>
                      <w:color w:val="auto"/>
                      <w:szCs w:val="21"/>
                    </w:rPr>
                    <w:t>2</w:t>
                  </w:r>
                  <w:r>
                    <w:rPr>
                      <w:bCs/>
                      <w:color w:val="auto"/>
                      <w:szCs w:val="21"/>
                    </w:rPr>
                    <w:t>0</w:t>
                  </w:r>
                </w:p>
              </w:tc>
              <w:tc>
                <w:tcPr>
                  <w:tcW w:w="1182" w:type="dxa"/>
                  <w:noWrap w:val="0"/>
                  <w:vAlign w:val="center"/>
                </w:tcPr>
                <w:p w14:paraId="1848D690">
                  <w:pPr>
                    <w:spacing w:line="240" w:lineRule="auto"/>
                    <w:jc w:val="center"/>
                    <w:rPr>
                      <w:bCs/>
                      <w:color w:val="auto"/>
                      <w:szCs w:val="21"/>
                    </w:rPr>
                  </w:pPr>
                  <w:r>
                    <w:rPr>
                      <w:rFonts w:hint="eastAsia"/>
                      <w:bCs/>
                      <w:color w:val="auto"/>
                      <w:szCs w:val="21"/>
                    </w:rPr>
                    <w:t>10</w:t>
                  </w:r>
                </w:p>
              </w:tc>
              <w:tc>
                <w:tcPr>
                  <w:tcW w:w="2303" w:type="dxa"/>
                  <w:vMerge w:val="continue"/>
                  <w:noWrap w:val="0"/>
                  <w:vAlign w:val="center"/>
                </w:tcPr>
                <w:p w14:paraId="26D92458">
                  <w:pPr>
                    <w:spacing w:line="240" w:lineRule="auto"/>
                    <w:jc w:val="center"/>
                    <w:rPr>
                      <w:bCs/>
                      <w:color w:val="auto"/>
                    </w:rPr>
                  </w:pPr>
                </w:p>
              </w:tc>
            </w:tr>
          </w:tbl>
          <w:p w14:paraId="38385704">
            <w:pPr>
              <w:spacing w:line="360" w:lineRule="auto"/>
              <w:rPr>
                <w:rFonts w:hint="default" w:ascii="Times New Roman" w:hAnsi="Times New Roman" w:cs="Times New Roman"/>
                <w:b/>
                <w:color w:val="000000"/>
                <w:sz w:val="24"/>
              </w:rPr>
            </w:pPr>
            <w:r>
              <w:rPr>
                <w:rFonts w:hint="default" w:ascii="Times New Roman" w:hAnsi="Times New Roman" w:cs="Times New Roman"/>
                <w:b/>
                <w:color w:val="000000"/>
                <w:sz w:val="24"/>
              </w:rPr>
              <w:t>2、噪声排放标准</w:t>
            </w:r>
          </w:p>
          <w:p w14:paraId="61BD6AF7">
            <w:pPr>
              <w:pStyle w:val="20"/>
              <w:numPr>
                <w:ilvl w:val="0"/>
                <w:numId w:val="0"/>
              </w:numPr>
              <w:spacing w:before="0" w:beforeAutospacing="0" w:after="0" w:afterAutospacing="0"/>
              <w:jc w:val="both"/>
              <w:outlineLvl w:val="0"/>
              <w:rPr>
                <w:rFonts w:hint="eastAsia" w:asciiTheme="majorEastAsia" w:hAnsiTheme="majorEastAsia" w:eastAsiaTheme="majorEastAsia" w:cstheme="majorEastAsia"/>
                <w:snapToGrid w:val="0"/>
                <w:sz w:val="24"/>
                <w:szCs w:val="24"/>
                <w:vertAlign w:val="baseline"/>
                <w:lang w:eastAsia="zh-CN"/>
              </w:rPr>
            </w:pPr>
            <w:r>
              <w:rPr>
                <w:rFonts w:hint="eastAsia" w:asciiTheme="majorEastAsia" w:hAnsiTheme="majorEastAsia" w:eastAsiaTheme="majorEastAsia" w:cstheme="majorEastAsia"/>
                <w:snapToGrid w:val="0"/>
                <w:sz w:val="24"/>
                <w:szCs w:val="24"/>
                <w:vertAlign w:val="baseline"/>
                <w:lang w:eastAsia="zh-CN"/>
              </w:rPr>
              <w:t>（</w:t>
            </w:r>
            <w:r>
              <w:rPr>
                <w:rFonts w:hint="eastAsia" w:asciiTheme="majorEastAsia" w:hAnsiTheme="majorEastAsia" w:eastAsiaTheme="majorEastAsia" w:cstheme="majorEastAsia"/>
                <w:snapToGrid w:val="0"/>
                <w:sz w:val="24"/>
                <w:szCs w:val="24"/>
                <w:vertAlign w:val="baseline"/>
                <w:lang w:val="en-US" w:eastAsia="zh-CN"/>
              </w:rPr>
              <w:t>1</w:t>
            </w:r>
            <w:r>
              <w:rPr>
                <w:rFonts w:hint="eastAsia" w:asciiTheme="majorEastAsia" w:hAnsiTheme="majorEastAsia" w:eastAsiaTheme="majorEastAsia" w:cstheme="majorEastAsia"/>
                <w:snapToGrid w:val="0"/>
                <w:sz w:val="24"/>
                <w:szCs w:val="24"/>
                <w:vertAlign w:val="baseline"/>
                <w:lang w:eastAsia="zh-CN"/>
              </w:rPr>
              <w:t>）施工期</w:t>
            </w:r>
          </w:p>
          <w:p w14:paraId="584126BB">
            <w:pPr>
              <w:spacing w:line="360" w:lineRule="auto"/>
              <w:ind w:firstLine="480" w:firstLineChars="200"/>
              <w:rPr>
                <w:sz w:val="24"/>
              </w:rPr>
            </w:pPr>
            <w:r>
              <w:rPr>
                <w:sz w:val="24"/>
              </w:rPr>
              <w:t>施工现场噪声执行《建筑施工场界环境噪声排放标准》（GB12523—2011），具体标准限值详见表</w:t>
            </w:r>
            <w:r>
              <w:rPr>
                <w:rFonts w:hint="eastAsia"/>
                <w:sz w:val="24"/>
                <w:lang w:val="en-US" w:eastAsia="zh-CN"/>
              </w:rPr>
              <w:t>3</w:t>
            </w:r>
            <w:r>
              <w:rPr>
                <w:sz w:val="24"/>
              </w:rPr>
              <w:t>-</w:t>
            </w:r>
            <w:r>
              <w:rPr>
                <w:rFonts w:hint="eastAsia"/>
                <w:sz w:val="24"/>
                <w:lang w:val="en-US" w:eastAsia="zh-CN"/>
              </w:rPr>
              <w:t>9</w:t>
            </w:r>
            <w:r>
              <w:rPr>
                <w:sz w:val="24"/>
              </w:rPr>
              <w:t>。</w:t>
            </w:r>
          </w:p>
          <w:p w14:paraId="614A556E">
            <w:pPr>
              <w:spacing w:line="360" w:lineRule="auto"/>
              <w:jc w:val="center"/>
              <w:rPr>
                <w:b/>
                <w:sz w:val="24"/>
              </w:rPr>
            </w:pPr>
            <w:r>
              <w:rPr>
                <w:b/>
                <w:sz w:val="24"/>
              </w:rPr>
              <w:t>表</w:t>
            </w:r>
            <w:r>
              <w:rPr>
                <w:rFonts w:hint="eastAsia"/>
                <w:b/>
                <w:sz w:val="24"/>
                <w:lang w:val="en-US" w:eastAsia="zh-CN"/>
              </w:rPr>
              <w:t>3</w:t>
            </w:r>
            <w:r>
              <w:rPr>
                <w:b/>
                <w:sz w:val="24"/>
              </w:rPr>
              <w:t>-</w:t>
            </w:r>
            <w:r>
              <w:rPr>
                <w:rFonts w:hint="eastAsia"/>
                <w:b/>
                <w:sz w:val="24"/>
                <w:lang w:val="en-US" w:eastAsia="zh-CN"/>
              </w:rPr>
              <w:t xml:space="preserve">9 </w:t>
            </w:r>
            <w:r>
              <w:rPr>
                <w:b/>
                <w:sz w:val="24"/>
              </w:rPr>
              <w:t>建筑施工场界环境噪声排放标准</w:t>
            </w:r>
          </w:p>
          <w:tbl>
            <w:tblPr>
              <w:tblStyle w:val="23"/>
              <w:tblW w:w="495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837"/>
              <w:gridCol w:w="3824"/>
            </w:tblGrid>
            <w:tr w14:paraId="33CD84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1" w:hRule="exact"/>
                <w:jc w:val="center"/>
              </w:trPr>
              <w:tc>
                <w:tcPr>
                  <w:tcW w:w="5000" w:type="pct"/>
                  <w:gridSpan w:val="2"/>
                  <w:noWrap w:val="0"/>
                  <w:vAlign w:val="center"/>
                </w:tcPr>
                <w:p w14:paraId="071C7462">
                  <w:pPr>
                    <w:jc w:val="center"/>
                    <w:rPr>
                      <w:szCs w:val="21"/>
                    </w:rPr>
                  </w:pPr>
                  <w:r>
                    <w:rPr>
                      <w:szCs w:val="21"/>
                    </w:rPr>
                    <w:t>等效声级[dB(A)]</w:t>
                  </w:r>
                </w:p>
              </w:tc>
            </w:tr>
            <w:tr w14:paraId="60BE02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9" w:hRule="exact"/>
                <w:jc w:val="center"/>
              </w:trPr>
              <w:tc>
                <w:tcPr>
                  <w:tcW w:w="2504" w:type="pct"/>
                  <w:noWrap w:val="0"/>
                  <w:vAlign w:val="center"/>
                </w:tcPr>
                <w:p w14:paraId="78D158BE">
                  <w:pPr>
                    <w:jc w:val="center"/>
                    <w:rPr>
                      <w:szCs w:val="21"/>
                    </w:rPr>
                  </w:pPr>
                  <w:r>
                    <w:rPr>
                      <w:szCs w:val="21"/>
                    </w:rPr>
                    <w:t>昼间</w:t>
                  </w:r>
                </w:p>
              </w:tc>
              <w:tc>
                <w:tcPr>
                  <w:tcW w:w="2495" w:type="pct"/>
                  <w:noWrap w:val="0"/>
                  <w:vAlign w:val="center"/>
                </w:tcPr>
                <w:p w14:paraId="4FFF7A78">
                  <w:pPr>
                    <w:jc w:val="center"/>
                    <w:rPr>
                      <w:szCs w:val="21"/>
                    </w:rPr>
                  </w:pPr>
                  <w:r>
                    <w:rPr>
                      <w:szCs w:val="21"/>
                    </w:rPr>
                    <w:t>夜间</w:t>
                  </w:r>
                </w:p>
              </w:tc>
            </w:tr>
            <w:tr w14:paraId="57799D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1" w:hRule="exact"/>
                <w:jc w:val="center"/>
              </w:trPr>
              <w:tc>
                <w:tcPr>
                  <w:tcW w:w="2504" w:type="pct"/>
                  <w:noWrap w:val="0"/>
                  <w:vAlign w:val="center"/>
                </w:tcPr>
                <w:p w14:paraId="060B1A04">
                  <w:pPr>
                    <w:jc w:val="center"/>
                    <w:rPr>
                      <w:szCs w:val="21"/>
                    </w:rPr>
                  </w:pPr>
                  <w:r>
                    <w:rPr>
                      <w:szCs w:val="21"/>
                    </w:rPr>
                    <w:t>70</w:t>
                  </w:r>
                </w:p>
              </w:tc>
              <w:tc>
                <w:tcPr>
                  <w:tcW w:w="2495" w:type="pct"/>
                  <w:noWrap w:val="0"/>
                  <w:vAlign w:val="center"/>
                </w:tcPr>
                <w:p w14:paraId="526A1041">
                  <w:pPr>
                    <w:jc w:val="center"/>
                    <w:rPr>
                      <w:szCs w:val="21"/>
                    </w:rPr>
                  </w:pPr>
                  <w:r>
                    <w:rPr>
                      <w:szCs w:val="21"/>
                    </w:rPr>
                    <w:t>55</w:t>
                  </w:r>
                </w:p>
              </w:tc>
            </w:tr>
          </w:tbl>
          <w:p w14:paraId="58705DE5">
            <w:pPr>
              <w:pStyle w:val="20"/>
              <w:numPr>
                <w:ilvl w:val="0"/>
                <w:numId w:val="0"/>
              </w:numPr>
              <w:spacing w:before="0" w:beforeAutospacing="0" w:after="0" w:afterAutospacing="0"/>
              <w:jc w:val="both"/>
              <w:outlineLvl w:val="0"/>
              <w:rPr>
                <w:rFonts w:hint="eastAsia" w:asciiTheme="majorEastAsia" w:hAnsiTheme="majorEastAsia" w:eastAsiaTheme="majorEastAsia" w:cstheme="majorEastAsia"/>
                <w:snapToGrid w:val="0"/>
                <w:sz w:val="24"/>
                <w:szCs w:val="24"/>
                <w:highlight w:val="green"/>
                <w:vertAlign w:val="baseline"/>
                <w:lang w:eastAsia="zh-CN"/>
              </w:rPr>
            </w:pPr>
          </w:p>
          <w:p w14:paraId="7EF2FB0C">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before="157" w:beforeLines="50" w:line="360" w:lineRule="auto"/>
              <w:ind w:left="0" w:leftChars="0" w:firstLine="0" w:firstLineChars="0"/>
              <w:textAlignment w:val="auto"/>
              <w:rPr>
                <w:rFonts w:hint="default" w:ascii="Times New Roman" w:hAnsi="Times New Roman" w:eastAsia="宋体" w:cs="Times New Roman"/>
                <w:b/>
                <w:bCs/>
                <w:color w:val="auto"/>
                <w:sz w:val="24"/>
                <w:szCs w:val="24"/>
                <w:highlight w:val="green"/>
              </w:rPr>
            </w:pPr>
            <w:r>
              <w:rPr>
                <w:rFonts w:hint="default" w:ascii="Times New Roman" w:hAnsi="Times New Roman" w:eastAsia="宋体" w:cs="Times New Roman"/>
                <w:b/>
                <w:bCs/>
                <w:color w:val="auto"/>
                <w:kern w:val="2"/>
                <w:sz w:val="24"/>
                <w:szCs w:val="24"/>
                <w:lang w:val="en-US" w:eastAsia="zh-CN" w:bidi="ar-SA"/>
              </w:rPr>
              <w:t>（3）</w:t>
            </w:r>
            <w:r>
              <w:rPr>
                <w:rFonts w:hint="default" w:ascii="Times New Roman" w:hAnsi="Times New Roman" w:eastAsia="宋体" w:cs="Times New Roman"/>
                <w:b/>
                <w:bCs/>
                <w:color w:val="auto"/>
                <w:sz w:val="24"/>
                <w:szCs w:val="24"/>
                <w:highlight w:val="none"/>
              </w:rPr>
              <w:t>运营期噪声排放标准</w:t>
            </w:r>
          </w:p>
          <w:p w14:paraId="5D935BC7">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本项目运营期噪声执行《工业企业厂界环境噪声排放标准》（GB12348-2008）2类标准。标准值见表3-1</w:t>
            </w:r>
            <w:r>
              <w:rPr>
                <w:rFonts w:hint="eastAsia" w:cs="Times New Roman"/>
                <w:sz w:val="24"/>
                <w:szCs w:val="24"/>
                <w:lang w:val="en-US" w:eastAsia="zh-CN"/>
              </w:rPr>
              <w:t>0</w:t>
            </w:r>
            <w:r>
              <w:rPr>
                <w:rFonts w:hint="default" w:ascii="Times New Roman" w:hAnsi="Times New Roman" w:eastAsia="宋体" w:cs="Times New Roman"/>
                <w:sz w:val="24"/>
                <w:szCs w:val="24"/>
              </w:rPr>
              <w:t>。</w:t>
            </w:r>
          </w:p>
          <w:p w14:paraId="3B2066C4">
            <w:pPr>
              <w:pStyle w:val="61"/>
              <w:adjustRightInd w:val="0"/>
              <w:snapToGrid w:val="0"/>
              <w:spacing w:before="0" w:after="0"/>
              <w:ind w:firstLine="422"/>
              <w:rPr>
                <w:rFonts w:ascii="Times New Roman" w:eastAsia="宋体"/>
                <w:b/>
                <w:sz w:val="24"/>
                <w:szCs w:val="24"/>
                <w:lang w:eastAsia="zh-CN"/>
              </w:rPr>
            </w:pPr>
            <w:r>
              <w:rPr>
                <w:rFonts w:ascii="Times New Roman" w:eastAsia="宋体"/>
                <w:b/>
                <w:sz w:val="24"/>
                <w:szCs w:val="24"/>
                <w:lang w:eastAsia="zh-CN"/>
              </w:rPr>
              <w:t>表3-</w:t>
            </w:r>
            <w:r>
              <w:rPr>
                <w:rFonts w:hint="eastAsia" w:ascii="Times New Roman" w:eastAsia="宋体"/>
                <w:b/>
                <w:sz w:val="24"/>
                <w:szCs w:val="24"/>
                <w:lang w:val="en-US" w:eastAsia="zh-CN"/>
              </w:rPr>
              <w:t xml:space="preserve">0 </w:t>
            </w:r>
            <w:r>
              <w:rPr>
                <w:rFonts w:ascii="Times New Roman" w:eastAsia="宋体"/>
                <w:b/>
                <w:sz w:val="24"/>
                <w:szCs w:val="24"/>
                <w:lang w:eastAsia="zh-CN"/>
              </w:rPr>
              <w:t>企业厂界环境噪声排放标准</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4838"/>
              <w:gridCol w:w="1342"/>
            </w:tblGrid>
            <w:tr w14:paraId="25F16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7" w:type="dxa"/>
                  <w:noWrap w:val="0"/>
                  <w:vAlign w:val="center"/>
                </w:tcPr>
                <w:p w14:paraId="3BCC7292">
                  <w:pPr>
                    <w:adjustRightInd w:val="0"/>
                    <w:snapToGrid w:val="0"/>
                    <w:jc w:val="center"/>
                    <w:rPr>
                      <w:bCs/>
                      <w:szCs w:val="21"/>
                    </w:rPr>
                  </w:pPr>
                  <w:r>
                    <w:rPr>
                      <w:bCs/>
                      <w:szCs w:val="21"/>
                    </w:rPr>
                    <w:t>类别</w:t>
                  </w:r>
                </w:p>
              </w:tc>
              <w:tc>
                <w:tcPr>
                  <w:tcW w:w="4838" w:type="dxa"/>
                  <w:noWrap w:val="0"/>
                  <w:vAlign w:val="center"/>
                </w:tcPr>
                <w:p w14:paraId="3B0B38AB">
                  <w:pPr>
                    <w:adjustRightInd w:val="0"/>
                    <w:snapToGrid w:val="0"/>
                    <w:jc w:val="center"/>
                    <w:rPr>
                      <w:bCs/>
                      <w:szCs w:val="21"/>
                    </w:rPr>
                  </w:pPr>
                  <w:r>
                    <w:rPr>
                      <w:bCs/>
                      <w:szCs w:val="21"/>
                    </w:rPr>
                    <w:t>昼间[dB(A)]</w:t>
                  </w:r>
                </w:p>
              </w:tc>
              <w:tc>
                <w:tcPr>
                  <w:tcW w:w="1342" w:type="dxa"/>
                  <w:noWrap w:val="0"/>
                  <w:vAlign w:val="center"/>
                </w:tcPr>
                <w:p w14:paraId="4BADE566">
                  <w:pPr>
                    <w:adjustRightInd w:val="0"/>
                    <w:snapToGrid w:val="0"/>
                    <w:jc w:val="center"/>
                    <w:rPr>
                      <w:bCs/>
                      <w:szCs w:val="21"/>
                    </w:rPr>
                  </w:pPr>
                  <w:r>
                    <w:rPr>
                      <w:bCs/>
                      <w:szCs w:val="21"/>
                    </w:rPr>
                    <w:t>夜间[dB(A)]</w:t>
                  </w:r>
                </w:p>
              </w:tc>
            </w:tr>
            <w:tr w14:paraId="1280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7" w:type="dxa"/>
                  <w:noWrap w:val="0"/>
                  <w:vAlign w:val="center"/>
                </w:tcPr>
                <w:p w14:paraId="3C13FE2D">
                  <w:pPr>
                    <w:adjustRightInd w:val="0"/>
                    <w:snapToGrid w:val="0"/>
                    <w:jc w:val="center"/>
                    <w:rPr>
                      <w:bCs/>
                      <w:szCs w:val="21"/>
                    </w:rPr>
                  </w:pPr>
                  <w:r>
                    <w:rPr>
                      <w:bCs/>
                      <w:szCs w:val="21"/>
                    </w:rPr>
                    <w:t>2类</w:t>
                  </w:r>
                </w:p>
              </w:tc>
              <w:tc>
                <w:tcPr>
                  <w:tcW w:w="4838" w:type="dxa"/>
                  <w:noWrap w:val="0"/>
                  <w:vAlign w:val="center"/>
                </w:tcPr>
                <w:p w14:paraId="6476073A">
                  <w:pPr>
                    <w:pStyle w:val="61"/>
                    <w:adjustRightInd w:val="0"/>
                    <w:snapToGrid w:val="0"/>
                    <w:spacing w:before="0" w:after="0" w:line="240" w:lineRule="auto"/>
                    <w:ind w:firstLine="0" w:firstLineChars="0"/>
                    <w:rPr>
                      <w:rFonts w:ascii="Times New Roman" w:eastAsia="宋体"/>
                      <w:bCs/>
                      <w:sz w:val="21"/>
                      <w:szCs w:val="21"/>
                      <w:lang w:eastAsia="zh-CN"/>
                    </w:rPr>
                  </w:pPr>
                  <w:r>
                    <w:rPr>
                      <w:rFonts w:ascii="Times New Roman" w:eastAsia="宋体"/>
                      <w:bCs/>
                      <w:sz w:val="21"/>
                      <w:szCs w:val="21"/>
                      <w:lang w:eastAsia="zh-CN"/>
                    </w:rPr>
                    <w:t>60</w:t>
                  </w:r>
                </w:p>
              </w:tc>
              <w:tc>
                <w:tcPr>
                  <w:tcW w:w="1342" w:type="dxa"/>
                  <w:noWrap w:val="0"/>
                  <w:vAlign w:val="center"/>
                </w:tcPr>
                <w:p w14:paraId="7583DF77">
                  <w:pPr>
                    <w:pStyle w:val="61"/>
                    <w:adjustRightInd w:val="0"/>
                    <w:snapToGrid w:val="0"/>
                    <w:spacing w:before="0" w:after="0" w:line="240" w:lineRule="auto"/>
                    <w:ind w:firstLine="0" w:firstLineChars="0"/>
                    <w:rPr>
                      <w:rFonts w:ascii="Times New Roman" w:eastAsia="宋体"/>
                      <w:bCs/>
                      <w:sz w:val="21"/>
                      <w:szCs w:val="21"/>
                      <w:lang w:eastAsia="zh-CN"/>
                    </w:rPr>
                  </w:pPr>
                  <w:r>
                    <w:rPr>
                      <w:rFonts w:ascii="Times New Roman" w:eastAsia="宋体"/>
                      <w:bCs/>
                      <w:sz w:val="21"/>
                      <w:szCs w:val="21"/>
                      <w:lang w:eastAsia="zh-CN"/>
                    </w:rPr>
                    <w:t>50</w:t>
                  </w:r>
                </w:p>
              </w:tc>
            </w:tr>
          </w:tbl>
          <w:p w14:paraId="78111B7D">
            <w:pPr>
              <w:pStyle w:val="20"/>
              <w:numPr>
                <w:ilvl w:val="0"/>
                <w:numId w:val="0"/>
              </w:numPr>
              <w:spacing w:before="0" w:beforeAutospacing="0" w:after="0" w:afterAutospacing="0" w:line="360" w:lineRule="auto"/>
              <w:jc w:val="both"/>
              <w:outlineLvl w:val="0"/>
              <w:rPr>
                <w:rFonts w:hint="default" w:ascii="Times New Roman" w:hAnsi="Times New Roman" w:cs="Times New Roman"/>
                <w:b/>
                <w:bCs/>
                <w:color w:val="000000"/>
                <w:sz w:val="24"/>
              </w:rPr>
            </w:pPr>
            <w:r>
              <w:rPr>
                <w:rFonts w:hint="default" w:ascii="Times New Roman" w:hAnsi="Times New Roman" w:cs="Times New Roman"/>
                <w:b/>
                <w:bCs/>
                <w:color w:val="000000"/>
                <w:sz w:val="24"/>
              </w:rPr>
              <w:t>3、废水排放标准</w:t>
            </w:r>
          </w:p>
          <w:p w14:paraId="35C37656">
            <w:pPr>
              <w:pStyle w:val="20"/>
              <w:numPr>
                <w:ilvl w:val="0"/>
                <w:numId w:val="0"/>
              </w:numPr>
              <w:spacing w:before="0" w:beforeAutospacing="0" w:after="0" w:afterAutospacing="0" w:line="360" w:lineRule="auto"/>
              <w:jc w:val="both"/>
              <w:outlineLvl w:val="0"/>
              <w:rPr>
                <w:rFonts w:hint="eastAsia" w:ascii="Times New Roman" w:hAnsi="Times New Roman" w:eastAsia="宋体" w:cs="Times New Roman"/>
                <w:b w:val="0"/>
                <w:bCs w:val="0"/>
                <w:color w:val="000000"/>
                <w:sz w:val="24"/>
                <w:lang w:eastAsia="zh-CN"/>
              </w:rPr>
            </w:pPr>
            <w:r>
              <w:rPr>
                <w:rFonts w:hint="eastAsia" w:ascii="Times New Roman" w:hAnsi="Times New Roman" w:cs="Times New Roman"/>
                <w:b w:val="0"/>
                <w:bCs w:val="0"/>
                <w:color w:val="000000"/>
                <w:sz w:val="24"/>
                <w:lang w:eastAsia="zh-CN"/>
              </w:rPr>
              <w:t>（</w:t>
            </w:r>
            <w:r>
              <w:rPr>
                <w:rFonts w:hint="eastAsia" w:ascii="Times New Roman" w:hAnsi="Times New Roman" w:cs="Times New Roman"/>
                <w:b w:val="0"/>
                <w:bCs w:val="0"/>
                <w:color w:val="000000"/>
                <w:sz w:val="24"/>
                <w:lang w:val="en-US" w:eastAsia="zh-CN"/>
              </w:rPr>
              <w:t>1</w:t>
            </w:r>
            <w:r>
              <w:rPr>
                <w:rFonts w:hint="eastAsia" w:ascii="Times New Roman" w:hAnsi="Times New Roman" w:cs="Times New Roman"/>
                <w:b w:val="0"/>
                <w:bCs w:val="0"/>
                <w:color w:val="000000"/>
                <w:sz w:val="24"/>
                <w:lang w:eastAsia="zh-CN"/>
              </w:rPr>
              <w:t>）</w:t>
            </w:r>
            <w:r>
              <w:rPr>
                <w:rFonts w:hint="eastAsia" w:ascii="Times New Roman" w:hAnsi="Times New Roman" w:cs="Times New Roman"/>
                <w:b w:val="0"/>
                <w:bCs w:val="0"/>
                <w:color w:val="000000"/>
                <w:sz w:val="24"/>
                <w:lang w:val="en-US" w:eastAsia="zh-CN"/>
              </w:rPr>
              <w:t>施工期</w:t>
            </w:r>
          </w:p>
          <w:p w14:paraId="454ECCBF">
            <w:pPr>
              <w:pStyle w:val="14"/>
              <w:shd w:val="clear" w:color="auto" w:fill="auto"/>
              <w:spacing w:line="360" w:lineRule="auto"/>
              <w:ind w:firstLine="436" w:firstLineChars="182"/>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项目施工期废水经沉淀处理后回用于项目区内洒水降尘，不外排，因此不设排放标准。</w:t>
            </w:r>
          </w:p>
          <w:p w14:paraId="4BE5F19B">
            <w:pPr>
              <w:spacing w:line="360" w:lineRule="auto"/>
              <w:ind w:firstLine="240" w:firstLineChars="100"/>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eastAsia="zh-CN"/>
              </w:rPr>
              <w:t>（</w:t>
            </w:r>
            <w:r>
              <w:rPr>
                <w:rFonts w:hint="eastAsia" w:ascii="宋体" w:hAnsi="宋体" w:cs="宋体"/>
                <w:b w:val="0"/>
                <w:bCs w:val="0"/>
                <w:color w:val="auto"/>
                <w:sz w:val="24"/>
                <w:szCs w:val="24"/>
                <w:lang w:val="en-US" w:eastAsia="zh-CN"/>
              </w:rPr>
              <w:t>2</w:t>
            </w:r>
            <w:r>
              <w:rPr>
                <w:rFonts w:hint="eastAsia" w:ascii="宋体" w:hAnsi="宋体" w:cs="宋体"/>
                <w:b w:val="0"/>
                <w:bCs w:val="0"/>
                <w:color w:val="auto"/>
                <w:sz w:val="24"/>
                <w:szCs w:val="24"/>
                <w:lang w:eastAsia="zh-CN"/>
              </w:rPr>
              <w:t>）</w:t>
            </w:r>
            <w:r>
              <w:rPr>
                <w:rFonts w:hint="eastAsia" w:ascii="宋体" w:hAnsi="宋体" w:eastAsia="宋体" w:cs="宋体"/>
                <w:b w:val="0"/>
                <w:bCs w:val="0"/>
                <w:color w:val="auto"/>
                <w:sz w:val="24"/>
                <w:szCs w:val="24"/>
              </w:rPr>
              <w:t>运营期</w:t>
            </w:r>
          </w:p>
          <w:p w14:paraId="7BC9EA4F">
            <w:pPr>
              <w:numPr>
                <w:ilvl w:val="0"/>
                <w:numId w:val="0"/>
              </w:numPr>
              <w:spacing w:line="360" w:lineRule="auto"/>
              <w:ind w:left="0" w:leftChars="0" w:firstLine="480" w:firstLineChars="200"/>
              <w:rPr>
                <w:rFonts w:hint="eastAsia" w:ascii="Times New Roman" w:hAnsi="Times New Roman" w:cs="Times New Roman"/>
                <w:sz w:val="24"/>
                <w:szCs w:val="24"/>
                <w:lang w:eastAsia="zh-CN"/>
              </w:rPr>
            </w:pPr>
            <w:r>
              <w:rPr>
                <w:rFonts w:hint="eastAsia" w:cs="Times New Roman" w:eastAsiaTheme="minorEastAsia"/>
                <w:color w:val="auto"/>
                <w:sz w:val="24"/>
                <w:szCs w:val="24"/>
                <w:highlight w:val="none"/>
                <w:lang w:eastAsia="zh-CN"/>
              </w:rPr>
              <w:t>项目</w:t>
            </w:r>
            <w:r>
              <w:rPr>
                <w:rFonts w:hint="default" w:ascii="Times New Roman" w:hAnsi="Times New Roman" w:cs="Times New Roman"/>
                <w:color w:val="auto"/>
                <w:sz w:val="24"/>
                <w:highlight w:val="none"/>
                <w:u w:val="none" w:color="auto"/>
                <w:lang w:val="en-US" w:eastAsia="zh-CN"/>
              </w:rPr>
              <w:t>运营期</w:t>
            </w:r>
            <w:r>
              <w:rPr>
                <w:rFonts w:hint="eastAsia" w:cs="Times New Roman"/>
                <w:color w:val="auto"/>
                <w:sz w:val="24"/>
                <w:highlight w:val="none"/>
                <w:u w:val="none" w:color="auto"/>
                <w:lang w:val="en-US" w:eastAsia="zh-CN"/>
              </w:rPr>
              <w:t>废水多为冷却用水，挥发排放，产生较少，不设排放标准</w:t>
            </w:r>
            <w:r>
              <w:rPr>
                <w:rFonts w:hint="default" w:ascii="Times New Roman" w:hAnsi="Times New Roman" w:cs="Times New Roman"/>
                <w:sz w:val="24"/>
                <w:szCs w:val="24"/>
                <w:highlight w:val="none"/>
              </w:rPr>
              <w:t>；</w:t>
            </w:r>
            <w:r>
              <w:rPr>
                <w:rFonts w:hint="default" w:ascii="Times New Roman" w:hAnsi="Times New Roman" w:cs="Times New Roman"/>
                <w:sz w:val="24"/>
                <w:szCs w:val="24"/>
              </w:rPr>
              <w:t>生活污水</w:t>
            </w:r>
            <w:r>
              <w:rPr>
                <w:rFonts w:hint="eastAsia" w:cs="Times New Roman"/>
                <w:sz w:val="24"/>
                <w:szCs w:val="24"/>
                <w:lang w:eastAsia="zh-CN"/>
              </w:rPr>
              <w:t>依托附近村民原有</w:t>
            </w:r>
            <w:r>
              <w:rPr>
                <w:rFonts w:hint="default" w:ascii="Times New Roman" w:hAnsi="Times New Roman" w:cs="Times New Roman"/>
                <w:sz w:val="24"/>
                <w:szCs w:val="24"/>
              </w:rPr>
              <w:t>隔油池、三级化粪池处理后，用于周边果园、农田林地</w:t>
            </w:r>
            <w:r>
              <w:rPr>
                <w:rFonts w:hint="eastAsia" w:ascii="Times New Roman" w:hAnsi="Times New Roman" w:cs="Times New Roman"/>
                <w:sz w:val="24"/>
                <w:szCs w:val="24"/>
                <w:lang w:eastAsia="zh-CN"/>
              </w:rPr>
              <w:t>做农肥，不外排</w:t>
            </w:r>
            <w:r>
              <w:rPr>
                <w:rFonts w:hint="eastAsia" w:cs="Times New Roman"/>
                <w:sz w:val="24"/>
                <w:szCs w:val="24"/>
                <w:lang w:eastAsia="zh-CN"/>
              </w:rPr>
              <w:t>，不设排放标准。</w:t>
            </w:r>
          </w:p>
          <w:p w14:paraId="3517172A">
            <w:pPr>
              <w:numPr>
                <w:ilvl w:val="0"/>
                <w:numId w:val="0"/>
              </w:numPr>
              <w:spacing w:line="360" w:lineRule="auto"/>
              <w:ind w:left="0" w:leftChars="0" w:firstLine="0" w:firstLineChars="0"/>
              <w:rPr>
                <w:rFonts w:hint="eastAsia" w:cs="Times New Roman"/>
                <w:b/>
                <w:color w:val="000000"/>
                <w:sz w:val="24"/>
                <w:lang w:eastAsia="zh-CN"/>
              </w:rPr>
            </w:pPr>
            <w:r>
              <w:rPr>
                <w:rFonts w:hint="eastAsia" w:cs="Times New Roman"/>
                <w:b/>
                <w:color w:val="000000"/>
                <w:kern w:val="2"/>
                <w:sz w:val="24"/>
                <w:szCs w:val="24"/>
                <w:lang w:val="en-US" w:eastAsia="zh-CN" w:bidi="ar-SA"/>
              </w:rPr>
              <w:t>4</w:t>
            </w:r>
            <w:r>
              <w:rPr>
                <w:rFonts w:hint="eastAsia" w:ascii="Times New Roman" w:hAnsi="Times New Roman" w:eastAsia="宋体" w:cs="Times New Roman"/>
                <w:b/>
                <w:color w:val="000000"/>
                <w:kern w:val="2"/>
                <w:sz w:val="24"/>
                <w:szCs w:val="24"/>
                <w:lang w:val="en-US" w:eastAsia="zh-CN" w:bidi="ar-SA"/>
              </w:rPr>
              <w:t>、</w:t>
            </w:r>
            <w:r>
              <w:rPr>
                <w:rFonts w:hint="default" w:ascii="Times New Roman" w:hAnsi="Times New Roman" w:cs="Times New Roman"/>
                <w:b/>
                <w:color w:val="000000"/>
                <w:sz w:val="24"/>
              </w:rPr>
              <w:t>固废</w:t>
            </w:r>
            <w:r>
              <w:rPr>
                <w:rFonts w:hint="eastAsia" w:cs="Times New Roman"/>
                <w:b/>
                <w:color w:val="000000"/>
                <w:sz w:val="24"/>
                <w:lang w:eastAsia="zh-CN"/>
              </w:rPr>
              <w:t>排放标准</w:t>
            </w:r>
          </w:p>
          <w:p w14:paraId="44DDED8C">
            <w:pPr>
              <w:spacing w:line="360" w:lineRule="auto"/>
              <w:ind w:firstLine="480" w:firstLineChars="200"/>
              <w:jc w:val="left"/>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lang w:eastAsia="zh-CN"/>
              </w:rPr>
              <w:t>（</w:t>
            </w:r>
            <w:r>
              <w:rPr>
                <w:rFonts w:hint="default" w:ascii="Times New Roman" w:hAnsi="Times New Roman" w:eastAsia="宋体" w:cs="Times New Roman"/>
                <w:bCs/>
                <w:kern w:val="0"/>
                <w:sz w:val="24"/>
              </w:rPr>
              <w:t>1）一般工业固废执行《一般工业固体废物贮存和填埋污染控制标准》（GB 18599-2020）。</w:t>
            </w:r>
          </w:p>
          <w:p w14:paraId="375EC668">
            <w:pPr>
              <w:pStyle w:val="5"/>
              <w:numPr>
                <w:ilvl w:val="0"/>
                <w:numId w:val="0"/>
              </w:numPr>
              <w:ind w:leftChars="0" w:firstLine="480" w:firstLineChars="200"/>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kern w:val="0"/>
                <w:sz w:val="24"/>
              </w:rPr>
              <w:t>（2）</w:t>
            </w:r>
            <w:r>
              <w:rPr>
                <w:rFonts w:hint="default" w:ascii="Times New Roman" w:hAnsi="Times New Roman" w:eastAsia="宋体" w:cs="Times New Roman"/>
                <w:b w:val="0"/>
                <w:bCs w:val="0"/>
                <w:sz w:val="24"/>
              </w:rPr>
              <w:t>危险废物执行《危险废物贮存污染控制标准》（GB18597-2023）。</w:t>
            </w:r>
          </w:p>
          <w:p w14:paraId="54F437B9">
            <w:pPr>
              <w:pStyle w:val="20"/>
              <w:numPr>
                <w:ilvl w:val="0"/>
                <w:numId w:val="0"/>
              </w:numPr>
              <w:spacing w:before="0" w:beforeAutospacing="0" w:after="0" w:afterAutospacing="0"/>
              <w:jc w:val="both"/>
              <w:outlineLvl w:val="0"/>
              <w:rPr>
                <w:rFonts w:hint="eastAsia" w:ascii="Times New Roman" w:hAnsi="Times New Roman" w:cs="Times New Roman"/>
                <w:b/>
                <w:bCs/>
                <w:color w:val="000000"/>
                <w:sz w:val="24"/>
                <w:lang w:eastAsia="zh-CN"/>
              </w:rPr>
            </w:pPr>
          </w:p>
        </w:tc>
      </w:tr>
      <w:tr w14:paraId="2179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5" w:hRule="atLeast"/>
        </w:trPr>
        <w:tc>
          <w:tcPr>
            <w:tcW w:w="458" w:type="dxa"/>
            <w:vAlign w:val="center"/>
          </w:tcPr>
          <w:p w14:paraId="6F7B6A5A">
            <w:pPr>
              <w:pStyle w:val="20"/>
              <w:numPr>
                <w:ilvl w:val="0"/>
                <w:numId w:val="0"/>
              </w:numPr>
              <w:spacing w:before="0" w:beforeAutospacing="0" w:after="0" w:afterAutospacing="0"/>
              <w:jc w:val="center"/>
              <w:outlineLvl w:val="0"/>
              <w:rPr>
                <w:rFonts w:hint="eastAsia" w:ascii="黑体" w:hAnsi="黑体" w:eastAsia="黑体"/>
                <w:snapToGrid w:val="0"/>
                <w:sz w:val="30"/>
                <w:szCs w:val="30"/>
                <w:vertAlign w:val="baseline"/>
                <w:lang w:eastAsia="zh-CN"/>
              </w:rPr>
            </w:pPr>
            <w:r>
              <w:rPr>
                <w:rFonts w:hint="eastAsia" w:asciiTheme="majorEastAsia" w:hAnsiTheme="majorEastAsia" w:eastAsiaTheme="majorEastAsia" w:cstheme="majorEastAsia"/>
                <w:b/>
                <w:bCs/>
                <w:snapToGrid w:val="0"/>
                <w:sz w:val="24"/>
                <w:szCs w:val="24"/>
                <w:vertAlign w:val="baseline"/>
                <w:lang w:eastAsia="zh-CN"/>
              </w:rPr>
              <w:t>总量控制指标</w:t>
            </w:r>
          </w:p>
        </w:tc>
        <w:tc>
          <w:tcPr>
            <w:tcW w:w="7960" w:type="dxa"/>
          </w:tcPr>
          <w:p w14:paraId="6F83500C">
            <w:pP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z w:val="24"/>
                <w:szCs w:val="24"/>
              </w:rPr>
              <w:t>结合国</w:t>
            </w:r>
            <w:r>
              <w:rPr>
                <w:rFonts w:hint="default" w:ascii="Times New Roman" w:hAnsi="Times New Roman" w:eastAsia="宋体" w:cs="Times New Roman"/>
                <w:sz w:val="24"/>
                <w:szCs w:val="24"/>
                <w:highlight w:val="none"/>
              </w:rPr>
              <w:t>家污染物排放总量控制原则，列出本项目建议执行的总量控制指</w:t>
            </w:r>
            <w:r>
              <w:rPr>
                <w:rFonts w:hint="default" w:ascii="Times New Roman" w:hAnsi="Times New Roman" w:eastAsia="宋体" w:cs="Times New Roman"/>
                <w:color w:val="auto"/>
                <w:sz w:val="24"/>
                <w:szCs w:val="24"/>
                <w:highlight w:val="none"/>
              </w:rPr>
              <w:t>标：</w:t>
            </w:r>
          </w:p>
          <w:p w14:paraId="0C979ECF">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废气</w:t>
            </w:r>
          </w:p>
          <w:p w14:paraId="75529152">
            <w:pPr>
              <w:shd w:val="clear"/>
              <w:spacing w:line="360" w:lineRule="auto"/>
              <w:ind w:firstLine="720" w:firstLineChars="300"/>
              <w:rPr>
                <w:rFonts w:hint="eastAsia"/>
                <w:b w:val="0"/>
                <w:bCs w:val="0"/>
                <w:color w:val="FF0000"/>
                <w:sz w:val="24"/>
                <w:highlight w:val="none"/>
              </w:rPr>
            </w:pPr>
            <w:r>
              <w:rPr>
                <w:rFonts w:hint="eastAsia" w:ascii="Times New Roman" w:hAnsi="Times New Roman" w:eastAsia="宋体" w:cs="Times New Roman"/>
                <w:b w:val="0"/>
                <w:bCs w:val="0"/>
                <w:color w:val="auto"/>
                <w:sz w:val="24"/>
                <w:szCs w:val="24"/>
                <w:highlight w:val="none"/>
                <w:lang w:val="en-US" w:eastAsia="zh-CN"/>
              </w:rPr>
              <w:t>氮氧化物总量为：</w:t>
            </w:r>
            <w:r>
              <w:rPr>
                <w:rFonts w:hint="eastAsia"/>
                <w:b w:val="0"/>
                <w:bCs w:val="0"/>
                <w:color w:val="auto"/>
                <w:sz w:val="24"/>
                <w:highlight w:val="none"/>
                <w:lang w:val="en-US" w:eastAsia="zh-CN"/>
              </w:rPr>
              <w:t>16.36t/</w:t>
            </w:r>
            <w:r>
              <w:rPr>
                <w:rFonts w:hint="eastAsia"/>
                <w:b w:val="0"/>
                <w:bCs w:val="0"/>
                <w:color w:val="auto"/>
                <w:sz w:val="24"/>
                <w:highlight w:val="none"/>
              </w:rPr>
              <w:t>a</w:t>
            </w:r>
            <w:r>
              <w:rPr>
                <w:rFonts w:hint="eastAsia"/>
                <w:b w:val="0"/>
                <w:bCs w:val="0"/>
                <w:color w:val="auto"/>
                <w:sz w:val="24"/>
                <w:highlight w:val="none"/>
                <w:lang w:eastAsia="zh-CN"/>
              </w:rPr>
              <w:t>；</w:t>
            </w:r>
            <w:r>
              <w:rPr>
                <w:rFonts w:hint="eastAsia"/>
                <w:b w:val="0"/>
                <w:bCs w:val="0"/>
                <w:color w:val="FF0000"/>
                <w:sz w:val="24"/>
                <w:highlight w:val="none"/>
              </w:rPr>
              <w:t>VOCs</w:t>
            </w:r>
            <w:r>
              <w:rPr>
                <w:rFonts w:hint="eastAsia"/>
                <w:b w:val="0"/>
                <w:bCs w:val="0"/>
                <w:color w:val="FF0000"/>
                <w:sz w:val="24"/>
                <w:highlight w:val="none"/>
                <w:lang w:val="en-US" w:eastAsia="zh-CN"/>
              </w:rPr>
              <w:t>为：2.03</w:t>
            </w:r>
            <w:r>
              <w:rPr>
                <w:rFonts w:hint="eastAsia"/>
                <w:b w:val="0"/>
                <w:bCs w:val="0"/>
                <w:color w:val="FF0000"/>
                <w:sz w:val="24"/>
                <w:highlight w:val="none"/>
              </w:rPr>
              <w:t>t/a；</w:t>
            </w:r>
          </w:p>
          <w:p w14:paraId="666A7F83">
            <w:pPr>
              <w:spacing w:line="360" w:lineRule="auto"/>
              <w:ind w:firstLine="480" w:firstLineChars="200"/>
              <w:rPr>
                <w:color w:val="FF0000"/>
                <w:sz w:val="24"/>
                <w:highlight w:val="none"/>
              </w:rPr>
            </w:pPr>
            <w:r>
              <w:rPr>
                <w:color w:val="FF0000"/>
                <w:sz w:val="24"/>
                <w:highlight w:val="none"/>
              </w:rPr>
              <w:t>2、废水</w:t>
            </w:r>
          </w:p>
          <w:p w14:paraId="5F07F1B9">
            <w:pPr>
              <w:spacing w:line="360" w:lineRule="auto"/>
              <w:ind w:firstLine="480" w:firstLineChars="200"/>
              <w:rPr>
                <w:rFonts w:hint="default" w:eastAsia="宋体"/>
                <w:color w:val="auto"/>
                <w:sz w:val="24"/>
                <w:szCs w:val="24"/>
                <w:lang w:val="en-US" w:eastAsia="zh-CN"/>
              </w:rPr>
            </w:pPr>
            <w:r>
              <w:rPr>
                <w:rFonts w:hint="eastAsia"/>
                <w:color w:val="auto"/>
                <w:sz w:val="24"/>
                <w:szCs w:val="24"/>
                <w:highlight w:val="none"/>
              </w:rPr>
              <w:t>运营期</w:t>
            </w:r>
            <w:r>
              <w:rPr>
                <w:rFonts w:hint="eastAsia"/>
                <w:color w:val="auto"/>
                <w:sz w:val="24"/>
                <w:szCs w:val="24"/>
                <w:highlight w:val="none"/>
                <w:lang w:val="en-US" w:eastAsia="zh-CN"/>
              </w:rPr>
              <w:t>无生产废水产生和外排</w:t>
            </w:r>
            <w:r>
              <w:rPr>
                <w:rFonts w:hint="eastAsia"/>
                <w:color w:val="auto"/>
                <w:sz w:val="24"/>
                <w:szCs w:val="24"/>
                <w:highlight w:val="none"/>
              </w:rPr>
              <w:t>；生活污水经隔油</w:t>
            </w:r>
            <w:r>
              <w:rPr>
                <w:rFonts w:hint="eastAsia"/>
                <w:color w:val="auto"/>
                <w:sz w:val="24"/>
                <w:szCs w:val="24"/>
              </w:rPr>
              <w:t>池、三级化粪池处理后，用于周边果园、农田林地</w:t>
            </w:r>
            <w:r>
              <w:rPr>
                <w:rFonts w:hint="eastAsia"/>
                <w:color w:val="auto"/>
                <w:sz w:val="24"/>
                <w:szCs w:val="24"/>
                <w:lang w:eastAsia="zh-CN"/>
              </w:rPr>
              <w:t>做农肥</w:t>
            </w:r>
            <w:r>
              <w:rPr>
                <w:rFonts w:hint="eastAsia"/>
                <w:color w:val="auto"/>
                <w:sz w:val="24"/>
                <w:szCs w:val="24"/>
              </w:rPr>
              <w:t>，</w:t>
            </w:r>
            <w:r>
              <w:rPr>
                <w:rFonts w:hint="eastAsia"/>
                <w:color w:val="auto"/>
                <w:sz w:val="24"/>
                <w:szCs w:val="24"/>
                <w:lang w:eastAsia="zh-CN"/>
              </w:rPr>
              <w:t>不外排，</w:t>
            </w:r>
            <w:r>
              <w:rPr>
                <w:rFonts w:hint="eastAsia"/>
                <w:color w:val="auto"/>
                <w:sz w:val="24"/>
                <w:szCs w:val="24"/>
                <w:lang w:val="en-US" w:eastAsia="zh-CN"/>
              </w:rPr>
              <w:t>不设废水总量控制。</w:t>
            </w:r>
          </w:p>
          <w:p w14:paraId="0B3CA6B6">
            <w:pPr>
              <w:spacing w:line="360" w:lineRule="auto"/>
              <w:ind w:firstLine="480" w:firstLineChars="200"/>
              <w:rPr>
                <w:color w:val="auto"/>
                <w:sz w:val="24"/>
              </w:rPr>
            </w:pPr>
            <w:r>
              <w:rPr>
                <w:color w:val="auto"/>
                <w:sz w:val="24"/>
              </w:rPr>
              <w:t>3、固体废物</w:t>
            </w:r>
          </w:p>
          <w:p w14:paraId="164710B5">
            <w:pPr>
              <w:pStyle w:val="20"/>
              <w:numPr>
                <w:ilvl w:val="0"/>
                <w:numId w:val="0"/>
              </w:numPr>
              <w:spacing w:before="0" w:beforeAutospacing="0" w:after="0" w:afterAutospacing="0"/>
              <w:ind w:firstLine="480" w:firstLineChars="200"/>
              <w:jc w:val="both"/>
              <w:outlineLvl w:val="0"/>
              <w:rPr>
                <w:rFonts w:hint="eastAsia" w:ascii="黑体" w:hAnsi="黑体" w:eastAsia="黑体"/>
                <w:snapToGrid w:val="0"/>
                <w:sz w:val="30"/>
                <w:szCs w:val="30"/>
                <w:vertAlign w:val="baseline"/>
              </w:rPr>
            </w:pPr>
            <w:r>
              <w:rPr>
                <w:rFonts w:ascii="Times New Roman" w:hAnsi="Times New Roman"/>
                <w:sz w:val="24"/>
                <w:szCs w:val="24"/>
              </w:rPr>
              <w:t>固体废物处置率为100%，不设总量控制指标。</w:t>
            </w:r>
          </w:p>
        </w:tc>
      </w:tr>
    </w:tbl>
    <w:p w14:paraId="53BBF239">
      <w:pPr>
        <w:pStyle w:val="20"/>
        <w:numPr>
          <w:ilvl w:val="0"/>
          <w:numId w:val="0"/>
        </w:numPr>
        <w:spacing w:before="0" w:beforeAutospacing="0" w:after="0" w:afterAutospacing="0"/>
        <w:jc w:val="both"/>
        <w:outlineLvl w:val="0"/>
        <w:rPr>
          <w:rFonts w:hint="eastAsia" w:ascii="黑体" w:hAnsi="黑体" w:eastAsia="黑体"/>
          <w:snapToGrid w:val="0"/>
          <w:sz w:val="30"/>
          <w:szCs w:val="30"/>
        </w:rPr>
        <w:sectPr>
          <w:pgSz w:w="11906" w:h="16838"/>
          <w:pgMar w:top="1440" w:right="1800" w:bottom="1440" w:left="1800" w:header="851" w:footer="992" w:gutter="0"/>
          <w:pgNumType w:fmt="decimal"/>
          <w:cols w:space="425" w:num="1"/>
          <w:docGrid w:type="lines" w:linePitch="312" w:charSpace="0"/>
        </w:sectPr>
      </w:pPr>
    </w:p>
    <w:p w14:paraId="6979B947">
      <w:pPr>
        <w:pStyle w:val="20"/>
        <w:numPr>
          <w:ilvl w:val="0"/>
          <w:numId w:val="0"/>
        </w:numPr>
        <w:spacing w:before="0" w:beforeAutospacing="0" w:after="0" w:afterAutospacing="0"/>
        <w:ind w:left="0" w:leftChars="0" w:firstLine="900" w:firstLineChars="300"/>
        <w:jc w:val="center"/>
        <w:outlineLvl w:val="0"/>
        <w:rPr>
          <w:rFonts w:hint="eastAsia" w:ascii="黑体" w:hAnsi="黑体" w:eastAsia="黑体"/>
          <w:snapToGrid w:val="0"/>
          <w:sz w:val="30"/>
          <w:szCs w:val="30"/>
        </w:rPr>
      </w:pPr>
      <w:bookmarkStart w:id="8" w:name="_Toc1619"/>
      <w:r>
        <w:rPr>
          <w:rFonts w:hint="eastAsia" w:ascii="黑体" w:hAnsi="黑体" w:eastAsia="黑体" w:cs="Times New Roman"/>
          <w:snapToGrid w:val="0"/>
          <w:kern w:val="0"/>
          <w:sz w:val="30"/>
          <w:szCs w:val="30"/>
          <w:lang w:val="en-US" w:eastAsia="zh-CN" w:bidi="ar-SA"/>
        </w:rPr>
        <w:t>四、</w:t>
      </w:r>
      <w:r>
        <w:rPr>
          <w:rFonts w:hint="eastAsia" w:ascii="黑体" w:hAnsi="黑体" w:eastAsia="黑体"/>
          <w:snapToGrid w:val="0"/>
          <w:sz w:val="30"/>
          <w:szCs w:val="30"/>
        </w:rPr>
        <w:t>主要环境影响和保护措施</w:t>
      </w:r>
      <w:bookmarkEnd w:id="8"/>
    </w:p>
    <w:tbl>
      <w:tblPr>
        <w:tblStyle w:val="24"/>
        <w:tblW w:w="8839" w:type="dxa"/>
        <w:tblInd w:w="-4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
        <w:gridCol w:w="8489"/>
      </w:tblGrid>
      <w:tr w14:paraId="76575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0" w:hRule="atLeast"/>
        </w:trPr>
        <w:tc>
          <w:tcPr>
            <w:tcW w:w="350" w:type="dxa"/>
            <w:vAlign w:val="center"/>
          </w:tcPr>
          <w:p w14:paraId="706AFAC5">
            <w:pPr>
              <w:pStyle w:val="20"/>
              <w:numPr>
                <w:ilvl w:val="0"/>
                <w:numId w:val="0"/>
              </w:numPr>
              <w:spacing w:before="0" w:beforeAutospacing="0" w:after="0" w:afterAutospacing="0"/>
              <w:jc w:val="center"/>
              <w:outlineLvl w:val="0"/>
              <w:rPr>
                <w:rFonts w:hint="eastAsia" w:ascii="黑体" w:hAnsi="黑体" w:eastAsia="黑体"/>
                <w:snapToGrid w:val="0"/>
                <w:sz w:val="30"/>
                <w:szCs w:val="30"/>
                <w:vertAlign w:val="baseline"/>
                <w:lang w:eastAsia="zh-CN"/>
              </w:rPr>
            </w:pPr>
            <w:r>
              <w:rPr>
                <w:rFonts w:hint="eastAsia" w:ascii="宋体" w:hAnsi="宋体" w:eastAsia="宋体" w:cs="宋体"/>
                <w:b/>
                <w:bCs/>
                <w:snapToGrid w:val="0"/>
                <w:sz w:val="24"/>
                <w:szCs w:val="24"/>
                <w:vertAlign w:val="baseline"/>
                <w:lang w:eastAsia="zh-CN"/>
              </w:rPr>
              <w:t>施工期环境保护措施</w:t>
            </w:r>
          </w:p>
        </w:tc>
        <w:tc>
          <w:tcPr>
            <w:tcW w:w="8489" w:type="dxa"/>
          </w:tcPr>
          <w:p w14:paraId="3B60481B">
            <w:pPr>
              <w:snapToGrid w:val="0"/>
              <w:spacing w:line="360" w:lineRule="auto"/>
              <w:ind w:firstLine="480" w:firstLineChars="200"/>
              <w:rPr>
                <w:rFonts w:ascii="宋体" w:hAnsi="宋体"/>
                <w:b w:val="0"/>
                <w:bCs/>
                <w:color w:val="auto"/>
                <w:kern w:val="0"/>
                <w:sz w:val="24"/>
              </w:rPr>
            </w:pPr>
            <w:r>
              <w:rPr>
                <w:rFonts w:hint="eastAsia" w:ascii="宋体" w:hAnsi="宋体"/>
                <w:b w:val="0"/>
                <w:bCs/>
                <w:color w:val="auto"/>
                <w:kern w:val="0"/>
                <w:sz w:val="24"/>
              </w:rPr>
              <w:t>本项目对</w:t>
            </w:r>
            <w:r>
              <w:rPr>
                <w:rFonts w:hint="eastAsia"/>
                <w:b w:val="0"/>
                <w:bCs/>
                <w:color w:val="auto"/>
                <w:kern w:val="0"/>
                <w:sz w:val="24"/>
                <w:lang w:eastAsia="zh-CN"/>
              </w:rPr>
              <w:t>租用</w:t>
            </w:r>
            <w:r>
              <w:rPr>
                <w:rFonts w:hint="eastAsia" w:ascii="宋体" w:hAnsi="宋体"/>
                <w:b w:val="0"/>
                <w:bCs/>
                <w:color w:val="auto"/>
                <w:kern w:val="0"/>
                <w:sz w:val="24"/>
              </w:rPr>
              <w:t>厂房进行改造，施工期主要建设</w:t>
            </w:r>
            <w:r>
              <w:rPr>
                <w:rFonts w:hint="eastAsia"/>
                <w:b w:val="0"/>
                <w:bCs/>
                <w:color w:val="auto"/>
                <w:kern w:val="0"/>
                <w:sz w:val="24"/>
                <w:lang w:eastAsia="zh-CN"/>
              </w:rPr>
              <w:t>炭化窑，木醋液、木焦油暂存池，原料库，成品仓</w:t>
            </w:r>
            <w:r>
              <w:rPr>
                <w:rFonts w:hint="eastAsia" w:ascii="宋体" w:hAnsi="宋体"/>
                <w:b w:val="0"/>
                <w:bCs/>
                <w:color w:val="auto"/>
                <w:kern w:val="0"/>
                <w:sz w:val="24"/>
              </w:rPr>
              <w:t>等</w:t>
            </w:r>
            <w:r>
              <w:rPr>
                <w:rFonts w:hint="eastAsia" w:ascii="宋体" w:hAnsi="宋体"/>
                <w:b w:val="0"/>
                <w:bCs/>
                <w:color w:val="auto"/>
                <w:kern w:val="0"/>
                <w:sz w:val="24"/>
                <w:lang w:eastAsia="zh-CN"/>
              </w:rPr>
              <w:t>生产设备及环保设备</w:t>
            </w:r>
            <w:r>
              <w:rPr>
                <w:rFonts w:hint="eastAsia" w:ascii="宋体" w:hAnsi="宋体"/>
                <w:b w:val="0"/>
                <w:bCs/>
                <w:color w:val="auto"/>
                <w:kern w:val="0"/>
                <w:sz w:val="24"/>
              </w:rPr>
              <w:t>安装及基础</w:t>
            </w:r>
            <w:r>
              <w:rPr>
                <w:rFonts w:hint="eastAsia" w:ascii="宋体" w:hAnsi="宋体"/>
                <w:b w:val="0"/>
                <w:bCs/>
                <w:color w:val="auto"/>
                <w:kern w:val="0"/>
                <w:sz w:val="24"/>
                <w:lang w:eastAsia="zh-CN"/>
              </w:rPr>
              <w:t>设备</w:t>
            </w:r>
            <w:r>
              <w:rPr>
                <w:rFonts w:hint="eastAsia" w:ascii="宋体" w:hAnsi="宋体"/>
                <w:b w:val="0"/>
                <w:bCs/>
                <w:color w:val="auto"/>
                <w:kern w:val="0"/>
                <w:sz w:val="24"/>
              </w:rPr>
              <w:t>安装工程等，因此施工范围较小，施工期较短，对周围环境影响较小</w:t>
            </w:r>
            <w:r>
              <w:rPr>
                <w:rFonts w:hint="eastAsia"/>
                <w:b w:val="0"/>
                <w:bCs/>
                <w:color w:val="auto"/>
                <w:kern w:val="0"/>
                <w:sz w:val="24"/>
                <w:lang w:eastAsia="zh-CN"/>
              </w:rPr>
              <w:t>。</w:t>
            </w:r>
            <w:r>
              <w:rPr>
                <w:rFonts w:hint="eastAsia"/>
                <w:color w:val="auto"/>
                <w:kern w:val="0"/>
                <w:sz w:val="24"/>
                <w:lang w:bidi="ar"/>
              </w:rPr>
              <w:t>根据《建设项目环境影响报告表编制技术指南（污染影响类）》，项目主要提出施工期采取的环境保护措施，具体的施工期环境保护防护措施如下：</w:t>
            </w:r>
          </w:p>
          <w:p w14:paraId="7677D1D2">
            <w:pPr>
              <w:spacing w:line="360" w:lineRule="auto"/>
              <w:ind w:firstLine="482" w:firstLineChars="200"/>
              <w:rPr>
                <w:rFonts w:hint="eastAsia"/>
              </w:rPr>
            </w:pPr>
            <w:r>
              <w:rPr>
                <w:b/>
                <w:bCs/>
                <w:color w:val="auto"/>
                <w:sz w:val="24"/>
              </w:rPr>
              <w:t>1、大气污染防治措施</w:t>
            </w:r>
          </w:p>
          <w:p w14:paraId="5ADC4091">
            <w:pPr>
              <w:spacing w:line="360" w:lineRule="auto"/>
              <w:ind w:firstLine="480" w:firstLineChars="200"/>
              <w:rPr>
                <w:sz w:val="24"/>
              </w:rPr>
            </w:pPr>
            <w:r>
              <w:rPr>
                <w:rFonts w:hint="eastAsia"/>
                <w:sz w:val="24"/>
                <w:lang w:eastAsia="zh-CN"/>
              </w:rPr>
              <w:t>（</w:t>
            </w:r>
            <w:r>
              <w:rPr>
                <w:sz w:val="24"/>
              </w:rPr>
              <w:t>1）在施工场地安排员工定期对施工场地洒水以减少扬尘量，</w:t>
            </w:r>
            <w:r>
              <w:rPr>
                <w:rFonts w:hint="eastAsia"/>
                <w:sz w:val="24"/>
                <w:lang w:eastAsia="zh-CN"/>
              </w:rPr>
              <w:t>改造、</w:t>
            </w:r>
            <w:r>
              <w:rPr>
                <w:sz w:val="24"/>
              </w:rPr>
              <w:t>拆除作业必须</w:t>
            </w:r>
            <w:r>
              <w:rPr>
                <w:rFonts w:hint="eastAsia"/>
                <w:sz w:val="24"/>
              </w:rPr>
              <w:t>采取</w:t>
            </w:r>
            <w:r>
              <w:rPr>
                <w:sz w:val="24"/>
              </w:rPr>
              <w:t>湿法作业，</w:t>
            </w:r>
            <w:r>
              <w:rPr>
                <w:rFonts w:hint="eastAsia"/>
                <w:sz w:val="24"/>
                <w:lang w:eastAsia="zh-CN"/>
              </w:rPr>
              <w:t>增加</w:t>
            </w:r>
            <w:r>
              <w:rPr>
                <w:sz w:val="24"/>
              </w:rPr>
              <w:t>洒水量和洒水频次。</w:t>
            </w:r>
          </w:p>
          <w:p w14:paraId="72B42FE3">
            <w:pPr>
              <w:spacing w:line="360" w:lineRule="auto"/>
              <w:ind w:firstLine="480" w:firstLineChars="200"/>
              <w:rPr>
                <w:sz w:val="24"/>
              </w:rPr>
            </w:pPr>
            <w:r>
              <w:rPr>
                <w:sz w:val="24"/>
              </w:rPr>
              <w:t>（2）施工现场的运输车辆应控制车速，减速慢行，以减少行驶过程中产生的道路扬尘；对运输建筑材料及建筑垃圾的车辆</w:t>
            </w:r>
            <w:r>
              <w:rPr>
                <w:rFonts w:hint="eastAsia"/>
                <w:sz w:val="24"/>
              </w:rPr>
              <w:t>加盖篷布</w:t>
            </w:r>
            <w:r>
              <w:rPr>
                <w:sz w:val="24"/>
              </w:rPr>
              <w:t>减少洒落；对运输车辆车轮进行冲洗，避免带泥上路。</w:t>
            </w:r>
          </w:p>
          <w:p w14:paraId="0C6AAF17">
            <w:pPr>
              <w:spacing w:line="360" w:lineRule="auto"/>
              <w:ind w:firstLine="480" w:firstLineChars="200"/>
              <w:rPr>
                <w:sz w:val="24"/>
              </w:rPr>
            </w:pPr>
            <w:r>
              <w:rPr>
                <w:sz w:val="24"/>
              </w:rPr>
              <w:t>（3）尽量避免在大风天气下进行施工作业，对易起尘物料存放点进行遮盖；优选施工设备，避免设备故障运行，严禁焚烧建筑垃圾。</w:t>
            </w:r>
          </w:p>
          <w:p w14:paraId="4A503C31">
            <w:pPr>
              <w:spacing w:line="360" w:lineRule="auto"/>
              <w:ind w:firstLine="480" w:firstLineChars="200"/>
              <w:rPr>
                <w:sz w:val="24"/>
              </w:rPr>
            </w:pPr>
            <w:r>
              <w:rPr>
                <w:sz w:val="24"/>
              </w:rPr>
              <w:t>（4）建筑垃圾及弃土应及时处理、清运严禁露天堆放，渣土及时回填并夯实并进行洒水降尘。</w:t>
            </w:r>
          </w:p>
          <w:p w14:paraId="5FFDFF2D">
            <w:pPr>
              <w:spacing w:line="360" w:lineRule="auto"/>
              <w:ind w:firstLine="482" w:firstLineChars="200"/>
              <w:rPr>
                <w:b/>
                <w:bCs/>
                <w:sz w:val="24"/>
              </w:rPr>
            </w:pPr>
            <w:r>
              <w:rPr>
                <w:b/>
                <w:bCs/>
                <w:sz w:val="24"/>
              </w:rPr>
              <w:t>2、水污染防治措施</w:t>
            </w:r>
          </w:p>
          <w:p w14:paraId="25755B69">
            <w:pPr>
              <w:spacing w:line="360" w:lineRule="auto"/>
              <w:ind w:firstLine="480" w:firstLineChars="200"/>
              <w:rPr>
                <w:sz w:val="24"/>
              </w:rPr>
            </w:pPr>
            <w:r>
              <w:rPr>
                <w:sz w:val="24"/>
              </w:rPr>
              <w:t>（1）新建</w:t>
            </w:r>
            <w:r>
              <w:rPr>
                <w:rFonts w:hint="eastAsia"/>
                <w:sz w:val="24"/>
              </w:rPr>
              <w:t>地下炭化</w:t>
            </w:r>
            <w:r>
              <w:rPr>
                <w:sz w:val="24"/>
              </w:rPr>
              <w:t>窑</w:t>
            </w:r>
            <w:r>
              <w:rPr>
                <w:sz w:val="24"/>
                <w:highlight w:val="none"/>
              </w:rPr>
              <w:t>最大挖深1.</w:t>
            </w:r>
            <w:r>
              <w:rPr>
                <w:rFonts w:hint="eastAsia"/>
                <w:sz w:val="24"/>
                <w:highlight w:val="none"/>
                <w:lang w:val="en-US" w:eastAsia="zh-CN"/>
              </w:rPr>
              <w:t>8</w:t>
            </w:r>
            <w:r>
              <w:rPr>
                <w:sz w:val="24"/>
                <w:highlight w:val="none"/>
              </w:rPr>
              <w:t>m，</w:t>
            </w:r>
            <w:r>
              <w:rPr>
                <w:sz w:val="24"/>
              </w:rPr>
              <w:t>因此不会产生基坑用水，少量施工废水经沉淀池处理后回用于施工或者洒水降尘，严禁直接将施工废水排入周边水体。</w:t>
            </w:r>
          </w:p>
          <w:p w14:paraId="26E5C564">
            <w:pPr>
              <w:spacing w:line="360" w:lineRule="auto"/>
              <w:ind w:firstLine="480" w:firstLineChars="200"/>
              <w:rPr>
                <w:sz w:val="24"/>
              </w:rPr>
            </w:pPr>
            <w:r>
              <w:rPr>
                <w:sz w:val="24"/>
              </w:rPr>
              <w:t>（2）选用先进的设备、机械，以有效地减少跑、冒、滴、漏的数量及机械维修次数</w:t>
            </w:r>
            <w:r>
              <w:rPr>
                <w:rFonts w:hint="eastAsia"/>
                <w:sz w:val="24"/>
              </w:rPr>
              <w:t>，雨天对施工设备进行遮盖</w:t>
            </w:r>
            <w:r>
              <w:rPr>
                <w:sz w:val="24"/>
              </w:rPr>
              <w:t>。</w:t>
            </w:r>
          </w:p>
          <w:p w14:paraId="715743D3">
            <w:pPr>
              <w:adjustRightInd w:val="0"/>
              <w:snapToGrid w:val="0"/>
              <w:spacing w:line="360" w:lineRule="auto"/>
              <w:ind w:firstLine="480" w:firstLineChars="200"/>
              <w:rPr>
                <w:color w:val="auto"/>
                <w:sz w:val="24"/>
              </w:rPr>
            </w:pPr>
            <w:r>
              <w:rPr>
                <w:rFonts w:hint="eastAsia"/>
                <w:sz w:val="24"/>
              </w:rPr>
              <w:t>（3）</w:t>
            </w:r>
            <w:r>
              <w:rPr>
                <w:sz w:val="24"/>
              </w:rPr>
              <w:t>施工场地依托项目区</w:t>
            </w:r>
            <w:r>
              <w:rPr>
                <w:rFonts w:hint="eastAsia"/>
                <w:sz w:val="24"/>
              </w:rPr>
              <w:t>已有卫生间</w:t>
            </w:r>
            <w:r>
              <w:rPr>
                <w:sz w:val="24"/>
              </w:rPr>
              <w:t>，施工人员为项目区附近村民，</w:t>
            </w:r>
            <w:r>
              <w:rPr>
                <w:rFonts w:hint="eastAsia"/>
                <w:sz w:val="24"/>
              </w:rPr>
              <w:t>施工人员生活污水</w:t>
            </w:r>
            <w:r>
              <w:rPr>
                <w:rFonts w:hint="eastAsia"/>
                <w:color w:val="auto"/>
                <w:sz w:val="24"/>
                <w:lang w:eastAsia="zh-CN"/>
              </w:rPr>
              <w:t>依托周边村民化粪</w:t>
            </w:r>
            <w:r>
              <w:rPr>
                <w:rFonts w:hint="eastAsia"/>
                <w:color w:val="auto"/>
                <w:sz w:val="24"/>
              </w:rPr>
              <w:t>池处理后，用于农田、果园、林地等资源化利用，不外排</w:t>
            </w:r>
            <w:r>
              <w:rPr>
                <w:color w:val="auto"/>
                <w:sz w:val="24"/>
              </w:rPr>
              <w:t>。</w:t>
            </w:r>
          </w:p>
          <w:p w14:paraId="2F2A8F8F">
            <w:pPr>
              <w:spacing w:line="360" w:lineRule="auto"/>
              <w:ind w:firstLine="480" w:firstLineChars="200"/>
              <w:rPr>
                <w:sz w:val="24"/>
              </w:rPr>
            </w:pPr>
            <w:r>
              <w:rPr>
                <w:rFonts w:hint="eastAsia"/>
                <w:color w:val="auto"/>
                <w:sz w:val="24"/>
              </w:rPr>
              <w:t>（4）少量混凝土拌合施工废水经沉淀后用于厂区洒水降尘；运输车辆冲洗废水循环利用或洒水降尘，严禁外排。</w:t>
            </w:r>
          </w:p>
          <w:p w14:paraId="7FD4CF24">
            <w:pPr>
              <w:spacing w:line="360" w:lineRule="auto"/>
              <w:ind w:firstLine="482" w:firstLineChars="200"/>
              <w:rPr>
                <w:b/>
                <w:bCs/>
                <w:sz w:val="24"/>
              </w:rPr>
            </w:pPr>
            <w:r>
              <w:rPr>
                <w:b/>
                <w:bCs/>
                <w:sz w:val="24"/>
              </w:rPr>
              <w:t>3、噪声污染防治措施</w:t>
            </w:r>
          </w:p>
          <w:p w14:paraId="495A251F">
            <w:pPr>
              <w:spacing w:line="360" w:lineRule="auto"/>
              <w:ind w:firstLine="480" w:firstLineChars="200"/>
              <w:rPr>
                <w:sz w:val="24"/>
              </w:rPr>
            </w:pPr>
            <w:r>
              <w:rPr>
                <w:rFonts w:hint="eastAsia"/>
                <w:sz w:val="24"/>
                <w:lang w:eastAsia="zh-CN"/>
              </w:rPr>
              <w:t>（</w:t>
            </w:r>
            <w:r>
              <w:rPr>
                <w:rFonts w:hint="eastAsia"/>
                <w:sz w:val="24"/>
              </w:rPr>
              <w:t>1）优选</w:t>
            </w:r>
            <w:r>
              <w:rPr>
                <w:sz w:val="24"/>
              </w:rPr>
              <w:t>低噪声设备，</w:t>
            </w:r>
            <w:r>
              <w:rPr>
                <w:rFonts w:hint="eastAsia"/>
                <w:sz w:val="24"/>
              </w:rPr>
              <w:t>加强设备维修保养，避免设备故障运行，</w:t>
            </w:r>
            <w:r>
              <w:rPr>
                <w:sz w:val="24"/>
              </w:rPr>
              <w:t>合理安排施工时间</w:t>
            </w:r>
            <w:r>
              <w:rPr>
                <w:rFonts w:hint="eastAsia"/>
                <w:sz w:val="24"/>
              </w:rPr>
              <w:t>，严禁</w:t>
            </w:r>
            <w:r>
              <w:rPr>
                <w:sz w:val="24"/>
              </w:rPr>
              <w:t>在</w:t>
            </w:r>
            <w:r>
              <w:rPr>
                <w:rFonts w:hint="eastAsia"/>
                <w:sz w:val="24"/>
              </w:rPr>
              <w:t>午休及夜间进行施工作业。</w:t>
            </w:r>
          </w:p>
          <w:p w14:paraId="5419EB38">
            <w:pPr>
              <w:spacing w:line="360" w:lineRule="auto"/>
              <w:ind w:firstLine="480" w:firstLineChars="200"/>
              <w:rPr>
                <w:sz w:val="24"/>
              </w:rPr>
            </w:pPr>
            <w:r>
              <w:rPr>
                <w:rFonts w:hint="eastAsia"/>
                <w:sz w:val="24"/>
              </w:rPr>
              <w:t>（2）</w:t>
            </w:r>
            <w:r>
              <w:rPr>
                <w:kern w:val="0"/>
                <w:sz w:val="24"/>
                <w:szCs w:val="20"/>
              </w:rPr>
              <w:t>施工车辆应减速慢行，同时在通过施工场区、运输道路沿线居民聚集区时应禁止鸣笛。</w:t>
            </w:r>
          </w:p>
          <w:p w14:paraId="55AEC271">
            <w:pPr>
              <w:spacing w:line="360" w:lineRule="auto"/>
              <w:ind w:firstLine="480" w:firstLineChars="200"/>
              <w:rPr>
                <w:sz w:val="24"/>
              </w:rPr>
            </w:pPr>
            <w:r>
              <w:rPr>
                <w:rFonts w:hint="eastAsia"/>
                <w:sz w:val="24"/>
              </w:rPr>
              <w:t>（3）</w:t>
            </w:r>
            <w:r>
              <w:rPr>
                <w:sz w:val="24"/>
              </w:rPr>
              <w:t>若发生噪声扰民事件，应及时协调解决</w:t>
            </w:r>
            <w:r>
              <w:rPr>
                <w:rFonts w:hint="eastAsia"/>
                <w:sz w:val="24"/>
              </w:rPr>
              <w:t>，避免矛盾升级</w:t>
            </w:r>
            <w:r>
              <w:rPr>
                <w:sz w:val="24"/>
              </w:rPr>
              <w:t>。</w:t>
            </w:r>
          </w:p>
          <w:p w14:paraId="070DC8FE">
            <w:pPr>
              <w:spacing w:line="360" w:lineRule="auto"/>
              <w:ind w:firstLine="241" w:firstLineChars="100"/>
              <w:rPr>
                <w:b/>
                <w:bCs/>
                <w:sz w:val="24"/>
              </w:rPr>
            </w:pPr>
            <w:r>
              <w:rPr>
                <w:b/>
                <w:bCs/>
                <w:sz w:val="24"/>
              </w:rPr>
              <w:t>4、固体废弃物管理措施</w:t>
            </w:r>
          </w:p>
          <w:p w14:paraId="7625B805">
            <w:pPr>
              <w:spacing w:line="360" w:lineRule="auto"/>
              <w:ind w:firstLine="480" w:firstLineChars="200"/>
              <w:rPr>
                <w:sz w:val="24"/>
              </w:rPr>
            </w:pPr>
            <w:r>
              <w:rPr>
                <w:rFonts w:hint="eastAsia"/>
                <w:sz w:val="24"/>
              </w:rPr>
              <w:t>（1）</w:t>
            </w:r>
            <w:r>
              <w:rPr>
                <w:sz w:val="24"/>
              </w:rPr>
              <w:t>施工人员的生活垃圾统一收集，并</w:t>
            </w:r>
            <w:r>
              <w:rPr>
                <w:rFonts w:hint="eastAsia"/>
                <w:sz w:val="24"/>
              </w:rPr>
              <w:t>及时</w:t>
            </w:r>
            <w:r>
              <w:rPr>
                <w:sz w:val="24"/>
              </w:rPr>
              <w:t>委托环卫部门清运处置，避免长期堆放</w:t>
            </w:r>
            <w:r>
              <w:rPr>
                <w:rFonts w:hint="eastAsia"/>
                <w:sz w:val="24"/>
              </w:rPr>
              <w:t>和私自焚烧</w:t>
            </w:r>
            <w:r>
              <w:rPr>
                <w:sz w:val="24"/>
              </w:rPr>
              <w:t>。</w:t>
            </w:r>
          </w:p>
          <w:p w14:paraId="47D64E48">
            <w:pPr>
              <w:spacing w:line="360" w:lineRule="auto"/>
              <w:ind w:firstLine="480" w:firstLineChars="200"/>
              <w:rPr>
                <w:color w:val="auto"/>
                <w:sz w:val="24"/>
              </w:rPr>
            </w:pPr>
            <w:r>
              <w:rPr>
                <w:rFonts w:hint="eastAsia"/>
                <w:sz w:val="24"/>
              </w:rPr>
              <w:t>（2）</w:t>
            </w:r>
            <w:r>
              <w:rPr>
                <w:sz w:val="24"/>
              </w:rPr>
              <w:t>建筑垃圾能</w:t>
            </w:r>
            <w:r>
              <w:rPr>
                <w:color w:val="auto"/>
                <w:sz w:val="24"/>
              </w:rPr>
              <w:t>回收利用的全部回收利用，不可回收部分</w:t>
            </w:r>
            <w:r>
              <w:rPr>
                <w:rFonts w:hint="eastAsia"/>
                <w:color w:val="auto"/>
                <w:sz w:val="24"/>
              </w:rPr>
              <w:t>及时</w:t>
            </w:r>
            <w:r>
              <w:rPr>
                <w:color w:val="auto"/>
                <w:sz w:val="24"/>
              </w:rPr>
              <w:t>委托环卫部门清运处置，严禁随意丢弃和私自焚烧。</w:t>
            </w:r>
          </w:p>
          <w:p w14:paraId="229375A7">
            <w:pPr>
              <w:spacing w:line="360" w:lineRule="auto"/>
              <w:ind w:firstLine="480" w:firstLineChars="200"/>
              <w:rPr>
                <w:rFonts w:hint="eastAsia"/>
                <w:color w:val="auto"/>
                <w:sz w:val="24"/>
              </w:rPr>
            </w:pPr>
            <w:r>
              <w:rPr>
                <w:rFonts w:hint="eastAsia"/>
                <w:color w:val="auto"/>
                <w:sz w:val="24"/>
              </w:rPr>
              <w:t>（3）拆除建筑垃圾及开挖土石方部分用于厂区低洼处回填，部分清运至旁边填埋场，严禁随意丢弃；</w:t>
            </w:r>
          </w:p>
          <w:p w14:paraId="43A65C56">
            <w:pPr>
              <w:spacing w:line="360" w:lineRule="auto"/>
              <w:ind w:firstLine="480" w:firstLineChars="200"/>
              <w:rPr>
                <w:rFonts w:hint="eastAsia" w:eastAsia="宋体"/>
                <w:color w:val="auto"/>
                <w:sz w:val="24"/>
                <w:lang w:eastAsia="zh-CN"/>
              </w:rPr>
            </w:pPr>
            <w:r>
              <w:rPr>
                <w:rFonts w:hint="eastAsia"/>
                <w:color w:val="auto"/>
                <w:sz w:val="24"/>
              </w:rPr>
              <w:t>（4）地下碳化窑开挖产生的土石方，部分用于厂区低洼处回填，</w:t>
            </w:r>
            <w:r>
              <w:rPr>
                <w:rFonts w:hint="eastAsia"/>
                <w:color w:val="auto"/>
                <w:sz w:val="24"/>
                <w:lang w:eastAsia="zh-CN"/>
              </w:rPr>
              <w:t>部分委托垃圾清运机构处理，严禁随意堆放。</w:t>
            </w:r>
          </w:p>
          <w:p w14:paraId="4BA0AF7A">
            <w:pPr>
              <w:pStyle w:val="20"/>
              <w:numPr>
                <w:ilvl w:val="0"/>
                <w:numId w:val="0"/>
              </w:numPr>
              <w:tabs>
                <w:tab w:val="left" w:pos="1107"/>
              </w:tabs>
              <w:spacing w:before="0" w:beforeAutospacing="0" w:after="0" w:afterAutospacing="0" w:line="360" w:lineRule="auto"/>
              <w:ind w:firstLine="480" w:firstLineChars="200"/>
              <w:jc w:val="both"/>
              <w:outlineLvl w:val="0"/>
              <w:rPr>
                <w:rFonts w:hint="eastAsia"/>
                <w:lang w:eastAsia="zh-CN"/>
              </w:rPr>
            </w:pPr>
            <w:r>
              <w:rPr>
                <w:rFonts w:hint="default" w:ascii="Times New Roman" w:hAnsi="Times New Roman" w:cs="Times New Roman"/>
                <w:sz w:val="24"/>
              </w:rPr>
              <w:t>（5）</w:t>
            </w:r>
            <w:r>
              <w:rPr>
                <w:rFonts w:hint="eastAsia"/>
                <w:sz w:val="24"/>
              </w:rPr>
              <w:t>运输车辆减速慢行，设置篷布遮盖避免洒落，出入口连接外部道路设置相应提示标志和减速措施。</w:t>
            </w:r>
          </w:p>
        </w:tc>
      </w:tr>
      <w:tr w14:paraId="751CA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0" w:hRule="atLeast"/>
        </w:trPr>
        <w:tc>
          <w:tcPr>
            <w:tcW w:w="350" w:type="dxa"/>
            <w:vAlign w:val="center"/>
          </w:tcPr>
          <w:p w14:paraId="2984D161">
            <w:pPr>
              <w:pStyle w:val="20"/>
              <w:numPr>
                <w:ilvl w:val="0"/>
                <w:numId w:val="0"/>
              </w:numPr>
              <w:spacing w:before="0" w:beforeAutospacing="0" w:after="0" w:afterAutospacing="0"/>
              <w:ind w:left="0" w:leftChars="0" w:firstLine="0" w:firstLineChars="0"/>
              <w:jc w:val="center"/>
              <w:outlineLvl w:val="0"/>
              <w:rPr>
                <w:rFonts w:hint="eastAsia" w:ascii="宋体" w:hAnsi="宋体" w:eastAsia="宋体" w:cs="宋体"/>
                <w:b/>
                <w:bCs/>
                <w:snapToGrid w:val="0"/>
                <w:sz w:val="24"/>
                <w:szCs w:val="24"/>
                <w:vertAlign w:val="baseline"/>
                <w:lang w:eastAsia="zh-CN"/>
              </w:rPr>
            </w:pPr>
            <w:r>
              <w:rPr>
                <w:rFonts w:hint="eastAsia" w:ascii="宋体" w:hAnsi="宋体" w:eastAsia="宋体" w:cs="宋体"/>
                <w:b/>
                <w:bCs/>
                <w:snapToGrid w:val="0"/>
                <w:sz w:val="24"/>
                <w:szCs w:val="24"/>
                <w:vertAlign w:val="baseline"/>
                <w:lang w:eastAsia="zh-CN"/>
              </w:rPr>
              <w:t>运营期环境保护措施</w:t>
            </w:r>
          </w:p>
        </w:tc>
        <w:tc>
          <w:tcPr>
            <w:tcW w:w="8489" w:type="dxa"/>
            <w:vAlign w:val="top"/>
          </w:tcPr>
          <w:p w14:paraId="4194472F">
            <w:pPr>
              <w:snapToGrid w:val="0"/>
              <w:spacing w:line="360" w:lineRule="auto"/>
              <w:rPr>
                <w:rFonts w:hint="eastAsia" w:asciiTheme="minorEastAsia" w:hAnsiTheme="minorEastAsia" w:eastAsiaTheme="minorEastAsia" w:cstheme="minorEastAsia"/>
                <w:b/>
                <w:bCs/>
                <w:sz w:val="24"/>
              </w:rPr>
            </w:pPr>
            <w:r>
              <w:rPr>
                <w:rFonts w:hint="eastAsia"/>
                <w:b/>
                <w:bCs/>
                <w:spacing w:val="-20"/>
                <w:sz w:val="24"/>
                <w:lang w:eastAsia="zh-CN"/>
              </w:rPr>
              <w:t>一</w:t>
            </w:r>
            <w:r>
              <w:rPr>
                <w:rFonts w:hint="eastAsia" w:asciiTheme="minorEastAsia" w:hAnsiTheme="minorEastAsia" w:eastAsiaTheme="minorEastAsia" w:cstheme="minorEastAsia"/>
                <w:b/>
                <w:bCs/>
                <w:spacing w:val="-20"/>
                <w:sz w:val="24"/>
              </w:rPr>
              <w:t>、</w:t>
            </w:r>
            <w:r>
              <w:rPr>
                <w:rFonts w:hint="eastAsia" w:asciiTheme="minorEastAsia" w:hAnsiTheme="minorEastAsia" w:eastAsiaTheme="minorEastAsia" w:cstheme="minorEastAsia"/>
                <w:b/>
                <w:bCs/>
                <w:kern w:val="0"/>
                <w:sz w:val="24"/>
                <w:lang w:eastAsia="zh-CN"/>
              </w:rPr>
              <w:t>运营</w:t>
            </w:r>
            <w:r>
              <w:rPr>
                <w:rFonts w:hint="eastAsia" w:asciiTheme="minorEastAsia" w:hAnsiTheme="minorEastAsia" w:eastAsiaTheme="minorEastAsia" w:cstheme="minorEastAsia"/>
                <w:b/>
                <w:bCs/>
                <w:kern w:val="0"/>
                <w:sz w:val="24"/>
              </w:rPr>
              <w:t>期环境影响分析</w:t>
            </w:r>
            <w:r>
              <w:rPr>
                <w:rFonts w:hint="eastAsia" w:asciiTheme="minorEastAsia" w:hAnsiTheme="minorEastAsia" w:eastAsiaTheme="minorEastAsia" w:cstheme="minorEastAsia"/>
                <w:b/>
                <w:bCs/>
                <w:kern w:val="0"/>
                <w:sz w:val="24"/>
                <w:lang w:eastAsia="zh-CN"/>
              </w:rPr>
              <w:t>及保护措施</w:t>
            </w:r>
          </w:p>
          <w:p w14:paraId="3C68DD64">
            <w:pPr>
              <w:adjustRightInd w:val="0"/>
              <w:snapToGrid w:val="0"/>
              <w:spacing w:line="360" w:lineRule="auto"/>
              <w:jc w:val="left"/>
              <w:rPr>
                <w:rFonts w:hint="eastAsia"/>
                <w:b/>
                <w:bCs/>
                <w:sz w:val="24"/>
              </w:rPr>
            </w:pPr>
            <w:r>
              <w:rPr>
                <w:rFonts w:hint="eastAsia"/>
                <w:b/>
                <w:bCs/>
                <w:sz w:val="24"/>
              </w:rPr>
              <w:t>1、运营期产排污环节分析</w:t>
            </w:r>
          </w:p>
          <w:p w14:paraId="283FECC5">
            <w:pPr>
              <w:pStyle w:val="11"/>
              <w:widowControl w:val="0"/>
              <w:spacing w:after="0" w:line="360" w:lineRule="auto"/>
              <w:ind w:firstLine="480" w:firstLineChars="200"/>
              <w:rPr>
                <w:rFonts w:hint="eastAsia"/>
              </w:rPr>
            </w:pPr>
            <w:r>
              <w:rPr>
                <w:rFonts w:hint="eastAsia"/>
                <w:color w:val="000000"/>
                <w:sz w:val="24"/>
                <w:szCs w:val="24"/>
                <w:shd w:val="clear" w:color="auto" w:fill="FFFFFF"/>
              </w:rPr>
              <w:t>本项目运营期废气包括热风炉燃烧烘干废气及制棒、炭化过程产生的烟气，原料筛分过程的粉尘、运输车辆尾气；少量生活污水</w:t>
            </w:r>
            <w:r>
              <w:rPr>
                <w:rFonts w:hint="eastAsia"/>
                <w:color w:val="000000"/>
                <w:sz w:val="24"/>
                <w:szCs w:val="24"/>
                <w:shd w:val="clear" w:color="auto" w:fill="FFFFFF"/>
                <w:lang w:eastAsia="zh-CN"/>
              </w:rPr>
              <w:t>，</w:t>
            </w:r>
            <w:r>
              <w:rPr>
                <w:rFonts w:hint="eastAsia"/>
                <w:color w:val="000000"/>
                <w:sz w:val="24"/>
                <w:szCs w:val="24"/>
                <w:shd w:val="clear" w:color="auto" w:fill="FFFFFF"/>
              </w:rPr>
              <w:t>生产设备、转载运输车辆噪声及生产固废及生活垃圾；</w:t>
            </w:r>
            <w:r>
              <w:rPr>
                <w:rFonts w:hint="eastAsia" w:ascii="宋体" w:hAnsi="宋体" w:cs="宋体"/>
                <w:color w:val="000000"/>
                <w:sz w:val="24"/>
                <w:szCs w:val="24"/>
              </w:rPr>
              <w:t>项目在营运期间的主要污染工序见表</w:t>
            </w:r>
            <w:r>
              <w:rPr>
                <w:color w:val="000000"/>
                <w:sz w:val="24"/>
                <w:szCs w:val="24"/>
              </w:rPr>
              <w:t>4-1</w:t>
            </w:r>
            <w:r>
              <w:rPr>
                <w:rFonts w:hint="eastAsia" w:ascii="宋体" w:hAnsi="宋体" w:cs="宋体"/>
                <w:color w:val="000000"/>
                <w:sz w:val="24"/>
                <w:szCs w:val="24"/>
              </w:rPr>
              <w:t>所示。</w:t>
            </w:r>
          </w:p>
          <w:p w14:paraId="7C441308">
            <w:pPr>
              <w:jc w:val="center"/>
              <w:rPr>
                <w:rFonts w:hint="eastAsia" w:ascii="宋体" w:hAnsi="宋体" w:cs="宋体"/>
                <w:b/>
                <w:bCs/>
                <w:color w:val="000000"/>
                <w:sz w:val="24"/>
              </w:rPr>
            </w:pPr>
            <w:r>
              <w:rPr>
                <w:rFonts w:hint="eastAsia"/>
                <w:b/>
                <w:bCs/>
                <w:color w:val="000000"/>
                <w:sz w:val="24"/>
              </w:rPr>
              <w:t>表4-1 运营期污染工序一览表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092"/>
              <w:gridCol w:w="1750"/>
              <w:gridCol w:w="4604"/>
            </w:tblGrid>
            <w:tr w14:paraId="28F3F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752" w:type="dxa"/>
                  <w:noWrap w:val="0"/>
                  <w:vAlign w:val="center"/>
                </w:tcPr>
                <w:p w14:paraId="624E2E5B">
                  <w:pPr>
                    <w:rPr>
                      <w:rFonts w:hint="eastAsia" w:ascii="宋体" w:hAnsi="宋体" w:cs="宋体"/>
                      <w:b/>
                      <w:bCs/>
                      <w:color w:val="000000"/>
                      <w:szCs w:val="21"/>
                    </w:rPr>
                  </w:pPr>
                  <w:r>
                    <w:rPr>
                      <w:rFonts w:hint="eastAsia" w:ascii="宋体" w:hAnsi="宋体"/>
                      <w:b/>
                      <w:bCs/>
                      <w:szCs w:val="21"/>
                    </w:rPr>
                    <w:t>污染类别</w:t>
                  </w:r>
                </w:p>
              </w:tc>
              <w:tc>
                <w:tcPr>
                  <w:tcW w:w="1092" w:type="dxa"/>
                  <w:noWrap w:val="0"/>
                  <w:vAlign w:val="center"/>
                </w:tcPr>
                <w:p w14:paraId="34436532">
                  <w:pPr>
                    <w:jc w:val="center"/>
                    <w:rPr>
                      <w:b/>
                      <w:bCs/>
                      <w:color w:val="auto"/>
                      <w:szCs w:val="21"/>
                    </w:rPr>
                  </w:pPr>
                  <w:r>
                    <w:rPr>
                      <w:rFonts w:hint="eastAsia" w:ascii="宋体" w:hAnsi="宋体"/>
                      <w:b/>
                      <w:bCs/>
                      <w:color w:val="auto"/>
                      <w:szCs w:val="21"/>
                    </w:rPr>
                    <w:t>污染源名称</w:t>
                  </w:r>
                </w:p>
              </w:tc>
              <w:tc>
                <w:tcPr>
                  <w:tcW w:w="1750" w:type="dxa"/>
                  <w:noWrap w:val="0"/>
                  <w:vAlign w:val="center"/>
                </w:tcPr>
                <w:p w14:paraId="6701B5EA">
                  <w:pPr>
                    <w:jc w:val="center"/>
                    <w:rPr>
                      <w:b/>
                      <w:bCs/>
                      <w:color w:val="auto"/>
                      <w:szCs w:val="21"/>
                    </w:rPr>
                  </w:pPr>
                  <w:r>
                    <w:rPr>
                      <w:rFonts w:hint="eastAsia" w:ascii="宋体" w:hAnsi="宋体"/>
                      <w:b/>
                      <w:bCs/>
                      <w:color w:val="auto"/>
                      <w:szCs w:val="21"/>
                    </w:rPr>
                    <w:t>产生工序</w:t>
                  </w:r>
                </w:p>
              </w:tc>
              <w:tc>
                <w:tcPr>
                  <w:tcW w:w="4604" w:type="dxa"/>
                  <w:noWrap w:val="0"/>
                  <w:vAlign w:val="center"/>
                </w:tcPr>
                <w:p w14:paraId="0AAD78E8">
                  <w:pPr>
                    <w:jc w:val="center"/>
                    <w:rPr>
                      <w:b/>
                      <w:bCs/>
                      <w:color w:val="auto"/>
                      <w:szCs w:val="21"/>
                    </w:rPr>
                  </w:pPr>
                  <w:r>
                    <w:rPr>
                      <w:rFonts w:hint="eastAsia" w:ascii="宋体" w:hAnsi="宋体"/>
                      <w:b/>
                      <w:bCs/>
                      <w:color w:val="auto"/>
                      <w:szCs w:val="21"/>
                    </w:rPr>
                    <w:t>主要污染因子</w:t>
                  </w:r>
                </w:p>
              </w:tc>
            </w:tr>
            <w:tr w14:paraId="3DB9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vMerge w:val="restart"/>
                  <w:noWrap w:val="0"/>
                  <w:vAlign w:val="top"/>
                </w:tcPr>
                <w:p w14:paraId="662E335B">
                  <w:pPr>
                    <w:pStyle w:val="21"/>
                    <w:snapToGrid/>
                    <w:spacing w:before="0" w:after="0" w:line="240" w:lineRule="auto"/>
                    <w:ind w:right="0" w:firstLine="0" w:firstLineChars="0"/>
                    <w:jc w:val="center"/>
                    <w:rPr>
                      <w:rFonts w:hint="eastAsia"/>
                      <w:b/>
                      <w:bCs/>
                      <w:color w:val="000000"/>
                      <w:szCs w:val="21"/>
                    </w:rPr>
                  </w:pPr>
                </w:p>
                <w:p w14:paraId="34AFFB0D">
                  <w:pPr>
                    <w:pStyle w:val="21"/>
                    <w:snapToGrid/>
                    <w:spacing w:before="0" w:after="0" w:line="240" w:lineRule="auto"/>
                    <w:ind w:right="0" w:firstLine="0" w:firstLineChars="0"/>
                    <w:jc w:val="center"/>
                    <w:rPr>
                      <w:rFonts w:hint="eastAsia"/>
                      <w:b/>
                      <w:bCs/>
                      <w:color w:val="000000"/>
                      <w:szCs w:val="21"/>
                    </w:rPr>
                  </w:pPr>
                </w:p>
                <w:p w14:paraId="2AA5E6D3">
                  <w:pPr>
                    <w:pStyle w:val="21"/>
                    <w:snapToGrid/>
                    <w:spacing w:before="0" w:after="0" w:line="240" w:lineRule="auto"/>
                    <w:ind w:right="0" w:firstLine="0" w:firstLineChars="0"/>
                    <w:jc w:val="center"/>
                    <w:rPr>
                      <w:rFonts w:hint="eastAsia"/>
                      <w:b/>
                      <w:bCs/>
                      <w:color w:val="000000"/>
                      <w:szCs w:val="21"/>
                    </w:rPr>
                  </w:pPr>
                </w:p>
                <w:p w14:paraId="7C4FA580">
                  <w:pPr>
                    <w:pStyle w:val="21"/>
                    <w:snapToGrid/>
                    <w:spacing w:before="0" w:after="0" w:line="240" w:lineRule="auto"/>
                    <w:ind w:right="0" w:firstLine="0" w:firstLineChars="0"/>
                    <w:jc w:val="center"/>
                    <w:rPr>
                      <w:rFonts w:hint="eastAsia"/>
                      <w:b/>
                      <w:bCs/>
                      <w:color w:val="000000"/>
                      <w:szCs w:val="21"/>
                    </w:rPr>
                  </w:pPr>
                </w:p>
                <w:p w14:paraId="3C99DEB7">
                  <w:pPr>
                    <w:pStyle w:val="21"/>
                    <w:snapToGrid/>
                    <w:spacing w:before="0" w:after="0" w:line="240" w:lineRule="auto"/>
                    <w:ind w:right="0" w:firstLine="0" w:firstLineChars="0"/>
                    <w:jc w:val="center"/>
                    <w:rPr>
                      <w:rFonts w:hint="eastAsia"/>
                      <w:b/>
                      <w:bCs/>
                      <w:color w:val="000000"/>
                      <w:szCs w:val="21"/>
                    </w:rPr>
                  </w:pPr>
                </w:p>
                <w:p w14:paraId="5FBDB3C5">
                  <w:pPr>
                    <w:pStyle w:val="21"/>
                    <w:snapToGrid/>
                    <w:spacing w:before="0" w:after="0" w:line="240" w:lineRule="auto"/>
                    <w:ind w:right="0" w:firstLine="0" w:firstLineChars="0"/>
                    <w:jc w:val="center"/>
                    <w:rPr>
                      <w:rFonts w:hint="eastAsia" w:ascii="宋体" w:hAnsi="宋体" w:cs="宋体"/>
                      <w:b w:val="0"/>
                      <w:bCs w:val="0"/>
                      <w:color w:val="000000"/>
                      <w:szCs w:val="21"/>
                    </w:rPr>
                  </w:pPr>
                  <w:r>
                    <w:rPr>
                      <w:rFonts w:hint="eastAsia" w:ascii="宋体" w:hAnsi="宋体" w:cs="宋体"/>
                      <w:b w:val="0"/>
                      <w:bCs w:val="0"/>
                      <w:color w:val="000000"/>
                      <w:szCs w:val="21"/>
                    </w:rPr>
                    <w:t>废</w:t>
                  </w:r>
                </w:p>
                <w:p w14:paraId="351F75C3">
                  <w:pPr>
                    <w:pStyle w:val="21"/>
                    <w:snapToGrid/>
                    <w:spacing w:before="0" w:after="0" w:line="240" w:lineRule="auto"/>
                    <w:ind w:right="0" w:firstLine="0" w:firstLineChars="0"/>
                    <w:jc w:val="center"/>
                    <w:rPr>
                      <w:color w:val="000000"/>
                      <w:szCs w:val="21"/>
                    </w:rPr>
                  </w:pPr>
                  <w:r>
                    <w:rPr>
                      <w:rFonts w:hint="eastAsia" w:ascii="宋体" w:hAnsi="宋体" w:cs="宋体"/>
                      <w:b w:val="0"/>
                      <w:bCs w:val="0"/>
                      <w:color w:val="000000"/>
                      <w:szCs w:val="21"/>
                    </w:rPr>
                    <w:t>气</w:t>
                  </w:r>
                </w:p>
              </w:tc>
              <w:tc>
                <w:tcPr>
                  <w:tcW w:w="1092" w:type="dxa"/>
                  <w:noWrap w:val="0"/>
                  <w:vAlign w:val="top"/>
                </w:tcPr>
                <w:p w14:paraId="7CA77864">
                  <w:pPr>
                    <w:pStyle w:val="21"/>
                    <w:snapToGrid/>
                    <w:spacing w:before="0" w:after="0" w:line="240" w:lineRule="auto"/>
                    <w:ind w:right="0" w:firstLine="0" w:firstLineChars="0"/>
                    <w:jc w:val="center"/>
                    <w:rPr>
                      <w:rFonts w:hint="default" w:eastAsia="宋体"/>
                      <w:color w:val="auto"/>
                      <w:szCs w:val="21"/>
                      <w:lang w:val="en-US" w:eastAsia="zh-CN"/>
                    </w:rPr>
                  </w:pPr>
                  <w:r>
                    <w:rPr>
                      <w:rFonts w:hint="eastAsia" w:eastAsia="宋体"/>
                      <w:color w:val="auto"/>
                      <w:szCs w:val="21"/>
                      <w:lang w:val="en-US" w:eastAsia="zh-CN"/>
                    </w:rPr>
                    <w:t>滚筒筛</w:t>
                  </w:r>
                </w:p>
              </w:tc>
              <w:tc>
                <w:tcPr>
                  <w:tcW w:w="1750" w:type="dxa"/>
                  <w:noWrap w:val="0"/>
                  <w:vAlign w:val="top"/>
                </w:tcPr>
                <w:p w14:paraId="17B5A0D8">
                  <w:pPr>
                    <w:pStyle w:val="21"/>
                    <w:snapToGrid/>
                    <w:spacing w:before="0" w:after="0" w:line="240" w:lineRule="auto"/>
                    <w:ind w:right="0" w:firstLine="0" w:firstLineChars="0"/>
                    <w:jc w:val="center"/>
                    <w:rPr>
                      <w:rFonts w:hint="eastAsia" w:eastAsia="宋体"/>
                      <w:color w:val="auto"/>
                      <w:szCs w:val="21"/>
                      <w:lang w:eastAsia="zh-CN"/>
                    </w:rPr>
                  </w:pPr>
                  <w:r>
                    <w:rPr>
                      <w:rFonts w:hint="eastAsia"/>
                      <w:color w:val="auto"/>
                      <w:szCs w:val="21"/>
                      <w:lang w:eastAsia="zh-CN"/>
                    </w:rPr>
                    <w:t>筛分</w:t>
                  </w:r>
                </w:p>
              </w:tc>
              <w:tc>
                <w:tcPr>
                  <w:tcW w:w="4604" w:type="dxa"/>
                  <w:noWrap w:val="0"/>
                  <w:vAlign w:val="center"/>
                </w:tcPr>
                <w:p w14:paraId="5F0FD042">
                  <w:pPr>
                    <w:pStyle w:val="21"/>
                    <w:snapToGrid/>
                    <w:spacing w:before="0" w:after="0" w:line="240" w:lineRule="auto"/>
                    <w:ind w:right="0" w:firstLine="0" w:firstLineChars="0"/>
                    <w:jc w:val="center"/>
                    <w:rPr>
                      <w:rFonts w:hint="eastAsia"/>
                      <w:color w:val="auto"/>
                      <w:szCs w:val="21"/>
                    </w:rPr>
                  </w:pPr>
                  <w:r>
                    <w:rPr>
                      <w:rFonts w:hint="eastAsia"/>
                      <w:color w:val="auto"/>
                      <w:szCs w:val="21"/>
                    </w:rPr>
                    <w:t>粉尘</w:t>
                  </w:r>
                </w:p>
              </w:tc>
            </w:tr>
            <w:tr w14:paraId="5155E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vMerge w:val="continue"/>
                  <w:noWrap w:val="0"/>
                  <w:vAlign w:val="top"/>
                </w:tcPr>
                <w:p w14:paraId="1A79D4BD">
                  <w:pPr>
                    <w:pStyle w:val="21"/>
                    <w:snapToGrid/>
                    <w:spacing w:before="0" w:after="0" w:line="240" w:lineRule="auto"/>
                    <w:ind w:right="0" w:firstLine="0" w:firstLineChars="0"/>
                    <w:jc w:val="center"/>
                    <w:rPr>
                      <w:rFonts w:hint="eastAsia" w:ascii="宋体" w:hAnsi="宋体" w:cs="宋体"/>
                      <w:b/>
                      <w:bCs/>
                      <w:color w:val="000000"/>
                      <w:szCs w:val="21"/>
                    </w:rPr>
                  </w:pPr>
                </w:p>
              </w:tc>
              <w:tc>
                <w:tcPr>
                  <w:tcW w:w="1092" w:type="dxa"/>
                  <w:noWrap w:val="0"/>
                  <w:vAlign w:val="center"/>
                </w:tcPr>
                <w:p w14:paraId="2642C7E8">
                  <w:pPr>
                    <w:pStyle w:val="21"/>
                    <w:snapToGrid/>
                    <w:spacing w:before="0" w:after="0" w:line="240" w:lineRule="auto"/>
                    <w:ind w:right="0" w:firstLine="0" w:firstLineChars="0"/>
                    <w:jc w:val="center"/>
                    <w:rPr>
                      <w:rFonts w:hint="eastAsia" w:eastAsia="宋体"/>
                      <w:color w:val="auto"/>
                      <w:szCs w:val="21"/>
                      <w:lang w:eastAsia="zh-CN"/>
                    </w:rPr>
                  </w:pPr>
                  <w:r>
                    <w:rPr>
                      <w:rFonts w:hint="eastAsia"/>
                      <w:color w:val="auto"/>
                      <w:szCs w:val="21"/>
                      <w:lang w:eastAsia="zh-CN"/>
                    </w:rPr>
                    <w:t>热风炉</w:t>
                  </w:r>
                </w:p>
              </w:tc>
              <w:tc>
                <w:tcPr>
                  <w:tcW w:w="1750" w:type="dxa"/>
                  <w:noWrap w:val="0"/>
                  <w:vAlign w:val="center"/>
                </w:tcPr>
                <w:p w14:paraId="7C87A171">
                  <w:pPr>
                    <w:pStyle w:val="21"/>
                    <w:snapToGrid/>
                    <w:spacing w:before="0" w:after="0" w:line="240" w:lineRule="auto"/>
                    <w:ind w:right="0" w:firstLine="0" w:firstLineChars="0"/>
                    <w:jc w:val="center"/>
                    <w:rPr>
                      <w:rFonts w:hint="eastAsia"/>
                      <w:color w:val="auto"/>
                      <w:szCs w:val="21"/>
                    </w:rPr>
                  </w:pPr>
                  <w:r>
                    <w:rPr>
                      <w:color w:val="auto"/>
                      <w:szCs w:val="21"/>
                    </w:rPr>
                    <w:t>干燥</w:t>
                  </w:r>
                </w:p>
              </w:tc>
              <w:tc>
                <w:tcPr>
                  <w:tcW w:w="4604" w:type="dxa"/>
                  <w:noWrap w:val="0"/>
                  <w:vAlign w:val="center"/>
                </w:tcPr>
                <w:p w14:paraId="4AF2A84E">
                  <w:pPr>
                    <w:rPr>
                      <w:rFonts w:hint="eastAsia"/>
                      <w:color w:val="auto"/>
                      <w:szCs w:val="21"/>
                    </w:rPr>
                  </w:pPr>
                  <w:r>
                    <w:rPr>
                      <w:color w:val="auto"/>
                    </w:rPr>
                    <w:t>烟尘、SO</w:t>
                  </w:r>
                  <w:r>
                    <w:rPr>
                      <w:color w:val="auto"/>
                      <w:vertAlign w:val="subscript"/>
                    </w:rPr>
                    <w:t>2</w:t>
                  </w:r>
                  <w:r>
                    <w:rPr>
                      <w:color w:val="auto"/>
                    </w:rPr>
                    <w:t>、NO</w:t>
                  </w:r>
                  <w:r>
                    <w:rPr>
                      <w:color w:val="auto"/>
                      <w:vertAlign w:val="subscript"/>
                    </w:rPr>
                    <w:t>X</w:t>
                  </w:r>
                  <w:r>
                    <w:rPr>
                      <w:color w:val="auto"/>
                    </w:rPr>
                    <w:t>、烟气黑度（林格曼黑度，级）</w:t>
                  </w:r>
                </w:p>
              </w:tc>
            </w:tr>
            <w:tr w14:paraId="3878C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vMerge w:val="continue"/>
                  <w:noWrap w:val="0"/>
                  <w:vAlign w:val="top"/>
                </w:tcPr>
                <w:p w14:paraId="558D2F77">
                  <w:pPr>
                    <w:pStyle w:val="21"/>
                    <w:snapToGrid/>
                    <w:spacing w:before="0" w:after="0" w:line="240" w:lineRule="auto"/>
                    <w:ind w:right="0" w:firstLine="0" w:firstLineChars="0"/>
                    <w:jc w:val="center"/>
                    <w:rPr>
                      <w:rFonts w:hint="eastAsia" w:ascii="宋体" w:hAnsi="宋体" w:cs="宋体"/>
                      <w:b/>
                      <w:bCs/>
                      <w:color w:val="000000"/>
                      <w:szCs w:val="21"/>
                    </w:rPr>
                  </w:pPr>
                </w:p>
              </w:tc>
              <w:tc>
                <w:tcPr>
                  <w:tcW w:w="1092" w:type="dxa"/>
                  <w:noWrap w:val="0"/>
                  <w:vAlign w:val="center"/>
                </w:tcPr>
                <w:p w14:paraId="7FEBB1E8">
                  <w:pPr>
                    <w:pStyle w:val="21"/>
                    <w:snapToGrid/>
                    <w:spacing w:before="0" w:after="0" w:line="240" w:lineRule="auto"/>
                    <w:ind w:right="0" w:firstLine="0" w:firstLineChars="0"/>
                    <w:jc w:val="both"/>
                    <w:rPr>
                      <w:rFonts w:hint="default"/>
                      <w:color w:val="auto"/>
                      <w:szCs w:val="21"/>
                      <w:lang w:val="en-US" w:eastAsia="zh-CN"/>
                    </w:rPr>
                  </w:pPr>
                  <w:r>
                    <w:rPr>
                      <w:rFonts w:hint="eastAsia"/>
                      <w:color w:val="auto"/>
                      <w:szCs w:val="21"/>
                      <w:lang w:val="en-US" w:eastAsia="zh-CN"/>
                    </w:rPr>
                    <w:t>粉碎机</w:t>
                  </w:r>
                </w:p>
              </w:tc>
              <w:tc>
                <w:tcPr>
                  <w:tcW w:w="1750" w:type="dxa"/>
                  <w:noWrap w:val="0"/>
                  <w:vAlign w:val="center"/>
                </w:tcPr>
                <w:p w14:paraId="14EF22AD">
                  <w:pPr>
                    <w:pStyle w:val="21"/>
                    <w:snapToGrid/>
                    <w:spacing w:before="0" w:after="0" w:line="240" w:lineRule="auto"/>
                    <w:ind w:right="0" w:firstLine="0" w:firstLineChars="0"/>
                    <w:jc w:val="center"/>
                    <w:rPr>
                      <w:rFonts w:hint="eastAsia" w:eastAsia="宋体"/>
                      <w:color w:val="auto"/>
                      <w:szCs w:val="21"/>
                      <w:lang w:val="en-US" w:eastAsia="zh-CN"/>
                    </w:rPr>
                  </w:pPr>
                  <w:r>
                    <w:rPr>
                      <w:rFonts w:hint="eastAsia"/>
                      <w:color w:val="auto"/>
                      <w:szCs w:val="21"/>
                      <w:lang w:val="en-US" w:eastAsia="zh-CN"/>
                    </w:rPr>
                    <w:t>粉碎</w:t>
                  </w:r>
                </w:p>
              </w:tc>
              <w:tc>
                <w:tcPr>
                  <w:tcW w:w="4604" w:type="dxa"/>
                  <w:noWrap w:val="0"/>
                  <w:vAlign w:val="center"/>
                </w:tcPr>
                <w:p w14:paraId="7BE548E6">
                  <w:pPr>
                    <w:rPr>
                      <w:rFonts w:hint="default" w:eastAsia="宋体"/>
                      <w:color w:val="auto"/>
                      <w:lang w:val="en-US" w:eastAsia="zh-CN"/>
                    </w:rPr>
                  </w:pPr>
                  <w:r>
                    <w:rPr>
                      <w:rFonts w:hint="eastAsia"/>
                      <w:color w:val="auto"/>
                      <w:lang w:val="en-US" w:eastAsia="zh-CN"/>
                    </w:rPr>
                    <w:t>颗粒物</w:t>
                  </w:r>
                </w:p>
              </w:tc>
            </w:tr>
            <w:tr w14:paraId="339F6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52" w:type="dxa"/>
                  <w:vMerge w:val="continue"/>
                  <w:noWrap w:val="0"/>
                  <w:vAlign w:val="center"/>
                </w:tcPr>
                <w:p w14:paraId="6357AF59">
                  <w:pPr>
                    <w:pStyle w:val="21"/>
                    <w:snapToGrid/>
                    <w:spacing w:before="0" w:after="0" w:line="240" w:lineRule="auto"/>
                    <w:ind w:right="0" w:firstLine="0" w:firstLineChars="0"/>
                    <w:jc w:val="center"/>
                    <w:rPr>
                      <w:color w:val="000000"/>
                      <w:szCs w:val="21"/>
                    </w:rPr>
                  </w:pPr>
                </w:p>
              </w:tc>
              <w:tc>
                <w:tcPr>
                  <w:tcW w:w="1092" w:type="dxa"/>
                  <w:noWrap w:val="0"/>
                  <w:vAlign w:val="center"/>
                </w:tcPr>
                <w:p w14:paraId="18B3E9FC">
                  <w:pPr>
                    <w:pStyle w:val="21"/>
                    <w:snapToGrid/>
                    <w:spacing w:before="0" w:after="0" w:line="240" w:lineRule="auto"/>
                    <w:ind w:right="0" w:firstLine="0" w:firstLineChars="0"/>
                    <w:jc w:val="center"/>
                    <w:rPr>
                      <w:color w:val="auto"/>
                      <w:szCs w:val="21"/>
                    </w:rPr>
                  </w:pPr>
                  <w:r>
                    <w:rPr>
                      <w:rFonts w:hint="eastAsia"/>
                      <w:color w:val="auto"/>
                      <w:szCs w:val="21"/>
                    </w:rPr>
                    <w:t>制棒机</w:t>
                  </w:r>
                </w:p>
              </w:tc>
              <w:tc>
                <w:tcPr>
                  <w:tcW w:w="1750" w:type="dxa"/>
                  <w:noWrap w:val="0"/>
                  <w:vAlign w:val="center"/>
                </w:tcPr>
                <w:p w14:paraId="18FE3386">
                  <w:pPr>
                    <w:pStyle w:val="21"/>
                    <w:snapToGrid/>
                    <w:spacing w:before="0" w:after="0" w:line="240" w:lineRule="auto"/>
                    <w:ind w:right="0" w:firstLine="0" w:firstLineChars="0"/>
                    <w:jc w:val="center"/>
                    <w:rPr>
                      <w:color w:val="auto"/>
                      <w:szCs w:val="21"/>
                    </w:rPr>
                  </w:pPr>
                  <w:r>
                    <w:rPr>
                      <w:rFonts w:hint="eastAsia"/>
                      <w:color w:val="auto"/>
                      <w:szCs w:val="21"/>
                    </w:rPr>
                    <w:t>制棒</w:t>
                  </w:r>
                </w:p>
              </w:tc>
              <w:tc>
                <w:tcPr>
                  <w:tcW w:w="4604" w:type="dxa"/>
                  <w:noWrap w:val="0"/>
                  <w:vAlign w:val="center"/>
                </w:tcPr>
                <w:p w14:paraId="37C61342">
                  <w:pPr>
                    <w:pStyle w:val="21"/>
                    <w:snapToGrid/>
                    <w:spacing w:before="0" w:after="0" w:line="240" w:lineRule="auto"/>
                    <w:ind w:right="0" w:firstLine="0" w:firstLineChars="0"/>
                    <w:jc w:val="center"/>
                    <w:rPr>
                      <w:color w:val="auto"/>
                      <w:szCs w:val="21"/>
                    </w:rPr>
                  </w:pPr>
                  <w:r>
                    <w:rPr>
                      <w:rFonts w:hint="eastAsia"/>
                      <w:color w:val="auto"/>
                      <w:szCs w:val="21"/>
                    </w:rPr>
                    <w:t>少量烟气（主要为水蒸气，纳入炭化废气）</w:t>
                  </w:r>
                </w:p>
              </w:tc>
            </w:tr>
            <w:tr w14:paraId="6CF1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752" w:type="dxa"/>
                  <w:vMerge w:val="continue"/>
                  <w:noWrap w:val="0"/>
                  <w:vAlign w:val="center"/>
                </w:tcPr>
                <w:p w14:paraId="52F4150D">
                  <w:pPr>
                    <w:pStyle w:val="21"/>
                    <w:snapToGrid/>
                    <w:spacing w:before="0" w:after="0" w:line="240" w:lineRule="auto"/>
                    <w:ind w:right="0" w:firstLine="0" w:firstLineChars="0"/>
                    <w:jc w:val="center"/>
                    <w:rPr>
                      <w:color w:val="000000"/>
                      <w:szCs w:val="21"/>
                    </w:rPr>
                  </w:pPr>
                </w:p>
              </w:tc>
              <w:tc>
                <w:tcPr>
                  <w:tcW w:w="1092" w:type="dxa"/>
                  <w:noWrap w:val="0"/>
                  <w:vAlign w:val="center"/>
                </w:tcPr>
                <w:p w14:paraId="5755D768">
                  <w:pPr>
                    <w:pStyle w:val="21"/>
                    <w:snapToGrid/>
                    <w:spacing w:before="0" w:after="0" w:line="240" w:lineRule="auto"/>
                    <w:ind w:right="0" w:firstLine="0" w:firstLineChars="0"/>
                    <w:jc w:val="center"/>
                    <w:rPr>
                      <w:rFonts w:hint="eastAsia"/>
                      <w:color w:val="auto"/>
                      <w:szCs w:val="21"/>
                    </w:rPr>
                  </w:pPr>
                  <w:r>
                    <w:rPr>
                      <w:rFonts w:hint="eastAsia"/>
                      <w:color w:val="auto"/>
                      <w:szCs w:val="21"/>
                    </w:rPr>
                    <w:t>炭化窑</w:t>
                  </w:r>
                </w:p>
              </w:tc>
              <w:tc>
                <w:tcPr>
                  <w:tcW w:w="1750" w:type="dxa"/>
                  <w:noWrap w:val="0"/>
                  <w:vAlign w:val="center"/>
                </w:tcPr>
                <w:p w14:paraId="59BF1A30">
                  <w:pPr>
                    <w:pStyle w:val="21"/>
                    <w:snapToGrid/>
                    <w:spacing w:before="0" w:after="0" w:line="240" w:lineRule="auto"/>
                    <w:ind w:right="0" w:firstLine="0" w:firstLineChars="0"/>
                    <w:jc w:val="center"/>
                    <w:rPr>
                      <w:rFonts w:hint="eastAsia"/>
                      <w:color w:val="auto"/>
                      <w:szCs w:val="21"/>
                    </w:rPr>
                  </w:pPr>
                  <w:r>
                    <w:rPr>
                      <w:rFonts w:hint="eastAsia"/>
                      <w:color w:val="auto"/>
                      <w:szCs w:val="21"/>
                    </w:rPr>
                    <w:t>炭化</w:t>
                  </w:r>
                </w:p>
              </w:tc>
              <w:tc>
                <w:tcPr>
                  <w:tcW w:w="4604" w:type="dxa"/>
                  <w:noWrap w:val="0"/>
                  <w:vAlign w:val="center"/>
                </w:tcPr>
                <w:p w14:paraId="6D6C6B12">
                  <w:pPr>
                    <w:pStyle w:val="21"/>
                    <w:snapToGrid/>
                    <w:spacing w:before="0" w:after="0" w:line="240" w:lineRule="auto"/>
                    <w:ind w:right="0" w:firstLine="0" w:firstLineChars="0"/>
                    <w:jc w:val="center"/>
                    <w:rPr>
                      <w:color w:val="auto"/>
                      <w:szCs w:val="21"/>
                    </w:rPr>
                  </w:pPr>
                  <w:r>
                    <w:rPr>
                      <w:rFonts w:hint="eastAsia"/>
                      <w:color w:val="auto"/>
                      <w:szCs w:val="21"/>
                    </w:rPr>
                    <w:t>烟气（烟尘SO</w:t>
                  </w:r>
                  <w:r>
                    <w:rPr>
                      <w:rFonts w:hint="eastAsia"/>
                      <w:color w:val="auto"/>
                      <w:szCs w:val="21"/>
                      <w:vertAlign w:val="subscript"/>
                    </w:rPr>
                    <w:t>2</w:t>
                  </w:r>
                  <w:r>
                    <w:rPr>
                      <w:rFonts w:hint="eastAsia"/>
                      <w:color w:val="auto"/>
                      <w:szCs w:val="21"/>
                    </w:rPr>
                    <w:t>、氮氧化物、木焦油、木醋液、木煤气等可燃气体）、非甲烷总烃</w:t>
                  </w:r>
                </w:p>
              </w:tc>
            </w:tr>
            <w:tr w14:paraId="26D5A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752" w:type="dxa"/>
                  <w:vMerge w:val="continue"/>
                  <w:noWrap w:val="0"/>
                  <w:vAlign w:val="center"/>
                </w:tcPr>
                <w:p w14:paraId="1686E7E6">
                  <w:pPr>
                    <w:pStyle w:val="21"/>
                    <w:snapToGrid/>
                    <w:spacing w:before="0" w:after="0" w:line="240" w:lineRule="auto"/>
                    <w:ind w:right="0" w:firstLine="0" w:firstLineChars="0"/>
                    <w:jc w:val="center"/>
                    <w:rPr>
                      <w:color w:val="000000"/>
                      <w:szCs w:val="21"/>
                    </w:rPr>
                  </w:pPr>
                </w:p>
              </w:tc>
              <w:tc>
                <w:tcPr>
                  <w:tcW w:w="1092" w:type="dxa"/>
                  <w:noWrap w:val="0"/>
                  <w:vAlign w:val="center"/>
                </w:tcPr>
                <w:p w14:paraId="0F024CF4">
                  <w:pPr>
                    <w:pStyle w:val="21"/>
                    <w:snapToGrid/>
                    <w:spacing w:before="0" w:after="0" w:line="240" w:lineRule="auto"/>
                    <w:ind w:right="0" w:firstLine="0" w:firstLineChars="0"/>
                    <w:jc w:val="center"/>
                    <w:rPr>
                      <w:color w:val="auto"/>
                      <w:szCs w:val="21"/>
                    </w:rPr>
                  </w:pPr>
                  <w:r>
                    <w:rPr>
                      <w:color w:val="auto"/>
                      <w:szCs w:val="21"/>
                    </w:rPr>
                    <w:t>运输</w:t>
                  </w:r>
                  <w:r>
                    <w:rPr>
                      <w:rFonts w:hint="eastAsia"/>
                      <w:color w:val="auto"/>
                      <w:szCs w:val="21"/>
                    </w:rPr>
                    <w:t>转载</w:t>
                  </w:r>
                  <w:r>
                    <w:rPr>
                      <w:color w:val="auto"/>
                      <w:szCs w:val="21"/>
                    </w:rPr>
                    <w:t>过程</w:t>
                  </w:r>
                </w:p>
              </w:tc>
              <w:tc>
                <w:tcPr>
                  <w:tcW w:w="1750" w:type="dxa"/>
                  <w:noWrap w:val="0"/>
                  <w:vAlign w:val="center"/>
                </w:tcPr>
                <w:p w14:paraId="68CFAE01">
                  <w:pPr>
                    <w:pStyle w:val="21"/>
                    <w:snapToGrid/>
                    <w:spacing w:before="0" w:after="0" w:line="240" w:lineRule="auto"/>
                    <w:ind w:right="0" w:firstLine="0" w:firstLineChars="0"/>
                    <w:jc w:val="center"/>
                    <w:rPr>
                      <w:color w:val="auto"/>
                      <w:szCs w:val="21"/>
                    </w:rPr>
                  </w:pPr>
                  <w:r>
                    <w:rPr>
                      <w:color w:val="auto"/>
                      <w:szCs w:val="21"/>
                      <w:lang w:val="pt-BR"/>
                    </w:rPr>
                    <w:t>汽车运输</w:t>
                  </w:r>
                  <w:r>
                    <w:rPr>
                      <w:rFonts w:hint="eastAsia"/>
                      <w:color w:val="auto"/>
                      <w:szCs w:val="21"/>
                      <w:lang w:val="pt-BR"/>
                    </w:rPr>
                    <w:t>、</w:t>
                  </w:r>
                  <w:r>
                    <w:rPr>
                      <w:rFonts w:hint="eastAsia"/>
                      <w:color w:val="auto"/>
                      <w:szCs w:val="21"/>
                    </w:rPr>
                    <w:t>装载机转载</w:t>
                  </w:r>
                </w:p>
              </w:tc>
              <w:tc>
                <w:tcPr>
                  <w:tcW w:w="4604" w:type="dxa"/>
                  <w:noWrap w:val="0"/>
                  <w:vAlign w:val="center"/>
                </w:tcPr>
                <w:p w14:paraId="2A9C4C69">
                  <w:pPr>
                    <w:pStyle w:val="21"/>
                    <w:snapToGrid/>
                    <w:spacing w:before="0" w:after="0" w:line="240" w:lineRule="auto"/>
                    <w:ind w:right="0" w:firstLine="0" w:firstLineChars="0"/>
                    <w:jc w:val="center"/>
                    <w:rPr>
                      <w:color w:val="auto"/>
                      <w:szCs w:val="21"/>
                    </w:rPr>
                  </w:pPr>
                  <w:r>
                    <w:rPr>
                      <w:color w:val="auto"/>
                      <w:szCs w:val="21"/>
                    </w:rPr>
                    <w:t>汽车尾气（CO、HC化合物、NOx）</w:t>
                  </w:r>
                </w:p>
              </w:tc>
            </w:tr>
            <w:tr w14:paraId="7201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52" w:type="dxa"/>
                  <w:noWrap w:val="0"/>
                  <w:vAlign w:val="center"/>
                </w:tcPr>
                <w:p w14:paraId="1F4161EB">
                  <w:pPr>
                    <w:jc w:val="center"/>
                    <w:rPr>
                      <w:color w:val="000000"/>
                      <w:szCs w:val="21"/>
                    </w:rPr>
                  </w:pPr>
                  <w:r>
                    <w:rPr>
                      <w:rFonts w:hint="eastAsia" w:ascii="宋体" w:hAnsi="宋体"/>
                      <w:bCs/>
                      <w:szCs w:val="21"/>
                    </w:rPr>
                    <w:t>废水</w:t>
                  </w:r>
                </w:p>
              </w:tc>
              <w:tc>
                <w:tcPr>
                  <w:tcW w:w="1092" w:type="dxa"/>
                  <w:noWrap w:val="0"/>
                  <w:vAlign w:val="center"/>
                </w:tcPr>
                <w:p w14:paraId="02D1F94E">
                  <w:pPr>
                    <w:jc w:val="center"/>
                    <w:rPr>
                      <w:color w:val="000000"/>
                      <w:szCs w:val="21"/>
                    </w:rPr>
                  </w:pPr>
                  <w:r>
                    <w:rPr>
                      <w:rFonts w:hint="eastAsia" w:ascii="宋体" w:hAnsi="宋体"/>
                      <w:bCs/>
                      <w:szCs w:val="21"/>
                    </w:rPr>
                    <w:t>生活污水</w:t>
                  </w:r>
                </w:p>
              </w:tc>
              <w:tc>
                <w:tcPr>
                  <w:tcW w:w="1750" w:type="dxa"/>
                  <w:noWrap w:val="0"/>
                  <w:vAlign w:val="center"/>
                </w:tcPr>
                <w:p w14:paraId="115435CB">
                  <w:pPr>
                    <w:jc w:val="center"/>
                    <w:rPr>
                      <w:color w:val="000000"/>
                      <w:szCs w:val="21"/>
                    </w:rPr>
                  </w:pPr>
                  <w:r>
                    <w:rPr>
                      <w:bCs/>
                      <w:szCs w:val="21"/>
                    </w:rPr>
                    <w:t>职工生活、食堂</w:t>
                  </w:r>
                </w:p>
              </w:tc>
              <w:tc>
                <w:tcPr>
                  <w:tcW w:w="4604" w:type="dxa"/>
                  <w:noWrap w:val="0"/>
                  <w:vAlign w:val="center"/>
                </w:tcPr>
                <w:p w14:paraId="284A5367">
                  <w:pPr>
                    <w:jc w:val="center"/>
                    <w:rPr>
                      <w:color w:val="000000"/>
                      <w:szCs w:val="21"/>
                    </w:rPr>
                  </w:pPr>
                  <w:r>
                    <w:rPr>
                      <w:rFonts w:hint="eastAsia"/>
                      <w:bCs/>
                      <w:szCs w:val="21"/>
                    </w:rPr>
                    <w:t>pH</w:t>
                  </w:r>
                  <w:r>
                    <w:rPr>
                      <w:rFonts w:hint="eastAsia"/>
                      <w:bCs/>
                      <w:szCs w:val="21"/>
                      <w:lang w:val="pt-BR"/>
                    </w:rPr>
                    <w:t>、</w:t>
                  </w:r>
                  <w:r>
                    <w:rPr>
                      <w:bCs/>
                      <w:szCs w:val="21"/>
                      <w:lang w:val="pt-BR"/>
                    </w:rPr>
                    <w:t>BOD</w:t>
                  </w:r>
                  <w:r>
                    <w:rPr>
                      <w:bCs/>
                      <w:szCs w:val="21"/>
                      <w:vertAlign w:val="subscript"/>
                      <w:lang w:val="pt-BR"/>
                    </w:rPr>
                    <w:t>5</w:t>
                  </w:r>
                  <w:r>
                    <w:rPr>
                      <w:bCs/>
                      <w:szCs w:val="21"/>
                    </w:rPr>
                    <w:t>、</w:t>
                  </w:r>
                  <w:r>
                    <w:rPr>
                      <w:bCs/>
                      <w:szCs w:val="21"/>
                      <w:lang w:val="pt-BR"/>
                    </w:rPr>
                    <w:t>COD</w:t>
                  </w:r>
                  <w:r>
                    <w:rPr>
                      <w:bCs/>
                      <w:szCs w:val="21"/>
                      <w:vertAlign w:val="subscript"/>
                      <w:lang w:val="pt-BR"/>
                    </w:rPr>
                    <w:t>Cr</w:t>
                  </w:r>
                  <w:r>
                    <w:rPr>
                      <w:bCs/>
                      <w:szCs w:val="21"/>
                    </w:rPr>
                    <w:t>、</w:t>
                  </w:r>
                  <w:r>
                    <w:rPr>
                      <w:bCs/>
                      <w:szCs w:val="21"/>
                      <w:lang w:val="pt-BR"/>
                    </w:rPr>
                    <w:t>SS</w:t>
                  </w:r>
                  <w:r>
                    <w:rPr>
                      <w:bCs/>
                      <w:szCs w:val="21"/>
                    </w:rPr>
                    <w:t>、</w:t>
                  </w:r>
                  <w:r>
                    <w:rPr>
                      <w:bCs/>
                      <w:szCs w:val="21"/>
                      <w:lang w:val="pt-BR"/>
                    </w:rPr>
                    <w:t>NH</w:t>
                  </w:r>
                  <w:r>
                    <w:rPr>
                      <w:bCs/>
                      <w:szCs w:val="21"/>
                      <w:vertAlign w:val="subscript"/>
                      <w:lang w:val="pt-BR"/>
                    </w:rPr>
                    <w:t>3</w:t>
                  </w:r>
                  <w:r>
                    <w:rPr>
                      <w:bCs/>
                      <w:szCs w:val="21"/>
                      <w:lang w:val="pt-BR"/>
                    </w:rPr>
                    <w:t>-N</w:t>
                  </w:r>
                  <w:r>
                    <w:rPr>
                      <w:rFonts w:hint="eastAsia"/>
                      <w:bCs/>
                      <w:szCs w:val="21"/>
                      <w:lang w:val="pt-BR"/>
                    </w:rPr>
                    <w:t>、</w:t>
                  </w:r>
                  <w:r>
                    <w:rPr>
                      <w:bCs/>
                      <w:szCs w:val="21"/>
                      <w:lang w:val="pt-BR"/>
                    </w:rPr>
                    <w:t>动植物油、</w:t>
                  </w:r>
                  <w:r>
                    <w:rPr>
                      <w:rFonts w:hint="eastAsia"/>
                      <w:bCs/>
                      <w:szCs w:val="21"/>
                    </w:rPr>
                    <w:t>总磷、总氮等</w:t>
                  </w:r>
                </w:p>
              </w:tc>
            </w:tr>
            <w:tr w14:paraId="3552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52" w:type="dxa"/>
                  <w:vMerge w:val="restart"/>
                  <w:noWrap w:val="0"/>
                  <w:vAlign w:val="center"/>
                </w:tcPr>
                <w:p w14:paraId="06427690">
                  <w:pPr>
                    <w:jc w:val="center"/>
                    <w:rPr>
                      <w:color w:val="000000"/>
                      <w:szCs w:val="21"/>
                    </w:rPr>
                  </w:pPr>
                  <w:r>
                    <w:rPr>
                      <w:rFonts w:hint="eastAsia" w:ascii="宋体" w:hAnsi="宋体"/>
                      <w:bCs/>
                      <w:szCs w:val="21"/>
                    </w:rPr>
                    <w:t>噪声</w:t>
                  </w:r>
                </w:p>
              </w:tc>
              <w:tc>
                <w:tcPr>
                  <w:tcW w:w="1092" w:type="dxa"/>
                  <w:noWrap w:val="0"/>
                  <w:vAlign w:val="center"/>
                </w:tcPr>
                <w:p w14:paraId="7C500344">
                  <w:pPr>
                    <w:jc w:val="center"/>
                    <w:rPr>
                      <w:color w:val="000000"/>
                      <w:szCs w:val="21"/>
                    </w:rPr>
                  </w:pPr>
                  <w:r>
                    <w:rPr>
                      <w:rFonts w:hint="eastAsia" w:ascii="宋体" w:hAnsi="宋体"/>
                      <w:bCs/>
                      <w:szCs w:val="21"/>
                    </w:rPr>
                    <w:t>生产设备</w:t>
                  </w:r>
                </w:p>
              </w:tc>
              <w:tc>
                <w:tcPr>
                  <w:tcW w:w="1750" w:type="dxa"/>
                  <w:noWrap w:val="0"/>
                  <w:vAlign w:val="center"/>
                </w:tcPr>
                <w:p w14:paraId="56E7AC3D">
                  <w:pPr>
                    <w:jc w:val="center"/>
                    <w:rPr>
                      <w:color w:val="000000"/>
                      <w:szCs w:val="21"/>
                    </w:rPr>
                  </w:pPr>
                  <w:r>
                    <w:rPr>
                      <w:bCs/>
                      <w:szCs w:val="21"/>
                    </w:rPr>
                    <w:t>生产过程</w:t>
                  </w:r>
                </w:p>
              </w:tc>
              <w:tc>
                <w:tcPr>
                  <w:tcW w:w="4604" w:type="dxa"/>
                  <w:noWrap w:val="0"/>
                  <w:vAlign w:val="center"/>
                </w:tcPr>
                <w:p w14:paraId="197E740C">
                  <w:pPr>
                    <w:jc w:val="center"/>
                    <w:rPr>
                      <w:color w:val="000000"/>
                      <w:szCs w:val="21"/>
                    </w:rPr>
                  </w:pPr>
                  <w:r>
                    <w:rPr>
                      <w:bCs/>
                      <w:szCs w:val="21"/>
                    </w:rPr>
                    <w:t>机械设备噪声</w:t>
                  </w:r>
                </w:p>
              </w:tc>
            </w:tr>
            <w:tr w14:paraId="6DB6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752" w:type="dxa"/>
                  <w:vMerge w:val="continue"/>
                  <w:noWrap w:val="0"/>
                  <w:vAlign w:val="center"/>
                </w:tcPr>
                <w:p w14:paraId="2C6ED32D">
                  <w:pPr>
                    <w:jc w:val="center"/>
                    <w:rPr>
                      <w:color w:val="000000"/>
                      <w:szCs w:val="21"/>
                    </w:rPr>
                  </w:pPr>
                </w:p>
              </w:tc>
              <w:tc>
                <w:tcPr>
                  <w:tcW w:w="1092" w:type="dxa"/>
                  <w:noWrap w:val="0"/>
                  <w:vAlign w:val="center"/>
                </w:tcPr>
                <w:p w14:paraId="018DE13B">
                  <w:pPr>
                    <w:jc w:val="center"/>
                    <w:rPr>
                      <w:color w:val="000000"/>
                      <w:szCs w:val="21"/>
                    </w:rPr>
                  </w:pPr>
                  <w:r>
                    <w:rPr>
                      <w:rFonts w:hint="eastAsia" w:ascii="宋体" w:hAnsi="宋体"/>
                      <w:bCs/>
                      <w:szCs w:val="21"/>
                    </w:rPr>
                    <w:t>车辆运输</w:t>
                  </w:r>
                </w:p>
              </w:tc>
              <w:tc>
                <w:tcPr>
                  <w:tcW w:w="1750" w:type="dxa"/>
                  <w:noWrap w:val="0"/>
                  <w:vAlign w:val="center"/>
                </w:tcPr>
                <w:p w14:paraId="554D65DD">
                  <w:pPr>
                    <w:jc w:val="center"/>
                    <w:rPr>
                      <w:color w:val="000000"/>
                      <w:szCs w:val="21"/>
                    </w:rPr>
                  </w:pPr>
                  <w:r>
                    <w:rPr>
                      <w:bCs/>
                      <w:szCs w:val="21"/>
                    </w:rPr>
                    <w:t>原料、产品运</w:t>
                  </w:r>
                  <w:r>
                    <w:rPr>
                      <w:rFonts w:hint="eastAsia"/>
                      <w:bCs/>
                      <w:szCs w:val="21"/>
                    </w:rPr>
                    <w:t>转载、运输</w:t>
                  </w:r>
                  <w:r>
                    <w:rPr>
                      <w:bCs/>
                      <w:szCs w:val="21"/>
                    </w:rPr>
                    <w:t>过程</w:t>
                  </w:r>
                </w:p>
              </w:tc>
              <w:tc>
                <w:tcPr>
                  <w:tcW w:w="4604" w:type="dxa"/>
                  <w:noWrap w:val="0"/>
                  <w:vAlign w:val="center"/>
                </w:tcPr>
                <w:p w14:paraId="3FB5FE64">
                  <w:pPr>
                    <w:jc w:val="center"/>
                    <w:rPr>
                      <w:color w:val="000000"/>
                      <w:szCs w:val="21"/>
                    </w:rPr>
                  </w:pPr>
                  <w:r>
                    <w:rPr>
                      <w:bCs/>
                      <w:szCs w:val="21"/>
                    </w:rPr>
                    <w:t>交通噪声</w:t>
                  </w:r>
                </w:p>
              </w:tc>
            </w:tr>
            <w:tr w14:paraId="0CFFF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52" w:type="dxa"/>
                  <w:vMerge w:val="restart"/>
                  <w:noWrap w:val="0"/>
                  <w:vAlign w:val="center"/>
                </w:tcPr>
                <w:p w14:paraId="7D29F2B7">
                  <w:pPr>
                    <w:jc w:val="center"/>
                    <w:rPr>
                      <w:color w:val="000000"/>
                      <w:szCs w:val="21"/>
                    </w:rPr>
                  </w:pPr>
                  <w:r>
                    <w:rPr>
                      <w:rFonts w:hint="eastAsia" w:ascii="宋体" w:hAnsi="宋体"/>
                      <w:bCs/>
                      <w:szCs w:val="21"/>
                    </w:rPr>
                    <w:t>固废</w:t>
                  </w:r>
                </w:p>
              </w:tc>
              <w:tc>
                <w:tcPr>
                  <w:tcW w:w="1092" w:type="dxa"/>
                  <w:vMerge w:val="restart"/>
                  <w:noWrap w:val="0"/>
                  <w:vAlign w:val="center"/>
                </w:tcPr>
                <w:p w14:paraId="01A00092">
                  <w:pPr>
                    <w:pStyle w:val="49"/>
                    <w:spacing w:line="240" w:lineRule="auto"/>
                    <w:rPr>
                      <w:color w:val="000000"/>
                      <w:szCs w:val="21"/>
                    </w:rPr>
                  </w:pPr>
                  <w:r>
                    <w:rPr>
                      <w:rFonts w:hint="eastAsia"/>
                      <w:szCs w:val="21"/>
                    </w:rPr>
                    <w:t>一般工业固废</w:t>
                  </w:r>
                </w:p>
              </w:tc>
              <w:tc>
                <w:tcPr>
                  <w:tcW w:w="1750" w:type="dxa"/>
                  <w:noWrap w:val="0"/>
                  <w:vAlign w:val="center"/>
                </w:tcPr>
                <w:p w14:paraId="325AA568">
                  <w:pPr>
                    <w:pStyle w:val="49"/>
                    <w:spacing w:line="240" w:lineRule="auto"/>
                    <w:rPr>
                      <w:color w:val="000000"/>
                      <w:szCs w:val="21"/>
                    </w:rPr>
                  </w:pPr>
                  <w:r>
                    <w:rPr>
                      <w:rFonts w:hint="eastAsia"/>
                      <w:szCs w:val="21"/>
                    </w:rPr>
                    <w:t>筛分</w:t>
                  </w:r>
                </w:p>
              </w:tc>
              <w:tc>
                <w:tcPr>
                  <w:tcW w:w="4604" w:type="dxa"/>
                  <w:noWrap w:val="0"/>
                  <w:vAlign w:val="center"/>
                </w:tcPr>
                <w:p w14:paraId="379F45FC">
                  <w:pPr>
                    <w:pStyle w:val="49"/>
                    <w:spacing w:line="240" w:lineRule="auto"/>
                    <w:rPr>
                      <w:color w:val="000000"/>
                      <w:szCs w:val="21"/>
                    </w:rPr>
                  </w:pPr>
                  <w:r>
                    <w:rPr>
                      <w:rFonts w:hint="eastAsia"/>
                      <w:szCs w:val="21"/>
                    </w:rPr>
                    <w:t>筛分固废</w:t>
                  </w:r>
                </w:p>
              </w:tc>
            </w:tr>
            <w:tr w14:paraId="3451C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52" w:type="dxa"/>
                  <w:vMerge w:val="continue"/>
                  <w:noWrap w:val="0"/>
                  <w:vAlign w:val="center"/>
                </w:tcPr>
                <w:p w14:paraId="7FF62CDD">
                  <w:pPr>
                    <w:jc w:val="center"/>
                    <w:rPr>
                      <w:color w:val="000000"/>
                      <w:szCs w:val="21"/>
                    </w:rPr>
                  </w:pPr>
                </w:p>
              </w:tc>
              <w:tc>
                <w:tcPr>
                  <w:tcW w:w="1092" w:type="dxa"/>
                  <w:vMerge w:val="continue"/>
                  <w:noWrap w:val="0"/>
                  <w:vAlign w:val="center"/>
                </w:tcPr>
                <w:p w14:paraId="4626D7F7">
                  <w:pPr>
                    <w:pStyle w:val="49"/>
                    <w:spacing w:line="240" w:lineRule="auto"/>
                    <w:ind w:firstLine="210" w:firstLineChars="100"/>
                    <w:rPr>
                      <w:color w:val="000000"/>
                      <w:szCs w:val="21"/>
                    </w:rPr>
                  </w:pPr>
                </w:p>
              </w:tc>
              <w:tc>
                <w:tcPr>
                  <w:tcW w:w="1750" w:type="dxa"/>
                  <w:noWrap w:val="0"/>
                  <w:vAlign w:val="center"/>
                </w:tcPr>
                <w:p w14:paraId="3795E97E">
                  <w:pPr>
                    <w:pStyle w:val="49"/>
                    <w:spacing w:line="240" w:lineRule="auto"/>
                    <w:ind w:firstLine="210" w:firstLineChars="100"/>
                    <w:rPr>
                      <w:color w:val="000000"/>
                      <w:szCs w:val="21"/>
                    </w:rPr>
                  </w:pPr>
                  <w:r>
                    <w:rPr>
                      <w:rFonts w:hint="eastAsia"/>
                      <w:szCs w:val="21"/>
                    </w:rPr>
                    <w:t>热风炉</w:t>
                  </w:r>
                </w:p>
              </w:tc>
              <w:tc>
                <w:tcPr>
                  <w:tcW w:w="4604" w:type="dxa"/>
                  <w:noWrap w:val="0"/>
                  <w:vAlign w:val="center"/>
                </w:tcPr>
                <w:p w14:paraId="1E431BDA">
                  <w:pPr>
                    <w:pStyle w:val="49"/>
                    <w:spacing w:line="240" w:lineRule="auto"/>
                    <w:rPr>
                      <w:color w:val="000000"/>
                      <w:szCs w:val="21"/>
                    </w:rPr>
                  </w:pPr>
                  <w:r>
                    <w:rPr>
                      <w:rFonts w:hint="eastAsia"/>
                      <w:szCs w:val="21"/>
                    </w:rPr>
                    <w:t>炉渣</w:t>
                  </w:r>
                </w:p>
              </w:tc>
            </w:tr>
            <w:tr w14:paraId="455F8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52" w:type="dxa"/>
                  <w:vMerge w:val="continue"/>
                  <w:noWrap w:val="0"/>
                  <w:vAlign w:val="center"/>
                </w:tcPr>
                <w:p w14:paraId="76E757AE">
                  <w:pPr>
                    <w:jc w:val="center"/>
                    <w:rPr>
                      <w:color w:val="000000"/>
                      <w:szCs w:val="21"/>
                    </w:rPr>
                  </w:pPr>
                </w:p>
              </w:tc>
              <w:tc>
                <w:tcPr>
                  <w:tcW w:w="1092" w:type="dxa"/>
                  <w:vMerge w:val="continue"/>
                  <w:noWrap w:val="0"/>
                  <w:vAlign w:val="center"/>
                </w:tcPr>
                <w:p w14:paraId="624E991B">
                  <w:pPr>
                    <w:pStyle w:val="49"/>
                    <w:spacing w:line="240" w:lineRule="auto"/>
                    <w:rPr>
                      <w:color w:val="000000"/>
                      <w:szCs w:val="21"/>
                    </w:rPr>
                  </w:pPr>
                </w:p>
              </w:tc>
              <w:tc>
                <w:tcPr>
                  <w:tcW w:w="1750" w:type="dxa"/>
                  <w:noWrap w:val="0"/>
                  <w:vAlign w:val="center"/>
                </w:tcPr>
                <w:p w14:paraId="538A289A">
                  <w:pPr>
                    <w:pStyle w:val="49"/>
                    <w:spacing w:line="240" w:lineRule="auto"/>
                    <w:rPr>
                      <w:color w:val="000000"/>
                      <w:szCs w:val="21"/>
                    </w:rPr>
                  </w:pPr>
                  <w:r>
                    <w:rPr>
                      <w:rFonts w:hint="eastAsia"/>
                      <w:szCs w:val="21"/>
                    </w:rPr>
                    <w:t>制棒、炭化</w:t>
                  </w:r>
                </w:p>
              </w:tc>
              <w:tc>
                <w:tcPr>
                  <w:tcW w:w="4604" w:type="dxa"/>
                  <w:noWrap w:val="0"/>
                  <w:vAlign w:val="center"/>
                </w:tcPr>
                <w:p w14:paraId="632B4E3A">
                  <w:pPr>
                    <w:pStyle w:val="49"/>
                    <w:spacing w:line="240" w:lineRule="auto"/>
                    <w:rPr>
                      <w:rFonts w:hint="eastAsia"/>
                      <w:color w:val="000000"/>
                      <w:szCs w:val="21"/>
                    </w:rPr>
                  </w:pPr>
                  <w:r>
                    <w:rPr>
                      <w:rFonts w:hint="eastAsia"/>
                      <w:szCs w:val="21"/>
                    </w:rPr>
                    <w:t>不合格产品</w:t>
                  </w:r>
                </w:p>
              </w:tc>
            </w:tr>
            <w:tr w14:paraId="049DD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52" w:type="dxa"/>
                  <w:vMerge w:val="continue"/>
                  <w:noWrap w:val="0"/>
                  <w:vAlign w:val="center"/>
                </w:tcPr>
                <w:p w14:paraId="03D10A54">
                  <w:pPr>
                    <w:widowControl/>
                    <w:jc w:val="center"/>
                    <w:rPr>
                      <w:color w:val="000000"/>
                      <w:szCs w:val="21"/>
                    </w:rPr>
                  </w:pPr>
                </w:p>
              </w:tc>
              <w:tc>
                <w:tcPr>
                  <w:tcW w:w="1092" w:type="dxa"/>
                  <w:vMerge w:val="restart"/>
                  <w:noWrap w:val="0"/>
                  <w:vAlign w:val="center"/>
                </w:tcPr>
                <w:p w14:paraId="1B79B937">
                  <w:pPr>
                    <w:pStyle w:val="49"/>
                    <w:spacing w:line="240" w:lineRule="auto"/>
                    <w:rPr>
                      <w:color w:val="000000"/>
                      <w:szCs w:val="21"/>
                    </w:rPr>
                  </w:pPr>
                  <w:r>
                    <w:rPr>
                      <w:rFonts w:hint="eastAsia"/>
                      <w:szCs w:val="21"/>
                    </w:rPr>
                    <w:t>生活固废</w:t>
                  </w:r>
                </w:p>
              </w:tc>
              <w:tc>
                <w:tcPr>
                  <w:tcW w:w="1750" w:type="dxa"/>
                  <w:noWrap w:val="0"/>
                  <w:vAlign w:val="center"/>
                </w:tcPr>
                <w:p w14:paraId="42EA0105">
                  <w:pPr>
                    <w:pStyle w:val="49"/>
                    <w:spacing w:line="240" w:lineRule="auto"/>
                    <w:rPr>
                      <w:color w:val="000000"/>
                      <w:szCs w:val="21"/>
                    </w:rPr>
                  </w:pPr>
                  <w:r>
                    <w:rPr>
                      <w:rFonts w:hint="eastAsia"/>
                      <w:szCs w:val="21"/>
                    </w:rPr>
                    <w:t>办公生活</w:t>
                  </w:r>
                </w:p>
              </w:tc>
              <w:tc>
                <w:tcPr>
                  <w:tcW w:w="4604" w:type="dxa"/>
                  <w:noWrap w:val="0"/>
                  <w:vAlign w:val="center"/>
                </w:tcPr>
                <w:p w14:paraId="65DA2121">
                  <w:pPr>
                    <w:pStyle w:val="49"/>
                    <w:spacing w:line="240" w:lineRule="auto"/>
                    <w:rPr>
                      <w:color w:val="000000"/>
                      <w:szCs w:val="21"/>
                    </w:rPr>
                  </w:pPr>
                  <w:r>
                    <w:rPr>
                      <w:rFonts w:hint="eastAsia"/>
                      <w:szCs w:val="21"/>
                    </w:rPr>
                    <w:t>生活垃圾、泔水</w:t>
                  </w:r>
                </w:p>
              </w:tc>
            </w:tr>
            <w:tr w14:paraId="26F48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52" w:type="dxa"/>
                  <w:vMerge w:val="continue"/>
                  <w:noWrap w:val="0"/>
                  <w:vAlign w:val="center"/>
                </w:tcPr>
                <w:p w14:paraId="1A7B385F">
                  <w:pPr>
                    <w:widowControl/>
                    <w:jc w:val="center"/>
                    <w:rPr>
                      <w:color w:val="000000"/>
                      <w:szCs w:val="21"/>
                    </w:rPr>
                  </w:pPr>
                </w:p>
              </w:tc>
              <w:tc>
                <w:tcPr>
                  <w:tcW w:w="1092" w:type="dxa"/>
                  <w:vMerge w:val="continue"/>
                  <w:noWrap w:val="0"/>
                  <w:vAlign w:val="center"/>
                </w:tcPr>
                <w:p w14:paraId="15F251E6">
                  <w:pPr>
                    <w:pStyle w:val="49"/>
                    <w:spacing w:line="240" w:lineRule="auto"/>
                    <w:rPr>
                      <w:color w:val="000000"/>
                      <w:szCs w:val="21"/>
                    </w:rPr>
                  </w:pPr>
                </w:p>
              </w:tc>
              <w:tc>
                <w:tcPr>
                  <w:tcW w:w="1750" w:type="dxa"/>
                  <w:noWrap w:val="0"/>
                  <w:vAlign w:val="center"/>
                </w:tcPr>
                <w:p w14:paraId="4CCB97FB">
                  <w:pPr>
                    <w:pStyle w:val="49"/>
                    <w:spacing w:line="240" w:lineRule="auto"/>
                    <w:rPr>
                      <w:color w:val="000000"/>
                      <w:szCs w:val="21"/>
                    </w:rPr>
                  </w:pPr>
                  <w:r>
                    <w:rPr>
                      <w:rFonts w:hint="eastAsia"/>
                      <w:szCs w:val="21"/>
                    </w:rPr>
                    <w:t>三级化粪池</w:t>
                  </w:r>
                </w:p>
              </w:tc>
              <w:tc>
                <w:tcPr>
                  <w:tcW w:w="4604" w:type="dxa"/>
                  <w:noWrap w:val="0"/>
                  <w:vAlign w:val="center"/>
                </w:tcPr>
                <w:p w14:paraId="6BEF68AD">
                  <w:pPr>
                    <w:pStyle w:val="49"/>
                    <w:spacing w:line="240" w:lineRule="auto"/>
                    <w:rPr>
                      <w:color w:val="000000"/>
                      <w:szCs w:val="21"/>
                    </w:rPr>
                  </w:pPr>
                  <w:r>
                    <w:rPr>
                      <w:rFonts w:hint="eastAsia"/>
                      <w:szCs w:val="21"/>
                    </w:rPr>
                    <w:t>污泥</w:t>
                  </w:r>
                </w:p>
              </w:tc>
            </w:tr>
            <w:tr w14:paraId="7926B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52" w:type="dxa"/>
                  <w:vMerge w:val="continue"/>
                  <w:noWrap w:val="0"/>
                  <w:vAlign w:val="center"/>
                </w:tcPr>
                <w:p w14:paraId="1A19E1DB">
                  <w:pPr>
                    <w:widowControl/>
                    <w:jc w:val="center"/>
                    <w:rPr>
                      <w:color w:val="000000"/>
                      <w:szCs w:val="21"/>
                    </w:rPr>
                  </w:pPr>
                </w:p>
              </w:tc>
              <w:tc>
                <w:tcPr>
                  <w:tcW w:w="1092" w:type="dxa"/>
                  <w:noWrap w:val="0"/>
                  <w:vAlign w:val="center"/>
                </w:tcPr>
                <w:p w14:paraId="046E9254">
                  <w:pPr>
                    <w:pStyle w:val="49"/>
                    <w:spacing w:line="240" w:lineRule="auto"/>
                    <w:rPr>
                      <w:color w:val="000000"/>
                      <w:szCs w:val="21"/>
                    </w:rPr>
                  </w:pPr>
                  <w:r>
                    <w:rPr>
                      <w:rFonts w:hint="eastAsia"/>
                      <w:szCs w:val="21"/>
                    </w:rPr>
                    <w:t>危险废物</w:t>
                  </w:r>
                </w:p>
              </w:tc>
              <w:tc>
                <w:tcPr>
                  <w:tcW w:w="1750" w:type="dxa"/>
                  <w:noWrap w:val="0"/>
                  <w:vAlign w:val="center"/>
                </w:tcPr>
                <w:p w14:paraId="1272E129">
                  <w:pPr>
                    <w:pStyle w:val="49"/>
                    <w:spacing w:line="240" w:lineRule="auto"/>
                    <w:rPr>
                      <w:color w:val="000000"/>
                      <w:szCs w:val="21"/>
                    </w:rPr>
                  </w:pPr>
                  <w:r>
                    <w:rPr>
                      <w:rFonts w:hint="eastAsia"/>
                      <w:szCs w:val="21"/>
                    </w:rPr>
                    <w:t>设备维修保养</w:t>
                  </w:r>
                </w:p>
              </w:tc>
              <w:tc>
                <w:tcPr>
                  <w:tcW w:w="4604" w:type="dxa"/>
                  <w:noWrap w:val="0"/>
                  <w:vAlign w:val="center"/>
                </w:tcPr>
                <w:p w14:paraId="38FE32B3">
                  <w:pPr>
                    <w:pStyle w:val="49"/>
                    <w:spacing w:line="240" w:lineRule="auto"/>
                    <w:rPr>
                      <w:color w:val="000000"/>
                      <w:szCs w:val="21"/>
                    </w:rPr>
                  </w:pPr>
                  <w:r>
                    <w:rPr>
                      <w:rFonts w:hint="eastAsia"/>
                      <w:szCs w:val="21"/>
                    </w:rPr>
                    <w:t>废机油、废抹布</w:t>
                  </w:r>
                </w:p>
              </w:tc>
            </w:tr>
          </w:tbl>
          <w:p w14:paraId="30D86CE2">
            <w:pPr>
              <w:rPr>
                <w:rFonts w:hint="eastAsia"/>
              </w:rPr>
            </w:pPr>
          </w:p>
          <w:p w14:paraId="256C4E12">
            <w:pPr>
              <w:numPr>
                <w:ilvl w:val="0"/>
                <w:numId w:val="0"/>
              </w:numPr>
              <w:spacing w:line="360" w:lineRule="auto"/>
              <w:ind w:left="0" w:leftChars="0" w:firstLine="482" w:firstLineChars="200"/>
              <w:rPr>
                <w:rFonts w:hint="eastAsia"/>
                <w:b/>
                <w:bCs/>
                <w:sz w:val="24"/>
              </w:rPr>
            </w:pPr>
            <w:r>
              <w:rPr>
                <w:rFonts w:hint="eastAsia" w:ascii="Times New Roman" w:hAnsi="Times New Roman" w:eastAsia="宋体" w:cs="Times New Roman"/>
                <w:b/>
                <w:bCs/>
                <w:kern w:val="2"/>
                <w:sz w:val="24"/>
                <w:szCs w:val="24"/>
                <w:lang w:val="en-US" w:eastAsia="zh-CN" w:bidi="ar-SA"/>
              </w:rPr>
              <w:t>2、</w:t>
            </w:r>
            <w:r>
              <w:rPr>
                <w:rFonts w:hint="eastAsia"/>
                <w:b/>
                <w:bCs/>
                <w:sz w:val="24"/>
              </w:rPr>
              <w:t>废气影响分析</w:t>
            </w:r>
          </w:p>
          <w:p w14:paraId="1DAF0EF2">
            <w:pPr>
              <w:numPr>
                <w:ilvl w:val="0"/>
                <w:numId w:val="0"/>
              </w:numPr>
              <w:spacing w:line="360" w:lineRule="auto"/>
              <w:ind w:leftChars="200"/>
              <w:rPr>
                <w:rFonts w:hint="eastAsia"/>
                <w:b/>
                <w:bCs/>
                <w:sz w:val="24"/>
              </w:rPr>
            </w:pPr>
            <w:r>
              <w:rPr>
                <w:rFonts w:hint="eastAsia"/>
                <w:b/>
                <w:bCs/>
                <w:sz w:val="24"/>
              </w:rPr>
              <w:t>（1）废气产排情况</w:t>
            </w:r>
          </w:p>
          <w:p w14:paraId="4AF6A06F">
            <w:pPr>
              <w:widowControl/>
              <w:spacing w:line="360" w:lineRule="auto"/>
              <w:ind w:firstLine="480" w:firstLineChars="200"/>
              <w:jc w:val="left"/>
              <w:rPr>
                <w:rFonts w:hint="default" w:ascii="Times New Roman" w:hAnsi="Times New Roman" w:cs="Times New Roman"/>
                <w:sz w:val="24"/>
              </w:rPr>
            </w:pPr>
            <w:r>
              <w:rPr>
                <w:rFonts w:hint="eastAsia"/>
                <w:color w:val="000000"/>
                <w:sz w:val="24"/>
                <w:shd w:val="clear" w:color="auto" w:fill="FFFFFF"/>
              </w:rPr>
              <w:t>本项</w:t>
            </w:r>
            <w:r>
              <w:rPr>
                <w:rFonts w:hint="eastAsia"/>
                <w:color w:val="auto"/>
                <w:sz w:val="24"/>
                <w:shd w:val="clear" w:color="auto" w:fill="FFFFFF"/>
              </w:rPr>
              <w:t>目运营期废气包括原料</w:t>
            </w:r>
            <w:r>
              <w:rPr>
                <w:rFonts w:hint="eastAsia"/>
                <w:color w:val="auto"/>
                <w:sz w:val="24"/>
                <w:shd w:val="clear" w:color="auto" w:fill="FFFFFF"/>
                <w:lang w:eastAsia="zh-CN"/>
              </w:rPr>
              <w:t>筛分、</w:t>
            </w:r>
            <w:r>
              <w:rPr>
                <w:rFonts w:hint="eastAsia"/>
                <w:color w:val="auto"/>
                <w:sz w:val="24"/>
                <w:shd w:val="clear" w:color="auto" w:fill="FFFFFF"/>
                <w:lang w:val="en-US" w:eastAsia="zh-CN"/>
              </w:rPr>
              <w:t>粉碎</w:t>
            </w:r>
            <w:r>
              <w:rPr>
                <w:rFonts w:hint="eastAsia"/>
                <w:color w:val="auto"/>
                <w:sz w:val="24"/>
                <w:shd w:val="clear" w:color="auto" w:fill="FFFFFF"/>
              </w:rPr>
              <w:t>、</w:t>
            </w:r>
            <w:r>
              <w:rPr>
                <w:rFonts w:hint="eastAsia"/>
                <w:color w:val="auto"/>
                <w:sz w:val="24"/>
              </w:rPr>
              <w:t>物料上料、转运、输送、暂存等环节粉尘，</w:t>
            </w:r>
            <w:r>
              <w:rPr>
                <w:rFonts w:hint="eastAsia"/>
                <w:color w:val="auto"/>
                <w:sz w:val="24"/>
                <w:shd w:val="clear" w:color="auto" w:fill="FFFFFF"/>
              </w:rPr>
              <w:t>热风炉燃烧烘干废气、</w:t>
            </w:r>
            <w:r>
              <w:rPr>
                <w:rFonts w:hint="eastAsia"/>
                <w:color w:val="auto"/>
                <w:sz w:val="24"/>
                <w:shd w:val="clear" w:color="auto" w:fill="FFFFFF"/>
                <w:lang w:val="en-US" w:eastAsia="zh-CN"/>
              </w:rPr>
              <w:t>制棒废气、</w:t>
            </w:r>
            <w:r>
              <w:rPr>
                <w:rFonts w:hint="eastAsia"/>
                <w:color w:val="auto"/>
                <w:sz w:val="24"/>
                <w:shd w:val="clear" w:color="auto" w:fill="FFFFFF"/>
              </w:rPr>
              <w:t>炭化过程产生的烟气，运输车辆尾气等，项目废气污染源源强核算结果及相关参数</w:t>
            </w:r>
            <w:r>
              <w:rPr>
                <w:rFonts w:hint="eastAsia"/>
                <w:color w:val="000000"/>
                <w:sz w:val="24"/>
                <w:shd w:val="clear" w:color="auto" w:fill="FFFFFF"/>
              </w:rPr>
              <w:t>一览表见表4-2。</w:t>
            </w:r>
          </w:p>
        </w:tc>
      </w:tr>
    </w:tbl>
    <w:p w14:paraId="79713B9F">
      <w:pPr>
        <w:pStyle w:val="20"/>
        <w:spacing w:before="0" w:beforeAutospacing="0" w:after="0" w:afterAutospacing="0"/>
        <w:jc w:val="both"/>
        <w:outlineLvl w:val="0"/>
        <w:rPr>
          <w:rFonts w:hint="eastAsia" w:ascii="宋体" w:hAnsi="宋体" w:eastAsia="宋体" w:cs="宋体"/>
          <w:b/>
          <w:bCs/>
          <w:snapToGrid w:val="0"/>
          <w:sz w:val="24"/>
          <w:szCs w:val="24"/>
          <w:vertAlign w:val="baseline"/>
          <w:lang w:eastAsia="zh-CN"/>
        </w:rPr>
        <w:sectPr>
          <w:pgSz w:w="11906" w:h="16838"/>
          <w:pgMar w:top="1440" w:right="1800" w:bottom="1440" w:left="1800" w:header="851" w:footer="992" w:gutter="0"/>
          <w:pgNumType w:fmt="decimal"/>
          <w:cols w:space="425" w:num="1"/>
          <w:docGrid w:type="lines" w:linePitch="312" w:charSpace="0"/>
        </w:sectPr>
      </w:pPr>
    </w:p>
    <w:p w14:paraId="4492E90F">
      <w:pPr>
        <w:jc w:val="center"/>
        <w:rPr>
          <w:rFonts w:hint="eastAsia" w:ascii="黑体" w:hAnsi="黑体" w:eastAsia="黑体"/>
          <w:snapToGrid w:val="0"/>
          <w:sz w:val="30"/>
          <w:szCs w:val="30"/>
          <w:highlight w:val="none"/>
        </w:rPr>
      </w:pPr>
      <w:r>
        <w:rPr>
          <w:b/>
          <w:bCs/>
          <w:color w:val="auto"/>
          <w:sz w:val="24"/>
          <w:highlight w:val="none"/>
        </w:rPr>
        <w:t>表4-</w:t>
      </w:r>
      <w:r>
        <w:rPr>
          <w:rFonts w:hint="eastAsia"/>
          <w:b/>
          <w:bCs/>
          <w:color w:val="auto"/>
          <w:sz w:val="24"/>
          <w:highlight w:val="none"/>
        </w:rPr>
        <w:t>2</w:t>
      </w:r>
      <w:r>
        <w:rPr>
          <w:b/>
          <w:bCs/>
          <w:color w:val="auto"/>
          <w:sz w:val="24"/>
          <w:highlight w:val="none"/>
        </w:rPr>
        <w:t>废气污染源源强核算结果及相关参数一览表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3717"/>
      </w:tblGrid>
      <w:tr w14:paraId="7F36F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dxa"/>
            <w:vAlign w:val="center"/>
          </w:tcPr>
          <w:p w14:paraId="28821E73">
            <w:pPr>
              <w:adjustRightInd w:val="0"/>
              <w:snapToGrid w:val="0"/>
              <w:jc w:val="center"/>
              <w:rPr>
                <w:rFonts w:hint="eastAsia" w:ascii="宋体" w:hAnsi="宋体" w:cs="宋体"/>
                <w:b/>
                <w:color w:val="auto"/>
                <w:sz w:val="24"/>
                <w:highlight w:val="none"/>
              </w:rPr>
            </w:pPr>
            <w:r>
              <w:rPr>
                <w:rFonts w:hint="eastAsia" w:ascii="宋体" w:hAnsi="宋体" w:cs="宋体"/>
                <w:b/>
                <w:color w:val="auto"/>
                <w:sz w:val="24"/>
                <w:highlight w:val="none"/>
              </w:rPr>
              <w:t>运营</w:t>
            </w:r>
          </w:p>
          <w:p w14:paraId="4F38DA94">
            <w:pPr>
              <w:adjustRightInd w:val="0"/>
              <w:snapToGrid w:val="0"/>
              <w:jc w:val="center"/>
              <w:rPr>
                <w:rFonts w:hint="eastAsia" w:ascii="宋体" w:hAnsi="宋体" w:cs="宋体"/>
                <w:b/>
                <w:color w:val="auto"/>
                <w:sz w:val="24"/>
                <w:highlight w:val="none"/>
              </w:rPr>
            </w:pPr>
            <w:r>
              <w:rPr>
                <w:rFonts w:hint="eastAsia" w:ascii="宋体" w:hAnsi="宋体" w:cs="宋体"/>
                <w:b/>
                <w:color w:val="auto"/>
                <w:sz w:val="24"/>
                <w:highlight w:val="none"/>
              </w:rPr>
              <w:t>期环</w:t>
            </w:r>
          </w:p>
          <w:p w14:paraId="196520B1">
            <w:pPr>
              <w:adjustRightInd w:val="0"/>
              <w:snapToGrid w:val="0"/>
              <w:jc w:val="center"/>
              <w:rPr>
                <w:rFonts w:hint="eastAsia" w:ascii="宋体" w:hAnsi="宋体" w:cs="宋体"/>
                <w:b/>
                <w:color w:val="auto"/>
                <w:sz w:val="24"/>
                <w:highlight w:val="none"/>
              </w:rPr>
            </w:pPr>
            <w:r>
              <w:rPr>
                <w:rFonts w:hint="eastAsia" w:ascii="宋体" w:hAnsi="宋体" w:cs="宋体"/>
                <w:b/>
                <w:color w:val="auto"/>
                <w:sz w:val="24"/>
                <w:highlight w:val="none"/>
              </w:rPr>
              <w:t>境影</w:t>
            </w:r>
          </w:p>
          <w:p w14:paraId="23EAE6EF">
            <w:pPr>
              <w:adjustRightInd w:val="0"/>
              <w:snapToGrid w:val="0"/>
              <w:jc w:val="center"/>
              <w:rPr>
                <w:rFonts w:hint="eastAsia" w:ascii="宋体" w:hAnsi="宋体" w:cs="宋体"/>
                <w:b/>
                <w:color w:val="auto"/>
                <w:sz w:val="24"/>
                <w:highlight w:val="none"/>
              </w:rPr>
            </w:pPr>
            <w:r>
              <w:rPr>
                <w:rFonts w:hint="eastAsia" w:ascii="宋体" w:hAnsi="宋体" w:cs="宋体"/>
                <w:b/>
                <w:color w:val="auto"/>
                <w:sz w:val="24"/>
                <w:highlight w:val="none"/>
              </w:rPr>
              <w:t>响和</w:t>
            </w:r>
          </w:p>
          <w:p w14:paraId="1F272449">
            <w:pPr>
              <w:adjustRightInd w:val="0"/>
              <w:snapToGrid w:val="0"/>
              <w:jc w:val="center"/>
              <w:rPr>
                <w:rFonts w:hint="eastAsia" w:ascii="宋体" w:hAnsi="宋体" w:cs="宋体"/>
                <w:b/>
                <w:color w:val="auto"/>
                <w:sz w:val="24"/>
                <w:highlight w:val="none"/>
              </w:rPr>
            </w:pPr>
            <w:r>
              <w:rPr>
                <w:rFonts w:hint="eastAsia" w:ascii="宋体" w:hAnsi="宋体" w:cs="宋体"/>
                <w:b/>
                <w:color w:val="auto"/>
                <w:sz w:val="24"/>
                <w:highlight w:val="none"/>
              </w:rPr>
              <w:t>保护</w:t>
            </w:r>
          </w:p>
          <w:p w14:paraId="72DCCC81">
            <w:pPr>
              <w:pStyle w:val="20"/>
              <w:numPr>
                <w:ilvl w:val="0"/>
                <w:numId w:val="0"/>
              </w:numPr>
              <w:spacing w:before="0" w:beforeAutospacing="0" w:after="0" w:afterAutospacing="0"/>
              <w:jc w:val="center"/>
              <w:outlineLvl w:val="0"/>
              <w:rPr>
                <w:rFonts w:hint="eastAsia" w:ascii="黑体" w:hAnsi="黑体" w:eastAsia="黑体"/>
                <w:snapToGrid w:val="0"/>
                <w:sz w:val="30"/>
                <w:szCs w:val="30"/>
                <w:highlight w:val="none"/>
                <w:vertAlign w:val="baseline"/>
              </w:rPr>
            </w:pPr>
            <w:r>
              <w:rPr>
                <w:rFonts w:hint="eastAsia" w:hAnsi="宋体" w:cs="宋体"/>
                <w:b/>
                <w:color w:val="auto"/>
                <w:sz w:val="24"/>
                <w:szCs w:val="24"/>
                <w:highlight w:val="none"/>
              </w:rPr>
              <w:t>措施</w:t>
            </w:r>
          </w:p>
        </w:tc>
        <w:tc>
          <w:tcPr>
            <w:tcW w:w="13730" w:type="dxa"/>
          </w:tcPr>
          <w:tbl>
            <w:tblPr>
              <w:tblStyle w:val="23"/>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9"/>
              <w:gridCol w:w="1057"/>
              <w:gridCol w:w="1523"/>
              <w:gridCol w:w="1008"/>
              <w:gridCol w:w="644"/>
              <w:gridCol w:w="1127"/>
              <w:gridCol w:w="857"/>
              <w:gridCol w:w="1461"/>
              <w:gridCol w:w="787"/>
              <w:gridCol w:w="1211"/>
              <w:gridCol w:w="952"/>
              <w:gridCol w:w="2271"/>
            </w:tblGrid>
            <w:tr w14:paraId="1B2E9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211" w:type="pct"/>
                  <w:vMerge w:val="restart"/>
                  <w:noWrap w:val="0"/>
                  <w:vAlign w:val="center"/>
                </w:tcPr>
                <w:p w14:paraId="4BA31A09">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产排环节</w:t>
                  </w:r>
                </w:p>
              </w:tc>
              <w:tc>
                <w:tcPr>
                  <w:tcW w:w="392" w:type="pct"/>
                  <w:vMerge w:val="restart"/>
                  <w:noWrap w:val="0"/>
                  <w:vAlign w:val="center"/>
                </w:tcPr>
                <w:p w14:paraId="4859B201">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污染物种类</w:t>
                  </w:r>
                </w:p>
              </w:tc>
              <w:tc>
                <w:tcPr>
                  <w:tcW w:w="565" w:type="pct"/>
                  <w:vMerge w:val="restart"/>
                  <w:tcBorders>
                    <w:right w:val="single" w:color="auto" w:sz="4" w:space="0"/>
                  </w:tcBorders>
                  <w:noWrap w:val="0"/>
                  <w:vAlign w:val="center"/>
                </w:tcPr>
                <w:p w14:paraId="2EB039C3">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核算方法</w:t>
                  </w:r>
                </w:p>
                <w:p w14:paraId="77031028">
                  <w:pPr>
                    <w:pStyle w:val="11"/>
                    <w:jc w:val="center"/>
                    <w:rPr>
                      <w:rFonts w:hint="default" w:ascii="Times New Roman" w:hAnsi="Times New Roman" w:eastAsia="宋体" w:cs="Times New Roman"/>
                      <w:color w:val="auto"/>
                      <w:sz w:val="21"/>
                      <w:szCs w:val="21"/>
                      <w:highlight w:val="none"/>
                    </w:rPr>
                  </w:pPr>
                </w:p>
              </w:tc>
              <w:tc>
                <w:tcPr>
                  <w:tcW w:w="374" w:type="pct"/>
                  <w:vMerge w:val="restart"/>
                  <w:tcBorders>
                    <w:top w:val="single" w:color="auto" w:sz="4" w:space="0"/>
                    <w:left w:val="single" w:color="auto" w:sz="4" w:space="0"/>
                    <w:right w:val="single" w:color="auto" w:sz="4" w:space="0"/>
                  </w:tcBorders>
                  <w:noWrap w:val="0"/>
                  <w:vAlign w:val="center"/>
                </w:tcPr>
                <w:p w14:paraId="152E0BB2">
                  <w:pPr>
                    <w:pStyle w:val="1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产品产量</w:t>
                  </w:r>
                </w:p>
              </w:tc>
              <w:tc>
                <w:tcPr>
                  <w:tcW w:w="657" w:type="pct"/>
                  <w:gridSpan w:val="2"/>
                  <w:tcBorders>
                    <w:top w:val="single" w:color="auto" w:sz="4" w:space="0"/>
                    <w:left w:val="single" w:color="auto" w:sz="4" w:space="0"/>
                    <w:bottom w:val="single" w:color="auto" w:sz="4" w:space="0"/>
                    <w:right w:val="single" w:color="auto" w:sz="4" w:space="0"/>
                  </w:tcBorders>
                  <w:noWrap w:val="0"/>
                  <w:vAlign w:val="center"/>
                </w:tcPr>
                <w:p w14:paraId="36516353">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污染物产生</w:t>
                  </w:r>
                </w:p>
              </w:tc>
              <w:tc>
                <w:tcPr>
                  <w:tcW w:w="318" w:type="pct"/>
                  <w:vMerge w:val="restart"/>
                  <w:tcBorders>
                    <w:top w:val="single" w:color="auto" w:sz="4" w:space="0"/>
                    <w:left w:val="single" w:color="auto" w:sz="4" w:space="0"/>
                    <w:right w:val="single" w:color="auto" w:sz="4" w:space="0"/>
                  </w:tcBorders>
                  <w:noWrap w:val="0"/>
                  <w:vAlign w:val="center"/>
                </w:tcPr>
                <w:p w14:paraId="6754DD14">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排放类型</w:t>
                  </w:r>
                </w:p>
              </w:tc>
              <w:tc>
                <w:tcPr>
                  <w:tcW w:w="834" w:type="pct"/>
                  <w:gridSpan w:val="2"/>
                  <w:tcBorders>
                    <w:left w:val="single" w:color="auto" w:sz="4" w:space="0"/>
                  </w:tcBorders>
                  <w:noWrap w:val="0"/>
                  <w:vAlign w:val="center"/>
                </w:tcPr>
                <w:p w14:paraId="62609589">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治理措施</w:t>
                  </w:r>
                </w:p>
              </w:tc>
              <w:tc>
                <w:tcPr>
                  <w:tcW w:w="802" w:type="pct"/>
                  <w:gridSpan w:val="2"/>
                  <w:noWrap w:val="0"/>
                  <w:vAlign w:val="center"/>
                </w:tcPr>
                <w:p w14:paraId="29B71860">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污染物排放</w:t>
                  </w:r>
                </w:p>
              </w:tc>
              <w:tc>
                <w:tcPr>
                  <w:tcW w:w="842" w:type="pct"/>
                  <w:vMerge w:val="restart"/>
                  <w:noWrap w:val="0"/>
                  <w:vAlign w:val="center"/>
                </w:tcPr>
                <w:p w14:paraId="26597F27">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r>
            <w:tr w14:paraId="65CC3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jc w:val="center"/>
              </w:trPr>
              <w:tc>
                <w:tcPr>
                  <w:tcW w:w="211" w:type="pct"/>
                  <w:vMerge w:val="continue"/>
                  <w:noWrap w:val="0"/>
                  <w:vAlign w:val="center"/>
                </w:tcPr>
                <w:p w14:paraId="53518F6C">
                  <w:pPr>
                    <w:jc w:val="center"/>
                    <w:rPr>
                      <w:rFonts w:hint="default" w:ascii="Times New Roman" w:hAnsi="Times New Roman" w:eastAsia="宋体" w:cs="Times New Roman"/>
                      <w:b/>
                      <w:bCs/>
                      <w:color w:val="auto"/>
                      <w:sz w:val="21"/>
                      <w:szCs w:val="21"/>
                      <w:highlight w:val="none"/>
                    </w:rPr>
                  </w:pPr>
                </w:p>
              </w:tc>
              <w:tc>
                <w:tcPr>
                  <w:tcW w:w="392" w:type="pct"/>
                  <w:vMerge w:val="continue"/>
                  <w:noWrap w:val="0"/>
                  <w:vAlign w:val="center"/>
                </w:tcPr>
                <w:p w14:paraId="5F3A8C10">
                  <w:pPr>
                    <w:jc w:val="center"/>
                    <w:rPr>
                      <w:rFonts w:hint="default" w:ascii="Times New Roman" w:hAnsi="Times New Roman" w:eastAsia="宋体" w:cs="Times New Roman"/>
                      <w:b/>
                      <w:bCs/>
                      <w:color w:val="auto"/>
                      <w:sz w:val="21"/>
                      <w:szCs w:val="21"/>
                      <w:highlight w:val="none"/>
                    </w:rPr>
                  </w:pPr>
                </w:p>
              </w:tc>
              <w:tc>
                <w:tcPr>
                  <w:tcW w:w="565" w:type="pct"/>
                  <w:vMerge w:val="continue"/>
                  <w:tcBorders>
                    <w:right w:val="single" w:color="auto" w:sz="4" w:space="0"/>
                  </w:tcBorders>
                  <w:noWrap w:val="0"/>
                  <w:vAlign w:val="center"/>
                </w:tcPr>
                <w:p w14:paraId="6EADF0E9">
                  <w:pPr>
                    <w:jc w:val="center"/>
                    <w:rPr>
                      <w:rFonts w:hint="default" w:ascii="Times New Roman" w:hAnsi="Times New Roman" w:eastAsia="宋体" w:cs="Times New Roman"/>
                      <w:b/>
                      <w:bCs/>
                      <w:color w:val="auto"/>
                      <w:sz w:val="21"/>
                      <w:szCs w:val="21"/>
                      <w:highlight w:val="none"/>
                    </w:rPr>
                  </w:pPr>
                </w:p>
              </w:tc>
              <w:tc>
                <w:tcPr>
                  <w:tcW w:w="374" w:type="pct"/>
                  <w:vMerge w:val="continue"/>
                  <w:tcBorders>
                    <w:left w:val="single" w:color="auto" w:sz="4" w:space="0"/>
                    <w:bottom w:val="single" w:color="auto" w:sz="4" w:space="0"/>
                    <w:right w:val="single" w:color="auto" w:sz="4" w:space="0"/>
                  </w:tcBorders>
                  <w:noWrap w:val="0"/>
                  <w:vAlign w:val="center"/>
                </w:tcPr>
                <w:p w14:paraId="1D999FCE">
                  <w:pPr>
                    <w:jc w:val="center"/>
                    <w:rPr>
                      <w:rFonts w:hint="default" w:ascii="Times New Roman" w:hAnsi="Times New Roman" w:eastAsia="宋体" w:cs="Times New Roman"/>
                      <w:b/>
                      <w:bCs/>
                      <w:color w:val="auto"/>
                      <w:sz w:val="21"/>
                      <w:szCs w:val="21"/>
                      <w:highlight w:val="none"/>
                    </w:rPr>
                  </w:pPr>
                </w:p>
              </w:tc>
              <w:tc>
                <w:tcPr>
                  <w:tcW w:w="239" w:type="pct"/>
                  <w:tcBorders>
                    <w:top w:val="single" w:color="auto" w:sz="4" w:space="0"/>
                    <w:left w:val="single" w:color="auto" w:sz="4" w:space="0"/>
                    <w:bottom w:val="single" w:color="auto" w:sz="4" w:space="0"/>
                    <w:right w:val="single" w:color="auto" w:sz="4" w:space="0"/>
                  </w:tcBorders>
                  <w:noWrap w:val="0"/>
                  <w:vAlign w:val="center"/>
                </w:tcPr>
                <w:p w14:paraId="6AFDA209">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浓度mg/m</w:t>
                  </w:r>
                  <w:r>
                    <w:rPr>
                      <w:rFonts w:hint="default" w:ascii="Times New Roman" w:hAnsi="Times New Roman" w:eastAsia="宋体" w:cs="Times New Roman"/>
                      <w:b/>
                      <w:bCs/>
                      <w:color w:val="auto"/>
                      <w:sz w:val="21"/>
                      <w:szCs w:val="21"/>
                      <w:highlight w:val="none"/>
                      <w:vertAlign w:val="superscript"/>
                    </w:rPr>
                    <w:t>3</w:t>
                  </w:r>
                </w:p>
              </w:tc>
              <w:tc>
                <w:tcPr>
                  <w:tcW w:w="418" w:type="pct"/>
                  <w:tcBorders>
                    <w:top w:val="single" w:color="auto" w:sz="4" w:space="0"/>
                    <w:left w:val="single" w:color="auto" w:sz="4" w:space="0"/>
                    <w:bottom w:val="single" w:color="auto" w:sz="4" w:space="0"/>
                    <w:right w:val="single" w:color="auto" w:sz="4" w:space="0"/>
                  </w:tcBorders>
                  <w:noWrap w:val="0"/>
                  <w:vAlign w:val="center"/>
                </w:tcPr>
                <w:p w14:paraId="57AB1AB1">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量t/a</w:t>
                  </w:r>
                </w:p>
              </w:tc>
              <w:tc>
                <w:tcPr>
                  <w:tcW w:w="318" w:type="pct"/>
                  <w:vMerge w:val="continue"/>
                  <w:tcBorders>
                    <w:left w:val="single" w:color="auto" w:sz="4" w:space="0"/>
                    <w:bottom w:val="single" w:color="auto" w:sz="4" w:space="0"/>
                    <w:right w:val="single" w:color="auto" w:sz="4" w:space="0"/>
                  </w:tcBorders>
                  <w:noWrap w:val="0"/>
                  <w:vAlign w:val="center"/>
                </w:tcPr>
                <w:p w14:paraId="318256D0">
                  <w:pPr>
                    <w:jc w:val="center"/>
                    <w:rPr>
                      <w:rFonts w:hint="default" w:ascii="Times New Roman" w:hAnsi="Times New Roman" w:eastAsia="宋体" w:cs="Times New Roman"/>
                      <w:b/>
                      <w:bCs/>
                      <w:color w:val="auto"/>
                      <w:sz w:val="21"/>
                      <w:szCs w:val="21"/>
                      <w:highlight w:val="none"/>
                    </w:rPr>
                  </w:pPr>
                </w:p>
              </w:tc>
              <w:tc>
                <w:tcPr>
                  <w:tcW w:w="542" w:type="pct"/>
                  <w:tcBorders>
                    <w:left w:val="single" w:color="auto" w:sz="4" w:space="0"/>
                  </w:tcBorders>
                  <w:noWrap w:val="0"/>
                  <w:vAlign w:val="center"/>
                </w:tcPr>
                <w:p w14:paraId="0D111E95">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工艺</w:t>
                  </w:r>
                </w:p>
              </w:tc>
              <w:tc>
                <w:tcPr>
                  <w:tcW w:w="292" w:type="pct"/>
                  <w:noWrap w:val="0"/>
                  <w:vAlign w:val="center"/>
                </w:tcPr>
                <w:p w14:paraId="60A4DCAC">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效率%</w:t>
                  </w:r>
                </w:p>
              </w:tc>
              <w:tc>
                <w:tcPr>
                  <w:tcW w:w="449" w:type="pct"/>
                  <w:noWrap w:val="0"/>
                  <w:vAlign w:val="center"/>
                </w:tcPr>
                <w:p w14:paraId="4E865F64">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浓度mg/m</w:t>
                  </w:r>
                  <w:r>
                    <w:rPr>
                      <w:rFonts w:hint="default" w:ascii="Times New Roman" w:hAnsi="Times New Roman" w:eastAsia="宋体" w:cs="Times New Roman"/>
                      <w:b/>
                      <w:bCs/>
                      <w:color w:val="auto"/>
                      <w:sz w:val="21"/>
                      <w:szCs w:val="21"/>
                      <w:highlight w:val="none"/>
                      <w:vertAlign w:val="superscript"/>
                    </w:rPr>
                    <w:t>3</w:t>
                  </w:r>
                </w:p>
              </w:tc>
              <w:tc>
                <w:tcPr>
                  <w:tcW w:w="353" w:type="pct"/>
                  <w:noWrap w:val="0"/>
                  <w:vAlign w:val="center"/>
                </w:tcPr>
                <w:p w14:paraId="14CAFB8F">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量t/a</w:t>
                  </w:r>
                </w:p>
              </w:tc>
              <w:tc>
                <w:tcPr>
                  <w:tcW w:w="842" w:type="pct"/>
                  <w:vMerge w:val="continue"/>
                  <w:noWrap w:val="0"/>
                  <w:vAlign w:val="center"/>
                </w:tcPr>
                <w:p w14:paraId="4AEECA00">
                  <w:pPr>
                    <w:jc w:val="center"/>
                    <w:rPr>
                      <w:rFonts w:hint="default" w:ascii="Times New Roman" w:hAnsi="Times New Roman" w:eastAsia="宋体" w:cs="Times New Roman"/>
                      <w:b/>
                      <w:bCs/>
                      <w:color w:val="auto"/>
                      <w:sz w:val="21"/>
                      <w:szCs w:val="21"/>
                      <w:highlight w:val="none"/>
                    </w:rPr>
                  </w:pPr>
                </w:p>
              </w:tc>
            </w:tr>
            <w:tr w14:paraId="0F9D2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0" w:hRule="atLeast"/>
                <w:jc w:val="center"/>
              </w:trPr>
              <w:tc>
                <w:tcPr>
                  <w:tcW w:w="211" w:type="pct"/>
                  <w:noWrap w:val="0"/>
                  <w:vAlign w:val="center"/>
                </w:tcPr>
                <w:p w14:paraId="3CC4033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上料、转运、输送、暂存等</w:t>
                  </w:r>
                </w:p>
              </w:tc>
              <w:tc>
                <w:tcPr>
                  <w:tcW w:w="392" w:type="pct"/>
                  <w:noWrap w:val="0"/>
                  <w:vAlign w:val="center"/>
                </w:tcPr>
                <w:p w14:paraId="0C7FB49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565" w:type="pct"/>
                  <w:noWrap w:val="0"/>
                  <w:vAlign w:val="center"/>
                </w:tcPr>
                <w:p w14:paraId="6FBF92B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374" w:type="pct"/>
                  <w:tcBorders>
                    <w:top w:val="single" w:color="auto" w:sz="4" w:space="0"/>
                  </w:tcBorders>
                  <w:noWrap w:val="0"/>
                  <w:vAlign w:val="center"/>
                </w:tcPr>
                <w:p w14:paraId="7DD014D7">
                  <w:pPr>
                    <w:pStyle w:val="1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657" w:type="pct"/>
                  <w:gridSpan w:val="2"/>
                  <w:tcBorders>
                    <w:top w:val="single" w:color="auto" w:sz="4" w:space="0"/>
                  </w:tcBorders>
                  <w:noWrap w:val="0"/>
                  <w:vAlign w:val="center"/>
                </w:tcPr>
                <w:p w14:paraId="76E69E1F">
                  <w:pPr>
                    <w:pStyle w:val="43"/>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少量</w:t>
                  </w:r>
                </w:p>
              </w:tc>
              <w:tc>
                <w:tcPr>
                  <w:tcW w:w="318" w:type="pct"/>
                  <w:tcBorders>
                    <w:top w:val="single" w:color="auto" w:sz="4" w:space="0"/>
                  </w:tcBorders>
                  <w:noWrap w:val="0"/>
                  <w:vAlign w:val="center"/>
                </w:tcPr>
                <w:p w14:paraId="6842298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542" w:type="pct"/>
                  <w:vMerge w:val="restart"/>
                  <w:noWrap w:val="0"/>
                  <w:vAlign w:val="center"/>
                </w:tcPr>
                <w:p w14:paraId="53BCA563">
                  <w:pPr>
                    <w:pStyle w:val="43"/>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物料含水率较高，设置在生产车间内，</w:t>
                  </w:r>
                  <w:r>
                    <w:rPr>
                      <w:rFonts w:hint="default" w:ascii="Times New Roman" w:hAnsi="Times New Roman" w:eastAsia="宋体" w:cs="Times New Roman"/>
                      <w:color w:val="auto"/>
                      <w:sz w:val="21"/>
                      <w:szCs w:val="21"/>
                      <w:highlight w:val="none"/>
                      <w:lang w:val="en-US" w:eastAsia="zh-CN"/>
                    </w:rPr>
                    <w:t>四</w:t>
                  </w:r>
                  <w:r>
                    <w:rPr>
                      <w:rFonts w:hint="default" w:ascii="Times New Roman" w:hAnsi="Times New Roman" w:eastAsia="宋体" w:cs="Times New Roman"/>
                      <w:color w:val="auto"/>
                      <w:sz w:val="21"/>
                      <w:szCs w:val="21"/>
                      <w:highlight w:val="none"/>
                      <w:lang w:eastAsia="zh-CN"/>
                    </w:rPr>
                    <w:t>面围挡</w:t>
                  </w:r>
                  <w:r>
                    <w:rPr>
                      <w:rFonts w:hint="default" w:ascii="Times New Roman" w:hAnsi="Times New Roman" w:eastAsia="宋体" w:cs="Times New Roman"/>
                      <w:color w:val="auto"/>
                      <w:sz w:val="21"/>
                      <w:szCs w:val="21"/>
                      <w:highlight w:val="none"/>
                      <w:lang w:val="en-US" w:eastAsia="zh-CN"/>
                    </w:rPr>
                    <w:t>保留出入口通道</w:t>
                  </w:r>
                  <w:r>
                    <w:rPr>
                      <w:rFonts w:hint="default" w:ascii="Times New Roman" w:hAnsi="Times New Roman" w:eastAsia="宋体" w:cs="Times New Roman"/>
                      <w:color w:val="auto"/>
                      <w:sz w:val="21"/>
                      <w:szCs w:val="21"/>
                      <w:highlight w:val="none"/>
                      <w:lang w:eastAsia="zh-CN"/>
                    </w:rPr>
                    <w:t>，自然沉降，输送、暂存工段密闭</w:t>
                  </w:r>
                </w:p>
              </w:tc>
              <w:tc>
                <w:tcPr>
                  <w:tcW w:w="292" w:type="pct"/>
                  <w:noWrap w:val="0"/>
                  <w:vAlign w:val="center"/>
                </w:tcPr>
                <w:p w14:paraId="15ADAEF7">
                  <w:pPr>
                    <w:pStyle w:val="43"/>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802" w:type="pct"/>
                  <w:gridSpan w:val="2"/>
                  <w:noWrap w:val="0"/>
                  <w:vAlign w:val="center"/>
                </w:tcPr>
                <w:p w14:paraId="7D03C613">
                  <w:pPr>
                    <w:pStyle w:val="43"/>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少量</w:t>
                  </w:r>
                </w:p>
                <w:p w14:paraId="11DA35BC">
                  <w:pPr>
                    <w:pStyle w:val="43"/>
                    <w:jc w:val="center"/>
                    <w:rPr>
                      <w:rFonts w:hint="default" w:ascii="Times New Roman" w:hAnsi="Times New Roman" w:eastAsia="宋体" w:cs="Times New Roman"/>
                      <w:color w:val="auto"/>
                      <w:sz w:val="21"/>
                      <w:szCs w:val="21"/>
                      <w:highlight w:val="none"/>
                      <w:lang w:eastAsia="zh-CN"/>
                    </w:rPr>
                  </w:pPr>
                </w:p>
              </w:tc>
              <w:tc>
                <w:tcPr>
                  <w:tcW w:w="842" w:type="pct"/>
                  <w:vMerge w:val="restart"/>
                  <w:noWrap w:val="0"/>
                  <w:vAlign w:val="center"/>
                </w:tcPr>
                <w:p w14:paraId="6D087FC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达到《大气污染物综合排放标准》(GB16297-1996)中无组织浓度排放限值要求</w:t>
                  </w:r>
                </w:p>
                <w:p w14:paraId="0213A817">
                  <w:pPr>
                    <w:jc w:val="center"/>
                    <w:rPr>
                      <w:rFonts w:hint="default" w:ascii="Times New Roman" w:hAnsi="Times New Roman" w:eastAsia="宋体" w:cs="Times New Roman"/>
                      <w:color w:val="auto"/>
                      <w:sz w:val="21"/>
                      <w:szCs w:val="21"/>
                      <w:highlight w:val="none"/>
                    </w:rPr>
                  </w:pPr>
                </w:p>
              </w:tc>
            </w:tr>
            <w:tr w14:paraId="1A7B7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 w:hRule="atLeast"/>
                <w:jc w:val="center"/>
              </w:trPr>
              <w:tc>
                <w:tcPr>
                  <w:tcW w:w="211" w:type="pct"/>
                  <w:noWrap w:val="0"/>
                  <w:vAlign w:val="center"/>
                </w:tcPr>
                <w:p w14:paraId="3F27E02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筛分</w:t>
                  </w:r>
                </w:p>
              </w:tc>
              <w:tc>
                <w:tcPr>
                  <w:tcW w:w="392" w:type="pct"/>
                  <w:noWrap w:val="0"/>
                  <w:vAlign w:val="center"/>
                </w:tcPr>
                <w:p w14:paraId="5195228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565" w:type="pct"/>
                  <w:noWrap w:val="0"/>
                  <w:vAlign w:val="center"/>
                </w:tcPr>
                <w:p w14:paraId="4CA4B6C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6.69×10</w:t>
                  </w:r>
                  <w:r>
                    <w:rPr>
                      <w:rFonts w:hint="default" w:ascii="Times New Roman" w:hAnsi="Times New Roman" w:eastAsia="宋体" w:cs="Times New Roman"/>
                      <w:color w:val="auto"/>
                      <w:sz w:val="21"/>
                      <w:szCs w:val="21"/>
                      <w:highlight w:val="none"/>
                      <w:vertAlign w:val="superscript"/>
                    </w:rPr>
                    <w:t>-4</w:t>
                  </w:r>
                  <w:r>
                    <w:rPr>
                      <w:rFonts w:hint="default" w:ascii="Times New Roman" w:hAnsi="Times New Roman" w:eastAsia="宋体" w:cs="Times New Roman"/>
                      <w:color w:val="auto"/>
                      <w:sz w:val="21"/>
                      <w:szCs w:val="21"/>
                      <w:highlight w:val="none"/>
                    </w:rPr>
                    <w:t>吨/吨-产品</w:t>
                  </w:r>
                </w:p>
              </w:tc>
              <w:tc>
                <w:tcPr>
                  <w:tcW w:w="374" w:type="pct"/>
                  <w:tcBorders>
                    <w:top w:val="single" w:color="auto" w:sz="4" w:space="0"/>
                  </w:tcBorders>
                  <w:noWrap w:val="0"/>
                  <w:vAlign w:val="center"/>
                </w:tcPr>
                <w:p w14:paraId="7D4EC29B">
                  <w:pPr>
                    <w:pStyle w:val="1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9600</w:t>
                  </w:r>
                  <w:r>
                    <w:rPr>
                      <w:rFonts w:hint="default" w:ascii="Times New Roman" w:hAnsi="Times New Roman" w:eastAsia="宋体" w:cs="Times New Roman"/>
                      <w:color w:val="auto"/>
                      <w:sz w:val="21"/>
                      <w:szCs w:val="21"/>
                      <w:highlight w:val="none"/>
                    </w:rPr>
                    <w:t>t/a</w:t>
                  </w:r>
                </w:p>
              </w:tc>
              <w:tc>
                <w:tcPr>
                  <w:tcW w:w="239" w:type="pct"/>
                  <w:tcBorders>
                    <w:top w:val="single" w:color="auto" w:sz="4" w:space="0"/>
                  </w:tcBorders>
                  <w:noWrap w:val="0"/>
                  <w:vAlign w:val="center"/>
                </w:tcPr>
                <w:p w14:paraId="63BD722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418" w:type="pct"/>
                  <w:tcBorders>
                    <w:top w:val="single" w:color="auto" w:sz="4" w:space="0"/>
                  </w:tcBorders>
                  <w:noWrap w:val="0"/>
                  <w:vAlign w:val="center"/>
                </w:tcPr>
                <w:p w14:paraId="7599601E">
                  <w:pPr>
                    <w:pStyle w:val="43"/>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6.4</w:t>
                  </w:r>
                </w:p>
              </w:tc>
              <w:tc>
                <w:tcPr>
                  <w:tcW w:w="318" w:type="pct"/>
                  <w:tcBorders>
                    <w:top w:val="single" w:color="auto" w:sz="4" w:space="0"/>
                  </w:tcBorders>
                  <w:noWrap w:val="0"/>
                  <w:vAlign w:val="center"/>
                </w:tcPr>
                <w:p w14:paraId="670FD30D">
                  <w:pPr>
                    <w:pStyle w:val="43"/>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无组织</w:t>
                  </w:r>
                </w:p>
              </w:tc>
              <w:tc>
                <w:tcPr>
                  <w:tcW w:w="542" w:type="pct"/>
                  <w:vMerge w:val="continue"/>
                  <w:noWrap w:val="0"/>
                  <w:vAlign w:val="center"/>
                </w:tcPr>
                <w:p w14:paraId="085DA61B">
                  <w:pPr>
                    <w:pStyle w:val="43"/>
                    <w:jc w:val="center"/>
                    <w:rPr>
                      <w:rFonts w:hint="default" w:ascii="Times New Roman" w:hAnsi="Times New Roman" w:eastAsia="宋体" w:cs="Times New Roman"/>
                      <w:color w:val="auto"/>
                      <w:sz w:val="21"/>
                      <w:szCs w:val="21"/>
                      <w:highlight w:val="none"/>
                      <w:lang w:eastAsia="zh-CN"/>
                    </w:rPr>
                  </w:pPr>
                </w:p>
              </w:tc>
              <w:tc>
                <w:tcPr>
                  <w:tcW w:w="292" w:type="pct"/>
                  <w:noWrap w:val="0"/>
                  <w:vAlign w:val="center"/>
                </w:tcPr>
                <w:p w14:paraId="09F59C57">
                  <w:pPr>
                    <w:pStyle w:val="43"/>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80</w:t>
                  </w:r>
                </w:p>
              </w:tc>
              <w:tc>
                <w:tcPr>
                  <w:tcW w:w="449" w:type="pct"/>
                  <w:noWrap w:val="0"/>
                  <w:vAlign w:val="center"/>
                </w:tcPr>
                <w:p w14:paraId="1DF4AA6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353" w:type="pct"/>
                  <w:noWrap w:val="0"/>
                  <w:vAlign w:val="center"/>
                </w:tcPr>
                <w:p w14:paraId="0061919A">
                  <w:pPr>
                    <w:pStyle w:val="43"/>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1.28</w:t>
                  </w:r>
                </w:p>
              </w:tc>
              <w:tc>
                <w:tcPr>
                  <w:tcW w:w="842" w:type="pct"/>
                  <w:vMerge w:val="continue"/>
                  <w:noWrap w:val="0"/>
                  <w:vAlign w:val="center"/>
                </w:tcPr>
                <w:p w14:paraId="55B0A99C">
                  <w:pPr>
                    <w:jc w:val="center"/>
                    <w:rPr>
                      <w:rFonts w:hint="default" w:ascii="Times New Roman" w:hAnsi="Times New Roman" w:eastAsia="宋体" w:cs="Times New Roman"/>
                      <w:color w:val="auto"/>
                      <w:sz w:val="21"/>
                      <w:szCs w:val="21"/>
                      <w:highlight w:val="none"/>
                    </w:rPr>
                  </w:pPr>
                </w:p>
              </w:tc>
            </w:tr>
            <w:tr w14:paraId="28C13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211" w:type="pct"/>
                  <w:noWrap w:val="0"/>
                  <w:vAlign w:val="center"/>
                </w:tcPr>
                <w:p w14:paraId="7BAE98A7">
                  <w:pPr>
                    <w:pStyle w:val="43"/>
                    <w:spacing w:before="121"/>
                    <w:ind w:left="58"/>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粉碎</w:t>
                  </w:r>
                </w:p>
              </w:tc>
              <w:tc>
                <w:tcPr>
                  <w:tcW w:w="392" w:type="pct"/>
                  <w:noWrap w:val="0"/>
                  <w:vAlign w:val="center"/>
                </w:tcPr>
                <w:p w14:paraId="303FB47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565" w:type="pct"/>
                  <w:noWrap w:val="0"/>
                  <w:vAlign w:val="center"/>
                </w:tcPr>
                <w:p w14:paraId="55141DD6">
                  <w:pPr>
                    <w:jc w:val="center"/>
                    <w:rPr>
                      <w:rFonts w:hint="default" w:ascii="Times New Roman" w:hAnsi="Times New Roman" w:eastAsia="宋体" w:cs="Times New Roman"/>
                      <w:color w:val="auto"/>
                      <w:sz w:val="21"/>
                      <w:szCs w:val="21"/>
                      <w:highlight w:val="none"/>
                    </w:rPr>
                  </w:pPr>
                </w:p>
              </w:tc>
              <w:tc>
                <w:tcPr>
                  <w:tcW w:w="374" w:type="pct"/>
                  <w:tcBorders>
                    <w:top w:val="single" w:color="auto" w:sz="4" w:space="0"/>
                  </w:tcBorders>
                  <w:noWrap w:val="0"/>
                  <w:vAlign w:val="center"/>
                </w:tcPr>
                <w:p w14:paraId="5C046D5C">
                  <w:pPr>
                    <w:pStyle w:val="1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9600</w:t>
                  </w:r>
                  <w:r>
                    <w:rPr>
                      <w:rFonts w:hint="default" w:ascii="Times New Roman" w:hAnsi="Times New Roman" w:eastAsia="宋体" w:cs="Times New Roman"/>
                      <w:color w:val="auto"/>
                      <w:sz w:val="21"/>
                      <w:szCs w:val="21"/>
                      <w:highlight w:val="none"/>
                    </w:rPr>
                    <w:t>t/a</w:t>
                  </w:r>
                </w:p>
              </w:tc>
              <w:tc>
                <w:tcPr>
                  <w:tcW w:w="657" w:type="pct"/>
                  <w:gridSpan w:val="2"/>
                  <w:tcBorders>
                    <w:top w:val="single" w:color="auto" w:sz="4" w:space="0"/>
                  </w:tcBorders>
                  <w:noWrap w:val="0"/>
                  <w:vAlign w:val="center"/>
                </w:tcPr>
                <w:p w14:paraId="27E1044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少量</w:t>
                  </w:r>
                </w:p>
              </w:tc>
              <w:tc>
                <w:tcPr>
                  <w:tcW w:w="318" w:type="pct"/>
                  <w:tcBorders>
                    <w:top w:val="single" w:color="auto" w:sz="4" w:space="0"/>
                  </w:tcBorders>
                  <w:noWrap w:val="0"/>
                  <w:vAlign w:val="center"/>
                </w:tcPr>
                <w:p w14:paraId="52CEE8AE">
                  <w:pPr>
                    <w:pStyle w:val="43"/>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无组织</w:t>
                  </w:r>
                </w:p>
              </w:tc>
              <w:tc>
                <w:tcPr>
                  <w:tcW w:w="542" w:type="pct"/>
                  <w:noWrap w:val="0"/>
                  <w:vAlign w:val="center"/>
                </w:tcPr>
                <w:p w14:paraId="535C6446">
                  <w:pPr>
                    <w:pStyle w:val="43"/>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密闭</w:t>
                  </w:r>
                  <w:r>
                    <w:rPr>
                      <w:rFonts w:hint="eastAsia" w:ascii="Times New Roman" w:hAnsi="Times New Roman" w:cs="Times New Roman"/>
                      <w:color w:val="auto"/>
                      <w:sz w:val="21"/>
                      <w:szCs w:val="21"/>
                      <w:highlight w:val="none"/>
                      <w:lang w:eastAsia="zh-CN"/>
                    </w:rPr>
                    <w:t>粉碎</w:t>
                  </w:r>
                </w:p>
              </w:tc>
              <w:tc>
                <w:tcPr>
                  <w:tcW w:w="292" w:type="pct"/>
                  <w:noWrap w:val="0"/>
                  <w:vAlign w:val="center"/>
                </w:tcPr>
                <w:p w14:paraId="03B9F76B">
                  <w:pPr>
                    <w:pStyle w:val="43"/>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802" w:type="pct"/>
                  <w:gridSpan w:val="2"/>
                  <w:noWrap w:val="0"/>
                  <w:vAlign w:val="center"/>
                </w:tcPr>
                <w:p w14:paraId="20544BE5">
                  <w:pPr>
                    <w:pStyle w:val="43"/>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少量</w:t>
                  </w:r>
                </w:p>
              </w:tc>
              <w:tc>
                <w:tcPr>
                  <w:tcW w:w="842" w:type="pct"/>
                  <w:vMerge w:val="continue"/>
                  <w:noWrap w:val="0"/>
                  <w:vAlign w:val="center"/>
                </w:tcPr>
                <w:p w14:paraId="271F6842">
                  <w:pPr>
                    <w:jc w:val="center"/>
                    <w:rPr>
                      <w:rFonts w:hint="default" w:ascii="Times New Roman" w:hAnsi="Times New Roman" w:eastAsia="宋体" w:cs="Times New Roman"/>
                      <w:color w:val="auto"/>
                      <w:sz w:val="21"/>
                      <w:szCs w:val="21"/>
                      <w:highlight w:val="none"/>
                    </w:rPr>
                  </w:pPr>
                </w:p>
              </w:tc>
            </w:tr>
            <w:tr w14:paraId="1E5C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211" w:type="pct"/>
                  <w:vMerge w:val="restart"/>
                  <w:noWrap w:val="0"/>
                  <w:vAlign w:val="center"/>
                </w:tcPr>
                <w:p w14:paraId="44DAF80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烘干</w:t>
                  </w:r>
                </w:p>
                <w:p w14:paraId="0AFC947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392" w:type="pct"/>
                  <w:noWrap w:val="0"/>
                  <w:vAlign w:val="center"/>
                </w:tcPr>
                <w:p w14:paraId="5678998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工业废气量</w:t>
                  </w:r>
                </w:p>
              </w:tc>
              <w:tc>
                <w:tcPr>
                  <w:tcW w:w="565" w:type="pct"/>
                  <w:noWrap w:val="0"/>
                  <w:vAlign w:val="center"/>
                </w:tcPr>
                <w:p w14:paraId="59883A1A">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6240标立方米/吨-原料</w:t>
                  </w:r>
                </w:p>
              </w:tc>
              <w:tc>
                <w:tcPr>
                  <w:tcW w:w="374" w:type="pct"/>
                  <w:tcBorders>
                    <w:top w:val="single" w:color="auto" w:sz="4" w:space="0"/>
                  </w:tcBorders>
                  <w:noWrap w:val="0"/>
                  <w:vAlign w:val="center"/>
                </w:tcPr>
                <w:p w14:paraId="16F8453B">
                  <w:pPr>
                    <w:pStyle w:val="1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1920</w:t>
                  </w:r>
                  <w:r>
                    <w:rPr>
                      <w:rFonts w:hint="default" w:ascii="Times New Roman" w:hAnsi="Times New Roman" w:eastAsia="宋体" w:cs="Times New Roman"/>
                      <w:color w:val="auto"/>
                      <w:sz w:val="21"/>
                      <w:szCs w:val="21"/>
                      <w:highlight w:val="none"/>
                    </w:rPr>
                    <w:t>t/a</w:t>
                  </w:r>
                </w:p>
              </w:tc>
              <w:tc>
                <w:tcPr>
                  <w:tcW w:w="657" w:type="pct"/>
                  <w:gridSpan w:val="2"/>
                  <w:tcBorders>
                    <w:top w:val="single" w:color="auto" w:sz="4" w:space="0"/>
                  </w:tcBorders>
                  <w:noWrap w:val="0"/>
                  <w:vAlign w:val="center"/>
                </w:tcPr>
                <w:p w14:paraId="73B23DD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11980800</w:t>
                  </w:r>
                  <w:r>
                    <w:rPr>
                      <w:rFonts w:hint="default" w:ascii="Times New Roman" w:hAnsi="Times New Roman" w:eastAsia="宋体" w:cs="Times New Roman"/>
                      <w:color w:val="auto"/>
                      <w:sz w:val="21"/>
                      <w:szCs w:val="21"/>
                      <w:highlight w:val="none"/>
                    </w:rPr>
                    <w:t>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318" w:type="pct"/>
                  <w:vMerge w:val="restart"/>
                  <w:tcBorders>
                    <w:top w:val="single" w:color="auto" w:sz="4" w:space="0"/>
                  </w:tcBorders>
                  <w:noWrap w:val="0"/>
                  <w:vAlign w:val="center"/>
                </w:tcPr>
                <w:p w14:paraId="399A09C7">
                  <w:pPr>
                    <w:pStyle w:val="43"/>
                    <w:jc w:val="center"/>
                    <w:rPr>
                      <w:rFonts w:hint="default" w:ascii="Times New Roman" w:hAnsi="Times New Roman" w:eastAsia="宋体" w:cs="Times New Roman"/>
                      <w:color w:val="auto"/>
                      <w:sz w:val="21"/>
                      <w:szCs w:val="21"/>
                      <w:highlight w:val="none"/>
                      <w:lang w:eastAsia="zh-CN"/>
                    </w:rPr>
                  </w:pPr>
                </w:p>
                <w:p w14:paraId="3D6C5DA1">
                  <w:pPr>
                    <w:pStyle w:val="43"/>
                    <w:jc w:val="center"/>
                    <w:rPr>
                      <w:rFonts w:hint="default" w:ascii="Times New Roman" w:hAnsi="Times New Roman" w:eastAsia="宋体" w:cs="Times New Roman"/>
                      <w:color w:val="auto"/>
                      <w:sz w:val="21"/>
                      <w:szCs w:val="21"/>
                      <w:highlight w:val="none"/>
                      <w:lang w:eastAsia="zh-CN"/>
                    </w:rPr>
                  </w:pPr>
                </w:p>
                <w:p w14:paraId="5F11F560">
                  <w:pPr>
                    <w:pStyle w:val="43"/>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有组织</w:t>
                  </w:r>
                </w:p>
              </w:tc>
              <w:tc>
                <w:tcPr>
                  <w:tcW w:w="834" w:type="pct"/>
                  <w:gridSpan w:val="2"/>
                  <w:vMerge w:val="restart"/>
                  <w:noWrap w:val="0"/>
                  <w:vAlign w:val="center"/>
                </w:tcPr>
                <w:p w14:paraId="0720FAA9">
                  <w:pPr>
                    <w:pStyle w:val="50"/>
                    <w:jc w:val="both"/>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统一经1</w:t>
                  </w:r>
                  <w:r>
                    <w:rPr>
                      <w:rFonts w:hint="default" w:ascii="Times New Roman" w:hAnsi="Times New Roman" w:eastAsia="宋体" w:cs="Times New Roman"/>
                      <w:color w:val="auto"/>
                      <w:sz w:val="21"/>
                      <w:szCs w:val="21"/>
                      <w:highlight w:val="none"/>
                      <w:lang w:eastAsia="zh-CN"/>
                    </w:rPr>
                    <w:t>套袋式除尘设备处理后</w:t>
                  </w:r>
                  <w:r>
                    <w:rPr>
                      <w:rFonts w:hint="default" w:ascii="Times New Roman" w:hAnsi="Times New Roman" w:eastAsia="宋体" w:cs="Times New Roman"/>
                      <w:color w:val="auto"/>
                      <w:sz w:val="21"/>
                      <w:szCs w:val="21"/>
                      <w:highlight w:val="none"/>
                    </w:rPr>
                    <w:t>经15m高排气筒（DA001）外排，颗粒物总除尘效率</w:t>
                  </w:r>
                  <w:r>
                    <w:rPr>
                      <w:rFonts w:hint="default" w:ascii="Times New Roman" w:hAnsi="Times New Roman" w:eastAsia="宋体" w:cs="Times New Roman"/>
                      <w:color w:val="auto"/>
                      <w:sz w:val="21"/>
                      <w:szCs w:val="21"/>
                      <w:highlight w:val="none"/>
                      <w:lang w:val="en-US" w:eastAsia="zh-CN"/>
                    </w:rPr>
                    <w:t>9</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eastAsia="zh-CN"/>
                    </w:rPr>
                    <w:t>，</w:t>
                  </w:r>
                  <w:r>
                    <w:rPr>
                      <w:rFonts w:hint="eastAsia"/>
                      <w:color w:val="auto"/>
                      <w:szCs w:val="21"/>
                      <w:highlight w:val="none"/>
                    </w:rPr>
                    <w:t>（燃烧法）非甲烷总烃总去除效率70%</w:t>
                  </w:r>
                </w:p>
              </w:tc>
              <w:tc>
                <w:tcPr>
                  <w:tcW w:w="449" w:type="pct"/>
                  <w:noWrap w:val="0"/>
                  <w:vAlign w:val="center"/>
                </w:tcPr>
                <w:p w14:paraId="600D37E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353" w:type="pct"/>
                  <w:noWrap w:val="0"/>
                  <w:vAlign w:val="center"/>
                </w:tcPr>
                <w:p w14:paraId="4416FA5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842" w:type="pct"/>
                  <w:vMerge w:val="restart"/>
                  <w:noWrap w:val="0"/>
                  <w:vAlign w:val="center"/>
                </w:tcPr>
                <w:p w14:paraId="4871FCD2">
                  <w:pPr>
                    <w:pStyle w:val="43"/>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达到《工业炉窑大气污染物排放标准》（GB9078-1996）和《大气污染物综合排放标准》（GB16297-1996）的要求。</w:t>
                  </w:r>
                </w:p>
                <w:p w14:paraId="7163A642">
                  <w:pPr>
                    <w:pStyle w:val="43"/>
                    <w:jc w:val="center"/>
                    <w:rPr>
                      <w:rFonts w:hint="default" w:ascii="Times New Roman" w:hAnsi="Times New Roman" w:eastAsia="宋体" w:cs="Times New Roman"/>
                      <w:color w:val="auto"/>
                      <w:sz w:val="21"/>
                      <w:szCs w:val="21"/>
                      <w:highlight w:val="none"/>
                      <w:lang w:eastAsia="zh-CN"/>
                    </w:rPr>
                  </w:pPr>
                </w:p>
              </w:tc>
            </w:tr>
            <w:tr w14:paraId="7E9C9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211" w:type="pct"/>
                  <w:vMerge w:val="continue"/>
                  <w:noWrap w:val="0"/>
                  <w:vAlign w:val="center"/>
                </w:tcPr>
                <w:p w14:paraId="175610E0">
                  <w:pPr>
                    <w:jc w:val="center"/>
                    <w:rPr>
                      <w:rFonts w:hint="default" w:ascii="Times New Roman" w:hAnsi="Times New Roman" w:eastAsia="宋体" w:cs="Times New Roman"/>
                      <w:color w:val="auto"/>
                      <w:sz w:val="21"/>
                      <w:szCs w:val="21"/>
                      <w:highlight w:val="none"/>
                    </w:rPr>
                  </w:pPr>
                </w:p>
              </w:tc>
              <w:tc>
                <w:tcPr>
                  <w:tcW w:w="392" w:type="pct"/>
                  <w:noWrap w:val="0"/>
                  <w:vAlign w:val="center"/>
                </w:tcPr>
                <w:p w14:paraId="2755847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烟尘</w:t>
                  </w:r>
                </w:p>
              </w:tc>
              <w:tc>
                <w:tcPr>
                  <w:tcW w:w="565" w:type="pct"/>
                  <w:noWrap w:val="0"/>
                  <w:vAlign w:val="center"/>
                </w:tcPr>
                <w:p w14:paraId="6685B3C8">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37.6千克/吨-原料</w:t>
                  </w:r>
                </w:p>
              </w:tc>
              <w:tc>
                <w:tcPr>
                  <w:tcW w:w="374" w:type="pct"/>
                  <w:tcBorders>
                    <w:top w:val="single" w:color="auto" w:sz="4" w:space="0"/>
                  </w:tcBorders>
                  <w:noWrap w:val="0"/>
                  <w:vAlign w:val="center"/>
                </w:tcPr>
                <w:p w14:paraId="0593BC1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1920</w:t>
                  </w:r>
                  <w:r>
                    <w:rPr>
                      <w:rFonts w:hint="default" w:ascii="Times New Roman" w:hAnsi="Times New Roman" w:eastAsia="宋体" w:cs="Times New Roman"/>
                      <w:color w:val="auto"/>
                      <w:sz w:val="21"/>
                      <w:szCs w:val="21"/>
                      <w:highlight w:val="none"/>
                    </w:rPr>
                    <w:t>t/a</w:t>
                  </w:r>
                </w:p>
              </w:tc>
              <w:tc>
                <w:tcPr>
                  <w:tcW w:w="239" w:type="pct"/>
                  <w:tcBorders>
                    <w:top w:val="single" w:color="auto" w:sz="4" w:space="0"/>
                  </w:tcBorders>
                  <w:noWrap w:val="0"/>
                  <w:vAlign w:val="center"/>
                </w:tcPr>
                <w:p w14:paraId="36C972B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418" w:type="pct"/>
                  <w:tcBorders>
                    <w:top w:val="single" w:color="auto" w:sz="4" w:space="0"/>
                  </w:tcBorders>
                  <w:noWrap w:val="0"/>
                  <w:vAlign w:val="center"/>
                </w:tcPr>
                <w:p w14:paraId="7AE0E3C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72.19</w:t>
                  </w:r>
                </w:p>
              </w:tc>
              <w:tc>
                <w:tcPr>
                  <w:tcW w:w="318" w:type="pct"/>
                  <w:vMerge w:val="continue"/>
                  <w:noWrap w:val="0"/>
                  <w:vAlign w:val="center"/>
                </w:tcPr>
                <w:p w14:paraId="703994E3">
                  <w:pPr>
                    <w:pStyle w:val="43"/>
                    <w:jc w:val="center"/>
                    <w:rPr>
                      <w:rFonts w:hint="default" w:ascii="Times New Roman" w:hAnsi="Times New Roman" w:eastAsia="宋体" w:cs="Times New Roman"/>
                      <w:color w:val="auto"/>
                      <w:sz w:val="21"/>
                      <w:szCs w:val="21"/>
                      <w:highlight w:val="none"/>
                      <w:lang w:eastAsia="zh-CN"/>
                    </w:rPr>
                  </w:pPr>
                </w:p>
              </w:tc>
              <w:tc>
                <w:tcPr>
                  <w:tcW w:w="834" w:type="pct"/>
                  <w:gridSpan w:val="2"/>
                  <w:vMerge w:val="continue"/>
                  <w:noWrap w:val="0"/>
                  <w:vAlign w:val="center"/>
                </w:tcPr>
                <w:p w14:paraId="5D3952A9">
                  <w:pPr>
                    <w:pStyle w:val="43"/>
                    <w:jc w:val="center"/>
                    <w:rPr>
                      <w:rFonts w:hint="default" w:ascii="Times New Roman" w:hAnsi="Times New Roman" w:eastAsia="宋体" w:cs="Times New Roman"/>
                      <w:color w:val="auto"/>
                      <w:sz w:val="21"/>
                      <w:szCs w:val="21"/>
                      <w:highlight w:val="none"/>
                      <w:lang w:eastAsia="zh-CN"/>
                    </w:rPr>
                  </w:pPr>
                </w:p>
              </w:tc>
              <w:tc>
                <w:tcPr>
                  <w:tcW w:w="449" w:type="pct"/>
                  <w:noWrap w:val="0"/>
                  <w:vAlign w:val="center"/>
                </w:tcPr>
                <w:p w14:paraId="0B9C064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353" w:type="pct"/>
                  <w:noWrap w:val="0"/>
                  <w:vAlign w:val="center"/>
                </w:tcPr>
                <w:p w14:paraId="7DD6216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842" w:type="pct"/>
                  <w:vMerge w:val="continue"/>
                  <w:noWrap w:val="0"/>
                  <w:vAlign w:val="center"/>
                </w:tcPr>
                <w:p w14:paraId="5D697F58">
                  <w:pPr>
                    <w:jc w:val="center"/>
                    <w:rPr>
                      <w:rFonts w:hint="default" w:ascii="Times New Roman" w:hAnsi="Times New Roman" w:eastAsia="宋体" w:cs="Times New Roman"/>
                      <w:color w:val="auto"/>
                      <w:sz w:val="21"/>
                      <w:szCs w:val="21"/>
                      <w:highlight w:val="none"/>
                    </w:rPr>
                  </w:pPr>
                </w:p>
              </w:tc>
            </w:tr>
            <w:tr w14:paraId="2511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211" w:type="pct"/>
                  <w:vMerge w:val="continue"/>
                  <w:noWrap w:val="0"/>
                  <w:vAlign w:val="center"/>
                </w:tcPr>
                <w:p w14:paraId="4B8B71F3">
                  <w:pPr>
                    <w:pStyle w:val="43"/>
                    <w:spacing w:before="1" w:line="213" w:lineRule="exact"/>
                    <w:ind w:left="38" w:right="11"/>
                    <w:jc w:val="center"/>
                    <w:rPr>
                      <w:rFonts w:hint="default" w:ascii="Times New Roman" w:hAnsi="Times New Roman" w:eastAsia="宋体" w:cs="Times New Roman"/>
                      <w:color w:val="auto"/>
                      <w:sz w:val="21"/>
                      <w:szCs w:val="21"/>
                      <w:highlight w:val="none"/>
                      <w:lang w:eastAsia="zh-CN"/>
                    </w:rPr>
                  </w:pPr>
                </w:p>
              </w:tc>
              <w:tc>
                <w:tcPr>
                  <w:tcW w:w="392" w:type="pct"/>
                  <w:noWrap w:val="0"/>
                  <w:vAlign w:val="center"/>
                </w:tcPr>
                <w:p w14:paraId="598E655C">
                  <w:pPr>
                    <w:pStyle w:val="43"/>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SO</w:t>
                  </w:r>
                  <w:r>
                    <w:rPr>
                      <w:rFonts w:hint="default" w:ascii="Times New Roman" w:hAnsi="Times New Roman" w:eastAsia="宋体" w:cs="Times New Roman"/>
                      <w:color w:val="auto"/>
                      <w:sz w:val="21"/>
                      <w:szCs w:val="21"/>
                      <w:highlight w:val="none"/>
                      <w:vertAlign w:val="subscript"/>
                      <w:lang w:eastAsia="zh-CN"/>
                    </w:rPr>
                    <w:t>2</w:t>
                  </w:r>
                </w:p>
              </w:tc>
              <w:tc>
                <w:tcPr>
                  <w:tcW w:w="565" w:type="pct"/>
                  <w:noWrap w:val="0"/>
                  <w:vAlign w:val="center"/>
                </w:tcPr>
                <w:p w14:paraId="6F4E6125">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17S千克/吨-原料</w:t>
                  </w:r>
                </w:p>
              </w:tc>
              <w:tc>
                <w:tcPr>
                  <w:tcW w:w="374" w:type="pct"/>
                  <w:tcBorders>
                    <w:top w:val="single" w:color="auto" w:sz="4" w:space="0"/>
                  </w:tcBorders>
                  <w:noWrap w:val="0"/>
                  <w:vAlign w:val="center"/>
                </w:tcPr>
                <w:p w14:paraId="7E84832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1920</w:t>
                  </w:r>
                  <w:r>
                    <w:rPr>
                      <w:rFonts w:hint="default" w:ascii="Times New Roman" w:hAnsi="Times New Roman" w:eastAsia="宋体" w:cs="Times New Roman"/>
                      <w:color w:val="auto"/>
                      <w:sz w:val="21"/>
                      <w:szCs w:val="21"/>
                      <w:highlight w:val="none"/>
                    </w:rPr>
                    <w:t>t/a</w:t>
                  </w:r>
                </w:p>
              </w:tc>
              <w:tc>
                <w:tcPr>
                  <w:tcW w:w="239" w:type="pct"/>
                  <w:tcBorders>
                    <w:top w:val="single" w:color="auto" w:sz="4" w:space="0"/>
                  </w:tcBorders>
                  <w:noWrap w:val="0"/>
                  <w:vAlign w:val="center"/>
                </w:tcPr>
                <w:p w14:paraId="559C04A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418" w:type="pct"/>
                  <w:tcBorders>
                    <w:top w:val="single" w:color="auto" w:sz="4" w:space="0"/>
                  </w:tcBorders>
                  <w:noWrap w:val="0"/>
                  <w:vAlign w:val="center"/>
                </w:tcPr>
                <w:p w14:paraId="4941AB3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0.98</w:t>
                  </w:r>
                </w:p>
              </w:tc>
              <w:tc>
                <w:tcPr>
                  <w:tcW w:w="318" w:type="pct"/>
                  <w:vMerge w:val="continue"/>
                  <w:noWrap w:val="0"/>
                  <w:vAlign w:val="center"/>
                </w:tcPr>
                <w:p w14:paraId="0AF25B78">
                  <w:pPr>
                    <w:pStyle w:val="43"/>
                    <w:jc w:val="center"/>
                    <w:rPr>
                      <w:rFonts w:hint="default" w:ascii="Times New Roman" w:hAnsi="Times New Roman" w:eastAsia="宋体" w:cs="Times New Roman"/>
                      <w:color w:val="auto"/>
                      <w:sz w:val="21"/>
                      <w:szCs w:val="21"/>
                      <w:highlight w:val="none"/>
                      <w:lang w:eastAsia="zh-CN"/>
                    </w:rPr>
                  </w:pPr>
                </w:p>
              </w:tc>
              <w:tc>
                <w:tcPr>
                  <w:tcW w:w="834" w:type="pct"/>
                  <w:gridSpan w:val="2"/>
                  <w:vMerge w:val="continue"/>
                  <w:noWrap w:val="0"/>
                  <w:vAlign w:val="center"/>
                </w:tcPr>
                <w:p w14:paraId="3E2BCC5E">
                  <w:pPr>
                    <w:pStyle w:val="43"/>
                    <w:jc w:val="center"/>
                    <w:rPr>
                      <w:rFonts w:hint="default" w:ascii="Times New Roman" w:hAnsi="Times New Roman" w:eastAsia="宋体" w:cs="Times New Roman"/>
                      <w:color w:val="auto"/>
                      <w:sz w:val="21"/>
                      <w:szCs w:val="21"/>
                      <w:highlight w:val="none"/>
                      <w:lang w:eastAsia="zh-CN"/>
                    </w:rPr>
                  </w:pPr>
                </w:p>
              </w:tc>
              <w:tc>
                <w:tcPr>
                  <w:tcW w:w="449" w:type="pct"/>
                  <w:noWrap w:val="0"/>
                  <w:vAlign w:val="center"/>
                </w:tcPr>
                <w:p w14:paraId="460ECBB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353" w:type="pct"/>
                  <w:noWrap w:val="0"/>
                  <w:vAlign w:val="center"/>
                </w:tcPr>
                <w:p w14:paraId="2481FC9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842" w:type="pct"/>
                  <w:vMerge w:val="continue"/>
                  <w:noWrap w:val="0"/>
                  <w:vAlign w:val="center"/>
                </w:tcPr>
                <w:p w14:paraId="100AEE3B">
                  <w:pPr>
                    <w:jc w:val="center"/>
                    <w:rPr>
                      <w:rFonts w:hint="default" w:ascii="Times New Roman" w:hAnsi="Times New Roman" w:eastAsia="宋体" w:cs="Times New Roman"/>
                      <w:color w:val="auto"/>
                      <w:sz w:val="21"/>
                      <w:szCs w:val="21"/>
                      <w:highlight w:val="none"/>
                    </w:rPr>
                  </w:pPr>
                </w:p>
              </w:tc>
            </w:tr>
            <w:tr w14:paraId="58F4E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211" w:type="pct"/>
                  <w:vMerge w:val="continue"/>
                  <w:noWrap w:val="0"/>
                  <w:vAlign w:val="center"/>
                </w:tcPr>
                <w:p w14:paraId="18726016">
                  <w:pPr>
                    <w:pStyle w:val="43"/>
                    <w:spacing w:before="1" w:line="213" w:lineRule="exact"/>
                    <w:ind w:left="38" w:right="11"/>
                    <w:jc w:val="center"/>
                    <w:rPr>
                      <w:rFonts w:hint="default" w:ascii="Times New Roman" w:hAnsi="Times New Roman" w:eastAsia="宋体" w:cs="Times New Roman"/>
                      <w:color w:val="auto"/>
                      <w:sz w:val="21"/>
                      <w:szCs w:val="21"/>
                      <w:highlight w:val="none"/>
                      <w:lang w:eastAsia="zh-CN"/>
                    </w:rPr>
                  </w:pPr>
                </w:p>
              </w:tc>
              <w:tc>
                <w:tcPr>
                  <w:tcW w:w="392" w:type="pct"/>
                  <w:noWrap w:val="0"/>
                  <w:vAlign w:val="center"/>
                </w:tcPr>
                <w:p w14:paraId="74891E3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X</w:t>
                  </w:r>
                </w:p>
              </w:tc>
              <w:tc>
                <w:tcPr>
                  <w:tcW w:w="565" w:type="pct"/>
                  <w:noWrap w:val="0"/>
                  <w:vAlign w:val="center"/>
                </w:tcPr>
                <w:p w14:paraId="044DB70B">
                  <w:pPr>
                    <w:pStyle w:val="12"/>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1.02千克/吨-原料</w:t>
                  </w:r>
                </w:p>
              </w:tc>
              <w:tc>
                <w:tcPr>
                  <w:tcW w:w="374" w:type="pct"/>
                  <w:tcBorders>
                    <w:top w:val="single" w:color="auto" w:sz="4" w:space="0"/>
                  </w:tcBorders>
                  <w:noWrap w:val="0"/>
                  <w:vAlign w:val="center"/>
                </w:tcPr>
                <w:p w14:paraId="7991A2B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1920</w:t>
                  </w:r>
                  <w:r>
                    <w:rPr>
                      <w:rFonts w:hint="default" w:ascii="Times New Roman" w:hAnsi="Times New Roman" w:eastAsia="宋体" w:cs="Times New Roman"/>
                      <w:color w:val="auto"/>
                      <w:sz w:val="21"/>
                      <w:szCs w:val="21"/>
                      <w:highlight w:val="none"/>
                    </w:rPr>
                    <w:t>t/a</w:t>
                  </w:r>
                </w:p>
              </w:tc>
              <w:tc>
                <w:tcPr>
                  <w:tcW w:w="239" w:type="pct"/>
                  <w:tcBorders>
                    <w:top w:val="single" w:color="auto" w:sz="4" w:space="0"/>
                  </w:tcBorders>
                  <w:noWrap w:val="0"/>
                  <w:vAlign w:val="center"/>
                </w:tcPr>
                <w:p w14:paraId="43E5B5D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418" w:type="pct"/>
                  <w:tcBorders>
                    <w:top w:val="single" w:color="auto" w:sz="4" w:space="0"/>
                  </w:tcBorders>
                  <w:noWrap w:val="0"/>
                  <w:vAlign w:val="center"/>
                </w:tcPr>
                <w:p w14:paraId="683E8C0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1.96</w:t>
                  </w:r>
                </w:p>
              </w:tc>
              <w:tc>
                <w:tcPr>
                  <w:tcW w:w="318" w:type="pct"/>
                  <w:vMerge w:val="continue"/>
                  <w:noWrap w:val="0"/>
                  <w:vAlign w:val="center"/>
                </w:tcPr>
                <w:p w14:paraId="0B7C68E2">
                  <w:pPr>
                    <w:pStyle w:val="43"/>
                    <w:jc w:val="center"/>
                    <w:rPr>
                      <w:rFonts w:hint="default" w:ascii="Times New Roman" w:hAnsi="Times New Roman" w:eastAsia="宋体" w:cs="Times New Roman"/>
                      <w:color w:val="auto"/>
                      <w:sz w:val="21"/>
                      <w:szCs w:val="21"/>
                      <w:highlight w:val="none"/>
                      <w:lang w:eastAsia="zh-CN"/>
                    </w:rPr>
                  </w:pPr>
                </w:p>
              </w:tc>
              <w:tc>
                <w:tcPr>
                  <w:tcW w:w="834" w:type="pct"/>
                  <w:gridSpan w:val="2"/>
                  <w:vMerge w:val="continue"/>
                  <w:noWrap w:val="0"/>
                  <w:vAlign w:val="center"/>
                </w:tcPr>
                <w:p w14:paraId="3AA5D750">
                  <w:pPr>
                    <w:pStyle w:val="43"/>
                    <w:jc w:val="center"/>
                    <w:rPr>
                      <w:rFonts w:hint="default" w:ascii="Times New Roman" w:hAnsi="Times New Roman" w:eastAsia="宋体" w:cs="Times New Roman"/>
                      <w:color w:val="auto"/>
                      <w:sz w:val="21"/>
                      <w:szCs w:val="21"/>
                      <w:highlight w:val="none"/>
                      <w:lang w:eastAsia="zh-CN"/>
                    </w:rPr>
                  </w:pPr>
                </w:p>
              </w:tc>
              <w:tc>
                <w:tcPr>
                  <w:tcW w:w="449" w:type="pct"/>
                  <w:noWrap w:val="0"/>
                  <w:vAlign w:val="center"/>
                </w:tcPr>
                <w:p w14:paraId="7607F7A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353" w:type="pct"/>
                  <w:noWrap w:val="0"/>
                  <w:vAlign w:val="center"/>
                </w:tcPr>
                <w:p w14:paraId="58A9E64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842" w:type="pct"/>
                  <w:vMerge w:val="continue"/>
                  <w:noWrap w:val="0"/>
                  <w:vAlign w:val="center"/>
                </w:tcPr>
                <w:p w14:paraId="5A054E62">
                  <w:pPr>
                    <w:jc w:val="center"/>
                    <w:rPr>
                      <w:rFonts w:hint="default" w:ascii="Times New Roman" w:hAnsi="Times New Roman" w:eastAsia="宋体" w:cs="Times New Roman"/>
                      <w:color w:val="auto"/>
                      <w:sz w:val="21"/>
                      <w:szCs w:val="21"/>
                      <w:highlight w:val="none"/>
                    </w:rPr>
                  </w:pPr>
                </w:p>
              </w:tc>
            </w:tr>
            <w:tr w14:paraId="1020B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11" w:type="pct"/>
                  <w:vMerge w:val="restart"/>
                  <w:noWrap w:val="0"/>
                  <w:vAlign w:val="center"/>
                </w:tcPr>
                <w:p w14:paraId="50DAC9F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制棒、炭化</w:t>
                  </w:r>
                </w:p>
                <w:p w14:paraId="72C3336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392" w:type="pct"/>
                  <w:noWrap w:val="0"/>
                  <w:vAlign w:val="center"/>
                </w:tcPr>
                <w:p w14:paraId="10EEFA5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工业废气量</w:t>
                  </w:r>
                </w:p>
              </w:tc>
              <w:tc>
                <w:tcPr>
                  <w:tcW w:w="565" w:type="pct"/>
                  <w:noWrap w:val="0"/>
                  <w:vAlign w:val="center"/>
                </w:tcPr>
                <w:p w14:paraId="3EB565E8">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rPr>
                    <w:t>4</w:t>
                  </w:r>
                  <w:r>
                    <w:rPr>
                      <w:rFonts w:hint="default" w:ascii="Times New Roman" w:hAnsi="Times New Roman" w:eastAsia="宋体" w:cs="Times New Roman"/>
                      <w:color w:val="auto"/>
                      <w:kern w:val="0"/>
                      <w:sz w:val="21"/>
                      <w:szCs w:val="21"/>
                      <w:highlight w:val="none"/>
                    </w:rPr>
                    <w:t>标立方米/吨-产品</w:t>
                  </w:r>
                </w:p>
              </w:tc>
              <w:tc>
                <w:tcPr>
                  <w:tcW w:w="374" w:type="pct"/>
                  <w:noWrap w:val="0"/>
                  <w:vAlign w:val="center"/>
                </w:tcPr>
                <w:p w14:paraId="0FE030B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9600</w:t>
                  </w:r>
                  <w:r>
                    <w:rPr>
                      <w:rFonts w:hint="default" w:ascii="Times New Roman" w:hAnsi="Times New Roman" w:eastAsia="宋体" w:cs="Times New Roman"/>
                      <w:color w:val="auto"/>
                      <w:sz w:val="21"/>
                      <w:szCs w:val="21"/>
                      <w:highlight w:val="none"/>
                    </w:rPr>
                    <w:t>t/a</w:t>
                  </w:r>
                </w:p>
              </w:tc>
              <w:tc>
                <w:tcPr>
                  <w:tcW w:w="657" w:type="pct"/>
                  <w:gridSpan w:val="2"/>
                  <w:noWrap w:val="0"/>
                  <w:vAlign w:val="center"/>
                </w:tcPr>
                <w:p w14:paraId="0D8AF55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434380800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r>
                    <w:rPr>
                      <w:rFonts w:hint="default" w:ascii="Times New Roman" w:hAnsi="Times New Roman" w:cs="Times New Roman" w:eastAsiaTheme="minorEastAsia"/>
                      <w:color w:val="auto"/>
                      <w:sz w:val="21"/>
                      <w:szCs w:val="21"/>
                      <w:highlight w:val="none"/>
                      <w:lang w:val="en-US" w:eastAsia="zh-CN"/>
                    </w:rPr>
                    <w:t>4.22</w:t>
                  </w:r>
                  <w:r>
                    <w:rPr>
                      <w:rFonts w:hint="eastAsia" w:cs="Times New Roman" w:eastAsiaTheme="minorEastAsia"/>
                      <w:color w:val="auto"/>
                      <w:sz w:val="21"/>
                      <w:szCs w:val="21"/>
                      <w:highlight w:val="none"/>
                      <w:lang w:val="en-US" w:eastAsia="zh-CN"/>
                    </w:rPr>
                    <w:t>4</w:t>
                  </w:r>
                  <w:r>
                    <w:rPr>
                      <w:rFonts w:hint="default" w:ascii="Times New Roman" w:hAnsi="Times New Roman" w:cs="Times New Roman" w:eastAsiaTheme="minorEastAsia"/>
                      <w:color w:val="auto"/>
                      <w:sz w:val="21"/>
                      <w:szCs w:val="21"/>
                      <w:highlight w:val="none"/>
                    </w:rPr>
                    <w:t>×10</w:t>
                  </w:r>
                  <w:r>
                    <w:rPr>
                      <w:rFonts w:hint="eastAsia" w:cs="Times New Roman" w:eastAsiaTheme="minorEastAsia"/>
                      <w:color w:val="auto"/>
                      <w:sz w:val="21"/>
                      <w:szCs w:val="21"/>
                      <w:highlight w:val="none"/>
                      <w:vertAlign w:val="superscript"/>
                      <w:lang w:val="en-US" w:eastAsia="zh-CN"/>
                    </w:rPr>
                    <w:t>8</w:t>
                  </w:r>
                  <w:r>
                    <w:rPr>
                      <w:rFonts w:hint="default" w:ascii="Times New Roman" w:hAnsi="Times New Roman" w:cs="Times New Roman" w:eastAsiaTheme="minorEastAsia"/>
                      <w:color w:val="auto"/>
                      <w:sz w:val="21"/>
                      <w:szCs w:val="21"/>
                      <w:highlight w:val="none"/>
                    </w:rPr>
                    <w:t>m</w:t>
                  </w:r>
                  <w:r>
                    <w:rPr>
                      <w:rFonts w:hint="default" w:ascii="Times New Roman" w:hAnsi="Times New Roman" w:cs="Times New Roman" w:eastAsiaTheme="minorEastAsia"/>
                      <w:color w:val="auto"/>
                      <w:sz w:val="21"/>
                      <w:szCs w:val="21"/>
                      <w:highlight w:val="none"/>
                      <w:vertAlign w:val="superscript"/>
                    </w:rPr>
                    <w:t>3</w:t>
                  </w:r>
                  <w:r>
                    <w:rPr>
                      <w:rFonts w:hint="default" w:ascii="Times New Roman" w:hAnsi="Times New Roman" w:cs="Times New Roman" w:eastAsiaTheme="minorEastAsia"/>
                      <w:color w:val="auto"/>
                      <w:sz w:val="21"/>
                      <w:szCs w:val="21"/>
                      <w:highlight w:val="none"/>
                    </w:rPr>
                    <w:t>/a</w:t>
                  </w:r>
                  <w:r>
                    <w:rPr>
                      <w:rFonts w:hint="default" w:ascii="Times New Roman" w:hAnsi="Times New Roman" w:eastAsia="宋体" w:cs="Times New Roman"/>
                      <w:color w:val="auto"/>
                      <w:sz w:val="21"/>
                      <w:szCs w:val="21"/>
                      <w:highlight w:val="none"/>
                    </w:rPr>
                    <w:t>+烘干工段</w:t>
                  </w:r>
                  <w:r>
                    <w:rPr>
                      <w:rFonts w:hint="default" w:ascii="Times New Roman" w:hAnsi="Times New Roman" w:eastAsia="宋体" w:cs="Times New Roman"/>
                      <w:color w:val="auto"/>
                      <w:sz w:val="21"/>
                      <w:szCs w:val="21"/>
                      <w:highlight w:val="none"/>
                      <w:lang w:val="en-US" w:eastAsia="zh-CN"/>
                    </w:rPr>
                    <w:t>11980800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318" w:type="pct"/>
                  <w:vMerge w:val="continue"/>
                  <w:noWrap w:val="0"/>
                  <w:vAlign w:val="center"/>
                </w:tcPr>
                <w:p w14:paraId="73C7CBF5">
                  <w:pPr>
                    <w:pStyle w:val="43"/>
                    <w:jc w:val="center"/>
                    <w:rPr>
                      <w:rFonts w:hint="default" w:ascii="Times New Roman" w:hAnsi="Times New Roman" w:eastAsia="宋体" w:cs="Times New Roman"/>
                      <w:color w:val="auto"/>
                      <w:sz w:val="21"/>
                      <w:szCs w:val="21"/>
                      <w:highlight w:val="none"/>
                      <w:lang w:eastAsia="zh-CN"/>
                    </w:rPr>
                  </w:pPr>
                </w:p>
              </w:tc>
              <w:tc>
                <w:tcPr>
                  <w:tcW w:w="834" w:type="pct"/>
                  <w:gridSpan w:val="2"/>
                  <w:vMerge w:val="continue"/>
                  <w:noWrap w:val="0"/>
                  <w:vAlign w:val="center"/>
                </w:tcPr>
                <w:p w14:paraId="7FEC8341">
                  <w:pPr>
                    <w:pStyle w:val="50"/>
                    <w:jc w:val="center"/>
                    <w:rPr>
                      <w:rFonts w:hint="default" w:ascii="Times New Roman" w:hAnsi="Times New Roman" w:eastAsia="宋体" w:cs="Times New Roman"/>
                      <w:color w:val="auto"/>
                      <w:sz w:val="21"/>
                      <w:szCs w:val="21"/>
                      <w:highlight w:val="none"/>
                    </w:rPr>
                  </w:pPr>
                </w:p>
              </w:tc>
              <w:tc>
                <w:tcPr>
                  <w:tcW w:w="802" w:type="pct"/>
                  <w:gridSpan w:val="2"/>
                  <w:noWrap w:val="0"/>
                  <w:vAlign w:val="center"/>
                </w:tcPr>
                <w:p w14:paraId="6ED3A7C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434380800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842" w:type="pct"/>
                  <w:vMerge w:val="continue"/>
                  <w:noWrap w:val="0"/>
                  <w:vAlign w:val="center"/>
                </w:tcPr>
                <w:p w14:paraId="717FE6B9">
                  <w:pPr>
                    <w:pStyle w:val="43"/>
                    <w:jc w:val="center"/>
                    <w:rPr>
                      <w:rFonts w:hint="default" w:ascii="Times New Roman" w:hAnsi="Times New Roman" w:eastAsia="宋体" w:cs="Times New Roman"/>
                      <w:color w:val="auto"/>
                      <w:sz w:val="21"/>
                      <w:szCs w:val="21"/>
                      <w:highlight w:val="none"/>
                      <w:lang w:eastAsia="zh-CN"/>
                    </w:rPr>
                  </w:pPr>
                </w:p>
              </w:tc>
            </w:tr>
            <w:tr w14:paraId="5BE96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 w:hRule="atLeast"/>
                <w:jc w:val="center"/>
              </w:trPr>
              <w:tc>
                <w:tcPr>
                  <w:tcW w:w="211" w:type="pct"/>
                  <w:vMerge w:val="continue"/>
                  <w:noWrap w:val="0"/>
                  <w:vAlign w:val="center"/>
                </w:tcPr>
                <w:p w14:paraId="10DCC72B">
                  <w:pPr>
                    <w:jc w:val="center"/>
                    <w:rPr>
                      <w:rFonts w:hint="default" w:ascii="Times New Roman" w:hAnsi="Times New Roman" w:eastAsia="宋体" w:cs="Times New Roman"/>
                      <w:color w:val="auto"/>
                      <w:sz w:val="21"/>
                      <w:szCs w:val="21"/>
                      <w:highlight w:val="none"/>
                    </w:rPr>
                  </w:pPr>
                </w:p>
              </w:tc>
              <w:tc>
                <w:tcPr>
                  <w:tcW w:w="392" w:type="pct"/>
                  <w:noWrap w:val="0"/>
                  <w:vAlign w:val="center"/>
                </w:tcPr>
                <w:p w14:paraId="48767F2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烟尘</w:t>
                  </w:r>
                </w:p>
              </w:tc>
              <w:tc>
                <w:tcPr>
                  <w:tcW w:w="565" w:type="pct"/>
                  <w:noWrap w:val="0"/>
                  <w:vAlign w:val="center"/>
                </w:tcPr>
                <w:p w14:paraId="2BD06B21">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11.4</w:t>
                  </w:r>
                  <w:r>
                    <w:rPr>
                      <w:rFonts w:hint="default" w:ascii="Times New Roman" w:hAnsi="Times New Roman" w:eastAsia="宋体" w:cs="Times New Roman"/>
                      <w:color w:val="auto"/>
                      <w:kern w:val="0"/>
                      <w:sz w:val="21"/>
                      <w:szCs w:val="21"/>
                      <w:highlight w:val="none"/>
                    </w:rPr>
                    <w:t>千克/吨-产品</w:t>
                  </w:r>
                </w:p>
              </w:tc>
              <w:tc>
                <w:tcPr>
                  <w:tcW w:w="374" w:type="pct"/>
                  <w:noWrap w:val="0"/>
                  <w:vAlign w:val="center"/>
                </w:tcPr>
                <w:p w14:paraId="2E820EA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9600</w:t>
                  </w:r>
                  <w:r>
                    <w:rPr>
                      <w:rFonts w:hint="default" w:ascii="Times New Roman" w:hAnsi="Times New Roman" w:eastAsia="宋体" w:cs="Times New Roman"/>
                      <w:color w:val="auto"/>
                      <w:sz w:val="21"/>
                      <w:szCs w:val="21"/>
                      <w:highlight w:val="none"/>
                    </w:rPr>
                    <w:t>t/a</w:t>
                  </w:r>
                </w:p>
              </w:tc>
              <w:tc>
                <w:tcPr>
                  <w:tcW w:w="239" w:type="pct"/>
                  <w:noWrap w:val="0"/>
                  <w:vAlign w:val="center"/>
                </w:tcPr>
                <w:p w14:paraId="359A2269">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1350.5</w:t>
                  </w:r>
                </w:p>
              </w:tc>
              <w:tc>
                <w:tcPr>
                  <w:tcW w:w="418" w:type="pct"/>
                  <w:noWrap w:val="0"/>
                  <w:vAlign w:val="center"/>
                </w:tcPr>
                <w:p w14:paraId="7010D594">
                  <w:pPr>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586.63</w:t>
                  </w:r>
                  <w:r>
                    <w:rPr>
                      <w:rFonts w:hint="default" w:ascii="Times New Roman" w:hAnsi="Times New Roman" w:eastAsia="宋体" w:cs="Times New Roman"/>
                      <w:color w:val="auto"/>
                      <w:sz w:val="21"/>
                      <w:szCs w:val="21"/>
                      <w:highlight w:val="none"/>
                    </w:rPr>
                    <w:t>t/a（</w:t>
                  </w:r>
                  <w:r>
                    <w:rPr>
                      <w:rFonts w:hint="default" w:ascii="Times New Roman" w:hAnsi="Times New Roman" w:eastAsia="宋体" w:cs="Times New Roman"/>
                      <w:color w:val="auto"/>
                      <w:sz w:val="21"/>
                      <w:szCs w:val="21"/>
                      <w:highlight w:val="none"/>
                      <w:lang w:val="en-US" w:eastAsia="zh-CN"/>
                    </w:rPr>
                    <w:t>109.44</w:t>
                  </w:r>
                  <w:r>
                    <w:rPr>
                      <w:rFonts w:hint="default" w:ascii="Times New Roman" w:hAnsi="Times New Roman" w:eastAsia="宋体" w:cs="Times New Roman"/>
                      <w:color w:val="auto"/>
                      <w:sz w:val="21"/>
                      <w:szCs w:val="21"/>
                      <w:highlight w:val="none"/>
                    </w:rPr>
                    <w:t>t/a+烘干工段</w:t>
                  </w:r>
                  <w:r>
                    <w:rPr>
                      <w:rFonts w:hint="eastAsia" w:cs="Times New Roman"/>
                      <w:color w:val="auto"/>
                      <w:sz w:val="21"/>
                      <w:szCs w:val="21"/>
                      <w:highlight w:val="none"/>
                      <w:lang w:val="en-US" w:eastAsia="zh-CN"/>
                    </w:rPr>
                    <w:t>477</w:t>
                  </w:r>
                  <w:r>
                    <w:rPr>
                      <w:rFonts w:hint="default" w:ascii="Times New Roman" w:hAnsi="Times New Roman" w:eastAsia="宋体"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rPr>
                    <w:t>）</w:t>
                  </w:r>
                </w:p>
              </w:tc>
              <w:tc>
                <w:tcPr>
                  <w:tcW w:w="318" w:type="pct"/>
                  <w:vMerge w:val="continue"/>
                  <w:noWrap w:val="0"/>
                  <w:vAlign w:val="center"/>
                </w:tcPr>
                <w:p w14:paraId="149F12B5">
                  <w:pPr>
                    <w:pStyle w:val="43"/>
                    <w:jc w:val="center"/>
                    <w:rPr>
                      <w:rFonts w:hint="default" w:ascii="Times New Roman" w:hAnsi="Times New Roman" w:eastAsia="宋体" w:cs="Times New Roman"/>
                      <w:color w:val="auto"/>
                      <w:sz w:val="21"/>
                      <w:szCs w:val="21"/>
                      <w:highlight w:val="none"/>
                      <w:lang w:eastAsia="zh-CN"/>
                    </w:rPr>
                  </w:pPr>
                </w:p>
              </w:tc>
              <w:tc>
                <w:tcPr>
                  <w:tcW w:w="834" w:type="pct"/>
                  <w:gridSpan w:val="2"/>
                  <w:vMerge w:val="continue"/>
                  <w:noWrap w:val="0"/>
                  <w:vAlign w:val="center"/>
                </w:tcPr>
                <w:p w14:paraId="6F1C617C">
                  <w:pPr>
                    <w:pStyle w:val="50"/>
                    <w:jc w:val="center"/>
                    <w:rPr>
                      <w:rFonts w:hint="default" w:ascii="Times New Roman" w:hAnsi="Times New Roman" w:eastAsia="宋体" w:cs="Times New Roman"/>
                      <w:color w:val="auto"/>
                      <w:sz w:val="21"/>
                      <w:szCs w:val="21"/>
                      <w:highlight w:val="none"/>
                    </w:rPr>
                  </w:pPr>
                </w:p>
              </w:tc>
              <w:tc>
                <w:tcPr>
                  <w:tcW w:w="449" w:type="pct"/>
                  <w:noWrap w:val="0"/>
                  <w:vAlign w:val="center"/>
                </w:tcPr>
                <w:p w14:paraId="381A784D">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67.52</w:t>
                  </w:r>
                </w:p>
              </w:tc>
              <w:tc>
                <w:tcPr>
                  <w:tcW w:w="353" w:type="pct"/>
                  <w:noWrap w:val="0"/>
                  <w:vAlign w:val="center"/>
                </w:tcPr>
                <w:p w14:paraId="55367D4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29.33</w:t>
                  </w:r>
                </w:p>
              </w:tc>
              <w:tc>
                <w:tcPr>
                  <w:tcW w:w="842" w:type="pct"/>
                  <w:vMerge w:val="continue"/>
                  <w:noWrap w:val="0"/>
                  <w:vAlign w:val="center"/>
                </w:tcPr>
                <w:p w14:paraId="28BE060C">
                  <w:pPr>
                    <w:pStyle w:val="43"/>
                    <w:jc w:val="center"/>
                    <w:rPr>
                      <w:rFonts w:hint="default" w:ascii="Times New Roman" w:hAnsi="Times New Roman" w:eastAsia="宋体" w:cs="Times New Roman"/>
                      <w:color w:val="auto"/>
                      <w:sz w:val="21"/>
                      <w:szCs w:val="21"/>
                      <w:highlight w:val="none"/>
                      <w:lang w:eastAsia="zh-CN"/>
                    </w:rPr>
                  </w:pPr>
                </w:p>
              </w:tc>
            </w:tr>
            <w:tr w14:paraId="0D0B8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9" w:hRule="atLeast"/>
                <w:jc w:val="center"/>
              </w:trPr>
              <w:tc>
                <w:tcPr>
                  <w:tcW w:w="211" w:type="pct"/>
                  <w:vMerge w:val="continue"/>
                  <w:noWrap w:val="0"/>
                  <w:vAlign w:val="center"/>
                </w:tcPr>
                <w:p w14:paraId="2F87C367">
                  <w:pPr>
                    <w:pStyle w:val="43"/>
                    <w:spacing w:before="1" w:line="213" w:lineRule="exact"/>
                    <w:ind w:left="38" w:right="11"/>
                    <w:jc w:val="center"/>
                    <w:rPr>
                      <w:rFonts w:hint="default" w:ascii="Times New Roman" w:hAnsi="Times New Roman" w:eastAsia="宋体" w:cs="Times New Roman"/>
                      <w:color w:val="auto"/>
                      <w:sz w:val="21"/>
                      <w:szCs w:val="21"/>
                      <w:highlight w:val="none"/>
                      <w:lang w:eastAsia="zh-CN"/>
                    </w:rPr>
                  </w:pPr>
                </w:p>
              </w:tc>
              <w:tc>
                <w:tcPr>
                  <w:tcW w:w="392" w:type="pct"/>
                  <w:noWrap w:val="0"/>
                  <w:vAlign w:val="center"/>
                </w:tcPr>
                <w:p w14:paraId="7A3F9710">
                  <w:pPr>
                    <w:pStyle w:val="43"/>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SO</w:t>
                  </w:r>
                  <w:r>
                    <w:rPr>
                      <w:rFonts w:hint="default" w:ascii="Times New Roman" w:hAnsi="Times New Roman" w:eastAsia="宋体" w:cs="Times New Roman"/>
                      <w:color w:val="auto"/>
                      <w:sz w:val="21"/>
                      <w:szCs w:val="21"/>
                      <w:highlight w:val="none"/>
                      <w:vertAlign w:val="subscript"/>
                      <w:lang w:eastAsia="zh-CN"/>
                    </w:rPr>
                    <w:t>2</w:t>
                  </w:r>
                </w:p>
              </w:tc>
              <w:tc>
                <w:tcPr>
                  <w:tcW w:w="565" w:type="pct"/>
                  <w:noWrap w:val="0"/>
                  <w:vAlign w:val="center"/>
                </w:tcPr>
                <w:p w14:paraId="751784E1">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2.35</w:t>
                  </w:r>
                  <w:r>
                    <w:rPr>
                      <w:rFonts w:hint="default" w:ascii="Times New Roman" w:hAnsi="Times New Roman" w:eastAsia="宋体" w:cs="Times New Roman"/>
                      <w:color w:val="auto"/>
                      <w:kern w:val="0"/>
                      <w:sz w:val="21"/>
                      <w:szCs w:val="21"/>
                      <w:highlight w:val="none"/>
                    </w:rPr>
                    <w:t>千克/吨-产品</w:t>
                  </w:r>
                </w:p>
              </w:tc>
              <w:tc>
                <w:tcPr>
                  <w:tcW w:w="374" w:type="pct"/>
                  <w:noWrap w:val="0"/>
                  <w:vAlign w:val="center"/>
                </w:tcPr>
                <w:p w14:paraId="4BF48C5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9600</w:t>
                  </w:r>
                  <w:r>
                    <w:rPr>
                      <w:rFonts w:hint="default" w:ascii="Times New Roman" w:hAnsi="Times New Roman" w:eastAsia="宋体" w:cs="Times New Roman"/>
                      <w:color w:val="auto"/>
                      <w:sz w:val="21"/>
                      <w:szCs w:val="21"/>
                      <w:highlight w:val="none"/>
                    </w:rPr>
                    <w:t>t/a</w:t>
                  </w:r>
                </w:p>
              </w:tc>
              <w:tc>
                <w:tcPr>
                  <w:tcW w:w="239" w:type="pct"/>
                  <w:noWrap w:val="0"/>
                  <w:vAlign w:val="center"/>
                </w:tcPr>
                <w:p w14:paraId="6B1AECC3">
                  <w:pPr>
                    <w:widowControl/>
                    <w:jc w:val="center"/>
                    <w:textAlignment w:val="top"/>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54.</w:t>
                  </w:r>
                </w:p>
                <w:p w14:paraId="04A32CCE">
                  <w:pPr>
                    <w:widowControl/>
                    <w:jc w:val="center"/>
                    <w:textAlignment w:val="top"/>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418" w:type="pct"/>
                  <w:noWrap w:val="0"/>
                  <w:vAlign w:val="center"/>
                </w:tcPr>
                <w:p w14:paraId="0282350F">
                  <w:pPr>
                    <w:widowControl/>
                    <w:jc w:val="center"/>
                    <w:textAlignment w:val="top"/>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23.54</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22.56</w:t>
                  </w:r>
                  <w:r>
                    <w:rPr>
                      <w:rFonts w:hint="default" w:ascii="Times New Roman" w:hAnsi="Times New Roman" w:eastAsia="宋体" w:cs="Times New Roman"/>
                      <w:color w:val="auto"/>
                      <w:sz w:val="21"/>
                      <w:szCs w:val="21"/>
                      <w:highlight w:val="none"/>
                    </w:rPr>
                    <w:t>+烘干工段</w:t>
                  </w:r>
                  <w:r>
                    <w:rPr>
                      <w:rFonts w:hint="default" w:ascii="Times New Roman" w:hAnsi="Times New Roman" w:eastAsia="宋体" w:cs="Times New Roman"/>
                      <w:color w:val="auto"/>
                      <w:sz w:val="21"/>
                      <w:szCs w:val="21"/>
                      <w:highlight w:val="none"/>
                      <w:lang w:val="en-US" w:eastAsia="zh-CN"/>
                    </w:rPr>
                    <w:t>0.98</w:t>
                  </w:r>
                  <w:r>
                    <w:rPr>
                      <w:rFonts w:hint="default" w:ascii="Times New Roman" w:hAnsi="Times New Roman" w:eastAsia="宋体" w:cs="Times New Roman"/>
                      <w:color w:val="auto"/>
                      <w:sz w:val="21"/>
                      <w:szCs w:val="21"/>
                      <w:highlight w:val="none"/>
                    </w:rPr>
                    <w:t>）</w:t>
                  </w:r>
                </w:p>
              </w:tc>
              <w:tc>
                <w:tcPr>
                  <w:tcW w:w="318" w:type="pct"/>
                  <w:vMerge w:val="continue"/>
                  <w:noWrap w:val="0"/>
                  <w:vAlign w:val="center"/>
                </w:tcPr>
                <w:p w14:paraId="0928A0DF">
                  <w:pPr>
                    <w:pStyle w:val="43"/>
                    <w:jc w:val="center"/>
                    <w:rPr>
                      <w:rFonts w:hint="default" w:ascii="Times New Roman" w:hAnsi="Times New Roman" w:eastAsia="宋体" w:cs="Times New Roman"/>
                      <w:color w:val="auto"/>
                      <w:sz w:val="21"/>
                      <w:szCs w:val="21"/>
                      <w:highlight w:val="none"/>
                      <w:lang w:eastAsia="zh-CN"/>
                    </w:rPr>
                  </w:pPr>
                </w:p>
              </w:tc>
              <w:tc>
                <w:tcPr>
                  <w:tcW w:w="834" w:type="pct"/>
                  <w:gridSpan w:val="2"/>
                  <w:vMerge w:val="continue"/>
                  <w:noWrap w:val="0"/>
                  <w:vAlign w:val="center"/>
                </w:tcPr>
                <w:p w14:paraId="1A4A59DB">
                  <w:pPr>
                    <w:pStyle w:val="43"/>
                    <w:jc w:val="center"/>
                    <w:rPr>
                      <w:rFonts w:hint="default" w:ascii="Times New Roman" w:hAnsi="Times New Roman" w:eastAsia="宋体" w:cs="Times New Roman"/>
                      <w:color w:val="auto"/>
                      <w:sz w:val="21"/>
                      <w:szCs w:val="21"/>
                      <w:highlight w:val="none"/>
                      <w:lang w:eastAsia="zh-CN"/>
                    </w:rPr>
                  </w:pPr>
                </w:p>
              </w:tc>
              <w:tc>
                <w:tcPr>
                  <w:tcW w:w="449" w:type="pct"/>
                  <w:noWrap w:val="0"/>
                  <w:vAlign w:val="center"/>
                </w:tcPr>
                <w:p w14:paraId="2187841E">
                  <w:pPr>
                    <w:widowControl/>
                    <w:jc w:val="center"/>
                    <w:textAlignment w:val="top"/>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54.2</w:t>
                  </w:r>
                </w:p>
              </w:tc>
              <w:tc>
                <w:tcPr>
                  <w:tcW w:w="353" w:type="pct"/>
                  <w:noWrap w:val="0"/>
                  <w:vAlign w:val="center"/>
                </w:tcPr>
                <w:p w14:paraId="12A33543">
                  <w:pPr>
                    <w:widowControl/>
                    <w:jc w:val="center"/>
                    <w:textAlignment w:val="top"/>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23.54</w:t>
                  </w:r>
                </w:p>
              </w:tc>
              <w:tc>
                <w:tcPr>
                  <w:tcW w:w="842" w:type="pct"/>
                  <w:vMerge w:val="continue"/>
                  <w:noWrap w:val="0"/>
                  <w:vAlign w:val="center"/>
                </w:tcPr>
                <w:p w14:paraId="0B385F09">
                  <w:pPr>
                    <w:pStyle w:val="43"/>
                    <w:jc w:val="center"/>
                    <w:rPr>
                      <w:rFonts w:hint="default" w:ascii="Times New Roman" w:hAnsi="Times New Roman" w:eastAsia="宋体" w:cs="Times New Roman"/>
                      <w:color w:val="auto"/>
                      <w:sz w:val="21"/>
                      <w:szCs w:val="21"/>
                      <w:highlight w:val="none"/>
                      <w:lang w:eastAsia="zh-CN"/>
                    </w:rPr>
                  </w:pPr>
                </w:p>
              </w:tc>
            </w:tr>
            <w:tr w14:paraId="12D4F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9" w:hRule="atLeast"/>
                <w:jc w:val="center"/>
              </w:trPr>
              <w:tc>
                <w:tcPr>
                  <w:tcW w:w="211" w:type="pct"/>
                  <w:vMerge w:val="continue"/>
                  <w:noWrap w:val="0"/>
                  <w:vAlign w:val="center"/>
                </w:tcPr>
                <w:p w14:paraId="2F71EA20">
                  <w:pPr>
                    <w:pStyle w:val="43"/>
                    <w:spacing w:before="1" w:line="213" w:lineRule="exact"/>
                    <w:ind w:left="38" w:right="11"/>
                    <w:jc w:val="center"/>
                    <w:rPr>
                      <w:rFonts w:hint="default" w:ascii="Times New Roman" w:hAnsi="Times New Roman" w:eastAsia="宋体" w:cs="Times New Roman"/>
                      <w:color w:val="auto"/>
                      <w:sz w:val="21"/>
                      <w:szCs w:val="21"/>
                      <w:highlight w:val="none"/>
                      <w:lang w:eastAsia="zh-CN"/>
                    </w:rPr>
                  </w:pPr>
                </w:p>
              </w:tc>
              <w:tc>
                <w:tcPr>
                  <w:tcW w:w="392" w:type="pct"/>
                  <w:noWrap w:val="0"/>
                  <w:vAlign w:val="center"/>
                </w:tcPr>
                <w:p w14:paraId="41991D2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X</w:t>
                  </w:r>
                </w:p>
              </w:tc>
              <w:tc>
                <w:tcPr>
                  <w:tcW w:w="565" w:type="pct"/>
                  <w:noWrap w:val="0"/>
                  <w:vAlign w:val="center"/>
                </w:tcPr>
                <w:p w14:paraId="4EFE461A">
                  <w:pPr>
                    <w:pStyle w:val="12"/>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1.5</w:t>
                  </w:r>
                  <w:r>
                    <w:rPr>
                      <w:rFonts w:hint="default" w:ascii="Times New Roman" w:hAnsi="Times New Roman" w:eastAsia="宋体" w:cs="Times New Roman"/>
                      <w:color w:val="auto"/>
                      <w:kern w:val="0"/>
                      <w:sz w:val="21"/>
                      <w:szCs w:val="21"/>
                      <w:highlight w:val="none"/>
                    </w:rPr>
                    <w:t>千克/吨-产品</w:t>
                  </w:r>
                </w:p>
              </w:tc>
              <w:tc>
                <w:tcPr>
                  <w:tcW w:w="374" w:type="pct"/>
                  <w:noWrap w:val="0"/>
                  <w:vAlign w:val="center"/>
                </w:tcPr>
                <w:p w14:paraId="730E75E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9600</w:t>
                  </w:r>
                  <w:r>
                    <w:rPr>
                      <w:rFonts w:hint="default" w:ascii="Times New Roman" w:hAnsi="Times New Roman" w:eastAsia="宋体" w:cs="Times New Roman"/>
                      <w:color w:val="auto"/>
                      <w:sz w:val="21"/>
                      <w:szCs w:val="21"/>
                      <w:highlight w:val="none"/>
                    </w:rPr>
                    <w:t>t/a</w:t>
                  </w:r>
                </w:p>
              </w:tc>
              <w:tc>
                <w:tcPr>
                  <w:tcW w:w="239" w:type="pct"/>
                  <w:noWrap w:val="0"/>
                  <w:vAlign w:val="center"/>
                </w:tcPr>
                <w:p w14:paraId="2E0410E8">
                  <w:pPr>
                    <w:widowControl/>
                    <w:jc w:val="center"/>
                    <w:textAlignment w:val="top"/>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37.66</w:t>
                  </w:r>
                </w:p>
              </w:tc>
              <w:tc>
                <w:tcPr>
                  <w:tcW w:w="418" w:type="pct"/>
                  <w:noWrap w:val="0"/>
                  <w:vAlign w:val="center"/>
                </w:tcPr>
                <w:p w14:paraId="7C180570">
                  <w:pPr>
                    <w:widowControl/>
                    <w:jc w:val="center"/>
                    <w:textAlignment w:val="top"/>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16.36</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14.4</w:t>
                  </w:r>
                  <w:r>
                    <w:rPr>
                      <w:rFonts w:hint="default" w:ascii="Times New Roman" w:hAnsi="Times New Roman" w:eastAsia="宋体" w:cs="Times New Roman"/>
                      <w:color w:val="auto"/>
                      <w:sz w:val="21"/>
                      <w:szCs w:val="21"/>
                      <w:highlight w:val="none"/>
                    </w:rPr>
                    <w:t>+烘干工段</w:t>
                  </w:r>
                  <w:r>
                    <w:rPr>
                      <w:rFonts w:hint="default" w:ascii="Times New Roman" w:hAnsi="Times New Roman" w:eastAsia="宋体" w:cs="Times New Roman"/>
                      <w:color w:val="auto"/>
                      <w:sz w:val="21"/>
                      <w:szCs w:val="21"/>
                      <w:highlight w:val="none"/>
                      <w:lang w:val="en-US" w:eastAsia="zh-CN"/>
                    </w:rPr>
                    <w:t>1.96</w:t>
                  </w:r>
                  <w:r>
                    <w:rPr>
                      <w:rFonts w:hint="default" w:ascii="Times New Roman" w:hAnsi="Times New Roman" w:eastAsia="宋体" w:cs="Times New Roman"/>
                      <w:color w:val="auto"/>
                      <w:sz w:val="21"/>
                      <w:szCs w:val="21"/>
                      <w:highlight w:val="none"/>
                    </w:rPr>
                    <w:t>）</w:t>
                  </w:r>
                </w:p>
              </w:tc>
              <w:tc>
                <w:tcPr>
                  <w:tcW w:w="318" w:type="pct"/>
                  <w:vMerge w:val="continue"/>
                  <w:noWrap w:val="0"/>
                  <w:vAlign w:val="center"/>
                </w:tcPr>
                <w:p w14:paraId="3F3CAB84">
                  <w:pPr>
                    <w:pStyle w:val="43"/>
                    <w:jc w:val="center"/>
                    <w:rPr>
                      <w:rFonts w:hint="default" w:ascii="Times New Roman" w:hAnsi="Times New Roman" w:eastAsia="宋体" w:cs="Times New Roman"/>
                      <w:color w:val="auto"/>
                      <w:sz w:val="21"/>
                      <w:szCs w:val="21"/>
                      <w:highlight w:val="none"/>
                      <w:lang w:eastAsia="zh-CN"/>
                    </w:rPr>
                  </w:pPr>
                </w:p>
              </w:tc>
              <w:tc>
                <w:tcPr>
                  <w:tcW w:w="834" w:type="pct"/>
                  <w:gridSpan w:val="2"/>
                  <w:vMerge w:val="continue"/>
                  <w:noWrap w:val="0"/>
                  <w:vAlign w:val="center"/>
                </w:tcPr>
                <w:p w14:paraId="19ED82B1">
                  <w:pPr>
                    <w:pStyle w:val="43"/>
                    <w:jc w:val="center"/>
                    <w:rPr>
                      <w:rFonts w:hint="default" w:ascii="Times New Roman" w:hAnsi="Times New Roman" w:eastAsia="宋体" w:cs="Times New Roman"/>
                      <w:color w:val="auto"/>
                      <w:sz w:val="21"/>
                      <w:szCs w:val="21"/>
                      <w:highlight w:val="none"/>
                      <w:lang w:eastAsia="zh-CN"/>
                    </w:rPr>
                  </w:pPr>
                </w:p>
              </w:tc>
              <w:tc>
                <w:tcPr>
                  <w:tcW w:w="449" w:type="pct"/>
                  <w:noWrap w:val="0"/>
                  <w:vAlign w:val="center"/>
                </w:tcPr>
                <w:p w14:paraId="4BC7C7AC">
                  <w:pPr>
                    <w:widowControl/>
                    <w:jc w:val="center"/>
                    <w:textAlignment w:val="top"/>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37.66</w:t>
                  </w:r>
                </w:p>
              </w:tc>
              <w:tc>
                <w:tcPr>
                  <w:tcW w:w="353" w:type="pct"/>
                  <w:noWrap w:val="0"/>
                  <w:vAlign w:val="center"/>
                </w:tcPr>
                <w:p w14:paraId="4D1AED3F">
                  <w:pPr>
                    <w:widowControl/>
                    <w:jc w:val="center"/>
                    <w:textAlignment w:val="top"/>
                    <w:rPr>
                      <w:rFonts w:hint="default" w:ascii="Times New Roman" w:hAnsi="Times New Roman" w:eastAsia="宋体" w:cs="Times New Roman"/>
                      <w:color w:val="auto"/>
                      <w:sz w:val="21"/>
                      <w:szCs w:val="21"/>
                      <w:highlight w:val="none"/>
                      <w:vertAlign w:val="subscript"/>
                      <w:lang w:val="en-US" w:eastAsia="zh-CN"/>
                    </w:rPr>
                  </w:pPr>
                  <w:r>
                    <w:rPr>
                      <w:rFonts w:hint="eastAsia" w:ascii="Times New Roman" w:hAnsi="Times New Roman" w:eastAsia="宋体" w:cs="Times New Roman"/>
                      <w:color w:val="auto"/>
                      <w:sz w:val="21"/>
                      <w:szCs w:val="21"/>
                      <w:highlight w:val="none"/>
                      <w:vertAlign w:val="baseline"/>
                      <w:lang w:val="en-US" w:eastAsia="zh-CN"/>
                    </w:rPr>
                    <w:t>16.36</w:t>
                  </w:r>
                </w:p>
              </w:tc>
              <w:tc>
                <w:tcPr>
                  <w:tcW w:w="842" w:type="pct"/>
                  <w:vMerge w:val="continue"/>
                  <w:noWrap w:val="0"/>
                  <w:vAlign w:val="center"/>
                </w:tcPr>
                <w:p w14:paraId="7AA5BFA4">
                  <w:pPr>
                    <w:pStyle w:val="43"/>
                    <w:jc w:val="center"/>
                    <w:rPr>
                      <w:rFonts w:hint="default" w:ascii="Times New Roman" w:hAnsi="Times New Roman" w:eastAsia="宋体" w:cs="Times New Roman"/>
                      <w:color w:val="auto"/>
                      <w:sz w:val="21"/>
                      <w:szCs w:val="21"/>
                      <w:highlight w:val="none"/>
                      <w:lang w:eastAsia="zh-CN"/>
                    </w:rPr>
                  </w:pPr>
                </w:p>
              </w:tc>
            </w:tr>
            <w:tr w14:paraId="0FF22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atLeast"/>
                <w:jc w:val="center"/>
              </w:trPr>
              <w:tc>
                <w:tcPr>
                  <w:tcW w:w="211" w:type="pct"/>
                  <w:vMerge w:val="continue"/>
                  <w:noWrap w:val="0"/>
                  <w:vAlign w:val="center"/>
                </w:tcPr>
                <w:p w14:paraId="0B0ED9AC">
                  <w:pPr>
                    <w:pStyle w:val="43"/>
                    <w:spacing w:before="1" w:line="213" w:lineRule="exact"/>
                    <w:ind w:left="38" w:right="11"/>
                    <w:jc w:val="center"/>
                    <w:rPr>
                      <w:rFonts w:hint="default" w:ascii="Times New Roman" w:hAnsi="Times New Roman" w:eastAsia="宋体" w:cs="Times New Roman"/>
                      <w:color w:val="auto"/>
                      <w:sz w:val="21"/>
                      <w:szCs w:val="21"/>
                      <w:highlight w:val="none"/>
                      <w:lang w:eastAsia="zh-CN"/>
                    </w:rPr>
                  </w:pPr>
                </w:p>
              </w:tc>
              <w:tc>
                <w:tcPr>
                  <w:tcW w:w="392" w:type="pct"/>
                  <w:noWrap w:val="0"/>
                  <w:vAlign w:val="center"/>
                </w:tcPr>
                <w:p w14:paraId="3169AE2A">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挥发性有机物（非甲烷总烃）</w:t>
                  </w:r>
                </w:p>
              </w:tc>
              <w:tc>
                <w:tcPr>
                  <w:tcW w:w="565" w:type="pct"/>
                  <w:noWrap w:val="0"/>
                  <w:vAlign w:val="center"/>
                </w:tcPr>
                <w:p w14:paraId="74C5FD93">
                  <w:pPr>
                    <w:pStyle w:val="43"/>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cs="Times New Roman"/>
                      <w:color w:val="FF0000"/>
                      <w:sz w:val="21"/>
                      <w:szCs w:val="21"/>
                      <w:highlight w:val="none"/>
                      <w:lang w:val="en-US" w:eastAsia="zh-CN"/>
                    </w:rPr>
                    <w:t>0.8</w:t>
                  </w:r>
                  <w:r>
                    <w:rPr>
                      <w:rFonts w:hint="default" w:ascii="Times New Roman" w:hAnsi="Times New Roman" w:eastAsia="宋体" w:cs="Times New Roman"/>
                      <w:color w:val="FF0000"/>
                      <w:sz w:val="21"/>
                      <w:szCs w:val="21"/>
                      <w:highlight w:val="none"/>
                    </w:rPr>
                    <w:t>×</w:t>
                  </w:r>
                  <w:r>
                    <w:rPr>
                      <w:rFonts w:hint="default" w:ascii="Times New Roman" w:hAnsi="Times New Roman" w:eastAsia="宋体" w:cs="Times New Roman"/>
                      <w:color w:val="FF0000"/>
                      <w:sz w:val="21"/>
                      <w:szCs w:val="21"/>
                      <w:highlight w:val="none"/>
                      <w:lang w:eastAsia="zh-CN"/>
                    </w:rPr>
                    <w:t>千克</w:t>
                  </w:r>
                  <w:r>
                    <w:rPr>
                      <w:rFonts w:hint="default" w:ascii="Times New Roman" w:hAnsi="Times New Roman" w:eastAsia="宋体" w:cs="Times New Roman"/>
                      <w:color w:val="FF0000"/>
                      <w:sz w:val="21"/>
                      <w:szCs w:val="21"/>
                      <w:highlight w:val="none"/>
                      <w:lang w:val="en-US" w:eastAsia="zh-CN"/>
                    </w:rPr>
                    <w:t>/吨</w:t>
                  </w:r>
                </w:p>
              </w:tc>
              <w:tc>
                <w:tcPr>
                  <w:tcW w:w="374" w:type="pct"/>
                  <w:noWrap w:val="0"/>
                  <w:vAlign w:val="center"/>
                </w:tcPr>
                <w:p w14:paraId="16B5CC1C">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lang w:val="en-US" w:eastAsia="zh-CN"/>
                    </w:rPr>
                    <w:t>9600</w:t>
                  </w:r>
                  <w:r>
                    <w:rPr>
                      <w:rFonts w:hint="default" w:ascii="Times New Roman" w:hAnsi="Times New Roman" w:eastAsia="宋体" w:cs="Times New Roman"/>
                      <w:color w:val="FF0000"/>
                      <w:sz w:val="21"/>
                      <w:szCs w:val="21"/>
                      <w:highlight w:val="none"/>
                    </w:rPr>
                    <w:t>t/a</w:t>
                  </w:r>
                </w:p>
              </w:tc>
              <w:tc>
                <w:tcPr>
                  <w:tcW w:w="239" w:type="pct"/>
                  <w:noWrap w:val="0"/>
                  <w:vAlign w:val="center"/>
                </w:tcPr>
                <w:p w14:paraId="6C192B5E">
                  <w:pPr>
                    <w:widowControl/>
                    <w:jc w:val="center"/>
                    <w:textAlignment w:val="top"/>
                    <w:rPr>
                      <w:rFonts w:hint="default" w:ascii="Times New Roman" w:hAnsi="Times New Roman" w:eastAsia="宋体" w:cs="Times New Roman"/>
                      <w:color w:val="FF0000"/>
                      <w:sz w:val="21"/>
                      <w:szCs w:val="21"/>
                      <w:highlight w:val="none"/>
                      <w:lang w:val="en-US" w:eastAsia="zh-CN"/>
                    </w:rPr>
                  </w:pPr>
                  <w:r>
                    <w:rPr>
                      <w:rFonts w:hint="eastAsia" w:cs="Times New Roman"/>
                      <w:color w:val="FF0000"/>
                      <w:kern w:val="0"/>
                      <w:sz w:val="21"/>
                      <w:szCs w:val="21"/>
                      <w:highlight w:val="none"/>
                      <w:lang w:val="en-US" w:eastAsia="zh-CN" w:bidi="ar"/>
                    </w:rPr>
                    <w:t>17.68</w:t>
                  </w:r>
                </w:p>
              </w:tc>
              <w:tc>
                <w:tcPr>
                  <w:tcW w:w="418" w:type="pct"/>
                  <w:noWrap w:val="0"/>
                  <w:vAlign w:val="center"/>
                </w:tcPr>
                <w:p w14:paraId="4D5E4DDA">
                  <w:pPr>
                    <w:jc w:val="center"/>
                    <w:rPr>
                      <w:rFonts w:hint="default" w:ascii="Times New Roman" w:hAnsi="Times New Roman" w:eastAsia="宋体" w:cs="Times New Roman"/>
                      <w:color w:val="FF0000"/>
                      <w:sz w:val="21"/>
                      <w:szCs w:val="21"/>
                      <w:highlight w:val="none"/>
                      <w:lang w:val="en-US"/>
                    </w:rPr>
                  </w:pPr>
                  <w:r>
                    <w:rPr>
                      <w:rFonts w:hint="eastAsia" w:cs="Times New Roman"/>
                      <w:color w:val="FF0000"/>
                      <w:sz w:val="21"/>
                      <w:szCs w:val="21"/>
                      <w:highlight w:val="none"/>
                      <w:lang w:val="en-US" w:eastAsia="zh-CN"/>
                    </w:rPr>
                    <w:t>7.68</w:t>
                  </w:r>
                </w:p>
              </w:tc>
              <w:tc>
                <w:tcPr>
                  <w:tcW w:w="318" w:type="pct"/>
                  <w:vMerge w:val="continue"/>
                  <w:noWrap w:val="0"/>
                  <w:vAlign w:val="center"/>
                </w:tcPr>
                <w:p w14:paraId="38D95ADE">
                  <w:pPr>
                    <w:pStyle w:val="43"/>
                    <w:jc w:val="center"/>
                    <w:rPr>
                      <w:rFonts w:hint="default" w:ascii="Times New Roman" w:hAnsi="Times New Roman" w:eastAsia="宋体" w:cs="Times New Roman"/>
                      <w:color w:val="FF0000"/>
                      <w:sz w:val="21"/>
                      <w:szCs w:val="21"/>
                      <w:highlight w:val="none"/>
                      <w:lang w:eastAsia="zh-CN"/>
                    </w:rPr>
                  </w:pPr>
                </w:p>
              </w:tc>
              <w:tc>
                <w:tcPr>
                  <w:tcW w:w="834" w:type="pct"/>
                  <w:gridSpan w:val="2"/>
                  <w:vMerge w:val="continue"/>
                  <w:noWrap w:val="0"/>
                  <w:vAlign w:val="center"/>
                </w:tcPr>
                <w:p w14:paraId="030299E4">
                  <w:pPr>
                    <w:pStyle w:val="43"/>
                    <w:jc w:val="center"/>
                    <w:rPr>
                      <w:rFonts w:hint="default" w:ascii="Times New Roman" w:hAnsi="Times New Roman" w:eastAsia="宋体" w:cs="Times New Roman"/>
                      <w:color w:val="FF0000"/>
                      <w:sz w:val="21"/>
                      <w:szCs w:val="21"/>
                      <w:highlight w:val="none"/>
                      <w:lang w:eastAsia="zh-CN"/>
                    </w:rPr>
                  </w:pPr>
                </w:p>
              </w:tc>
              <w:tc>
                <w:tcPr>
                  <w:tcW w:w="449" w:type="pct"/>
                  <w:noWrap w:val="0"/>
                  <w:vAlign w:val="center"/>
                </w:tcPr>
                <w:p w14:paraId="5265A808">
                  <w:pPr>
                    <w:widowControl/>
                    <w:jc w:val="center"/>
                    <w:textAlignment w:val="top"/>
                    <w:rPr>
                      <w:rFonts w:hint="default" w:ascii="Times New Roman" w:hAnsi="Times New Roman" w:eastAsia="宋体" w:cs="Times New Roman"/>
                      <w:color w:val="FF0000"/>
                      <w:sz w:val="21"/>
                      <w:szCs w:val="21"/>
                      <w:highlight w:val="none"/>
                      <w:lang w:val="en-US" w:eastAsia="zh-CN"/>
                    </w:rPr>
                  </w:pPr>
                  <w:r>
                    <w:rPr>
                      <w:rFonts w:hint="eastAsia" w:cs="Times New Roman"/>
                      <w:color w:val="FF0000"/>
                      <w:sz w:val="21"/>
                      <w:szCs w:val="21"/>
                      <w:highlight w:val="none"/>
                      <w:lang w:val="en-US" w:eastAsia="zh-CN"/>
                    </w:rPr>
                    <w:t>5.3</w:t>
                  </w:r>
                </w:p>
              </w:tc>
              <w:tc>
                <w:tcPr>
                  <w:tcW w:w="353" w:type="pct"/>
                  <w:noWrap w:val="0"/>
                  <w:vAlign w:val="center"/>
                </w:tcPr>
                <w:p w14:paraId="17DBF1A3">
                  <w:pPr>
                    <w:widowControl/>
                    <w:jc w:val="center"/>
                    <w:textAlignment w:val="top"/>
                    <w:rPr>
                      <w:rFonts w:hint="default" w:ascii="Times New Roman" w:hAnsi="Times New Roman" w:eastAsia="宋体" w:cs="Times New Roman"/>
                      <w:color w:val="FF0000"/>
                      <w:sz w:val="21"/>
                      <w:szCs w:val="21"/>
                      <w:highlight w:val="none"/>
                      <w:vertAlign w:val="subscript"/>
                      <w:lang w:val="en-US" w:eastAsia="zh-CN"/>
                    </w:rPr>
                  </w:pPr>
                  <w:r>
                    <w:rPr>
                      <w:rFonts w:hint="eastAsia" w:cs="Times New Roman"/>
                      <w:color w:val="FF0000"/>
                      <w:sz w:val="21"/>
                      <w:szCs w:val="21"/>
                      <w:highlight w:val="none"/>
                      <w:lang w:val="en-US" w:eastAsia="zh-CN"/>
                    </w:rPr>
                    <w:t>2.304</w:t>
                  </w:r>
                </w:p>
              </w:tc>
              <w:tc>
                <w:tcPr>
                  <w:tcW w:w="842" w:type="pct"/>
                  <w:vMerge w:val="continue"/>
                  <w:noWrap w:val="0"/>
                  <w:vAlign w:val="center"/>
                </w:tcPr>
                <w:p w14:paraId="170B9A8B">
                  <w:pPr>
                    <w:pStyle w:val="43"/>
                    <w:jc w:val="center"/>
                    <w:rPr>
                      <w:rFonts w:hint="default" w:ascii="Times New Roman" w:hAnsi="Times New Roman" w:eastAsia="宋体" w:cs="Times New Roman"/>
                      <w:color w:val="auto"/>
                      <w:sz w:val="21"/>
                      <w:szCs w:val="21"/>
                      <w:highlight w:val="none"/>
                      <w:lang w:eastAsia="zh-CN"/>
                    </w:rPr>
                  </w:pPr>
                </w:p>
              </w:tc>
            </w:tr>
            <w:tr w14:paraId="1D2F6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 w:hRule="atLeast"/>
                <w:jc w:val="center"/>
              </w:trPr>
              <w:tc>
                <w:tcPr>
                  <w:tcW w:w="211" w:type="pct"/>
                  <w:noWrap w:val="0"/>
                  <w:vAlign w:val="center"/>
                </w:tcPr>
                <w:p w14:paraId="06097A5B">
                  <w:pPr>
                    <w:pStyle w:val="43"/>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运输车辆</w:t>
                  </w:r>
                </w:p>
              </w:tc>
              <w:tc>
                <w:tcPr>
                  <w:tcW w:w="392" w:type="pct"/>
                  <w:noWrap w:val="0"/>
                  <w:vAlign w:val="center"/>
                </w:tcPr>
                <w:p w14:paraId="220C135F">
                  <w:pPr>
                    <w:pStyle w:val="43"/>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汽车尾气</w:t>
                  </w:r>
                </w:p>
              </w:tc>
              <w:tc>
                <w:tcPr>
                  <w:tcW w:w="565" w:type="pct"/>
                  <w:noWrap w:val="0"/>
                  <w:vAlign w:val="center"/>
                </w:tcPr>
                <w:p w14:paraId="201D0A65">
                  <w:pPr>
                    <w:pStyle w:val="43"/>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374" w:type="pct"/>
                  <w:noWrap w:val="0"/>
                  <w:vAlign w:val="center"/>
                </w:tcPr>
                <w:p w14:paraId="7910ACB1">
                  <w:pPr>
                    <w:pStyle w:val="43"/>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239" w:type="pct"/>
                  <w:noWrap w:val="0"/>
                  <w:vAlign w:val="center"/>
                </w:tcPr>
                <w:p w14:paraId="32C4468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418" w:type="pct"/>
                  <w:noWrap w:val="0"/>
                  <w:vAlign w:val="center"/>
                </w:tcPr>
                <w:p w14:paraId="055A1B7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少量</w:t>
                  </w:r>
                </w:p>
              </w:tc>
              <w:tc>
                <w:tcPr>
                  <w:tcW w:w="318" w:type="pct"/>
                  <w:noWrap w:val="0"/>
                  <w:vAlign w:val="center"/>
                </w:tcPr>
                <w:p w14:paraId="1CE3ABA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542" w:type="pct"/>
                  <w:noWrap w:val="0"/>
                  <w:vAlign w:val="center"/>
                </w:tcPr>
                <w:p w14:paraId="0E78C254">
                  <w:pPr>
                    <w:pStyle w:val="43"/>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加强管理、自然扩散、绿化吸收</w:t>
                  </w:r>
                </w:p>
              </w:tc>
              <w:tc>
                <w:tcPr>
                  <w:tcW w:w="292" w:type="pct"/>
                  <w:noWrap w:val="0"/>
                  <w:vAlign w:val="center"/>
                </w:tcPr>
                <w:p w14:paraId="5D00D5A7">
                  <w:pPr>
                    <w:pStyle w:val="43"/>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449" w:type="pct"/>
                  <w:noWrap w:val="0"/>
                  <w:vAlign w:val="center"/>
                </w:tcPr>
                <w:p w14:paraId="4701871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353" w:type="pct"/>
                  <w:noWrap w:val="0"/>
                  <w:vAlign w:val="center"/>
                </w:tcPr>
                <w:p w14:paraId="75E8A36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少量</w:t>
                  </w:r>
                </w:p>
              </w:tc>
              <w:tc>
                <w:tcPr>
                  <w:tcW w:w="842" w:type="pct"/>
                  <w:noWrap w:val="0"/>
                  <w:vAlign w:val="center"/>
                </w:tcPr>
                <w:p w14:paraId="4BEC4AA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14:paraId="441D44F4">
            <w:pPr>
              <w:pStyle w:val="20"/>
              <w:numPr>
                <w:ilvl w:val="0"/>
                <w:numId w:val="0"/>
              </w:numPr>
              <w:spacing w:before="0" w:beforeAutospacing="0" w:after="0" w:afterAutospacing="0"/>
              <w:jc w:val="both"/>
              <w:outlineLvl w:val="0"/>
              <w:rPr>
                <w:rFonts w:hint="eastAsia" w:ascii="黑体" w:hAnsi="黑体" w:eastAsia="黑体"/>
                <w:snapToGrid w:val="0"/>
                <w:sz w:val="30"/>
                <w:szCs w:val="30"/>
                <w:highlight w:val="none"/>
                <w:vertAlign w:val="baseline"/>
              </w:rPr>
            </w:pPr>
          </w:p>
        </w:tc>
      </w:tr>
    </w:tbl>
    <w:p w14:paraId="5FFE51B1">
      <w:pPr>
        <w:pStyle w:val="20"/>
        <w:numPr>
          <w:ilvl w:val="0"/>
          <w:numId w:val="0"/>
        </w:numPr>
        <w:spacing w:before="0" w:beforeAutospacing="0" w:after="0" w:afterAutospacing="0"/>
        <w:ind w:leftChars="300"/>
        <w:jc w:val="both"/>
        <w:outlineLvl w:val="0"/>
        <w:rPr>
          <w:rFonts w:hint="eastAsia" w:ascii="黑体" w:hAnsi="黑体" w:eastAsia="黑体"/>
          <w:snapToGrid w:val="0"/>
          <w:sz w:val="30"/>
          <w:szCs w:val="30"/>
        </w:rPr>
        <w:sectPr>
          <w:pgSz w:w="16838" w:h="11906" w:orient="landscape"/>
          <w:pgMar w:top="1800" w:right="1440" w:bottom="1800" w:left="1440" w:header="851" w:footer="992" w:gutter="0"/>
          <w:pgNumType w:fmt="decimal"/>
          <w:cols w:space="425" w:num="1"/>
          <w:docGrid w:type="lines" w:linePitch="312"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8130"/>
      </w:tblGrid>
      <w:tr w14:paraId="19A3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4" w:hRule="atLeast"/>
        </w:trPr>
        <w:tc>
          <w:tcPr>
            <w:tcW w:w="589" w:type="dxa"/>
            <w:noWrap w:val="0"/>
            <w:vAlign w:val="top"/>
          </w:tcPr>
          <w:p w14:paraId="0FF85E1D">
            <w:pPr>
              <w:adjustRightInd w:val="0"/>
              <w:snapToGrid w:val="0"/>
              <w:jc w:val="center"/>
              <w:rPr>
                <w:rFonts w:hint="default" w:ascii="Times New Roman" w:hAnsi="Times New Roman" w:cs="Times New Roman" w:eastAsiaTheme="minorEastAsia"/>
                <w:b/>
                <w:color w:val="auto"/>
                <w:sz w:val="24"/>
              </w:rPr>
            </w:pPr>
            <w:r>
              <w:rPr>
                <w:rFonts w:hint="default" w:ascii="Times New Roman" w:hAnsi="Times New Roman" w:cs="Times New Roman" w:eastAsiaTheme="minorEastAsia"/>
                <w:b/>
                <w:color w:val="auto"/>
                <w:sz w:val="24"/>
              </w:rPr>
              <w:t>运营</w:t>
            </w:r>
          </w:p>
          <w:p w14:paraId="6BC787F1">
            <w:pPr>
              <w:adjustRightInd w:val="0"/>
              <w:snapToGrid w:val="0"/>
              <w:jc w:val="center"/>
              <w:rPr>
                <w:rFonts w:hint="default" w:ascii="Times New Roman" w:hAnsi="Times New Roman" w:cs="Times New Roman" w:eastAsiaTheme="minorEastAsia"/>
                <w:b/>
                <w:color w:val="auto"/>
                <w:sz w:val="24"/>
              </w:rPr>
            </w:pPr>
            <w:r>
              <w:rPr>
                <w:rFonts w:hint="default" w:ascii="Times New Roman" w:hAnsi="Times New Roman" w:cs="Times New Roman" w:eastAsiaTheme="minorEastAsia"/>
                <w:b/>
                <w:color w:val="auto"/>
                <w:sz w:val="24"/>
              </w:rPr>
              <w:t>期环</w:t>
            </w:r>
          </w:p>
          <w:p w14:paraId="7B4E2AE9">
            <w:pPr>
              <w:adjustRightInd w:val="0"/>
              <w:snapToGrid w:val="0"/>
              <w:jc w:val="center"/>
              <w:rPr>
                <w:rFonts w:hint="default" w:ascii="Times New Roman" w:hAnsi="Times New Roman" w:cs="Times New Roman" w:eastAsiaTheme="minorEastAsia"/>
                <w:b/>
                <w:color w:val="auto"/>
                <w:sz w:val="24"/>
              </w:rPr>
            </w:pPr>
            <w:r>
              <w:rPr>
                <w:rFonts w:hint="default" w:ascii="Times New Roman" w:hAnsi="Times New Roman" w:cs="Times New Roman" w:eastAsiaTheme="minorEastAsia"/>
                <w:b/>
                <w:color w:val="auto"/>
                <w:sz w:val="24"/>
              </w:rPr>
              <w:t>境影</w:t>
            </w:r>
          </w:p>
          <w:p w14:paraId="3BA0AC9C">
            <w:pPr>
              <w:adjustRightInd w:val="0"/>
              <w:snapToGrid w:val="0"/>
              <w:jc w:val="center"/>
              <w:rPr>
                <w:rFonts w:hint="default" w:ascii="Times New Roman" w:hAnsi="Times New Roman" w:cs="Times New Roman" w:eastAsiaTheme="minorEastAsia"/>
                <w:b/>
                <w:color w:val="auto"/>
                <w:sz w:val="24"/>
              </w:rPr>
            </w:pPr>
            <w:r>
              <w:rPr>
                <w:rFonts w:hint="default" w:ascii="Times New Roman" w:hAnsi="Times New Roman" w:cs="Times New Roman" w:eastAsiaTheme="minorEastAsia"/>
                <w:b/>
                <w:color w:val="auto"/>
                <w:sz w:val="24"/>
              </w:rPr>
              <w:t>响和</w:t>
            </w:r>
          </w:p>
          <w:p w14:paraId="38AB2315">
            <w:pPr>
              <w:adjustRightInd w:val="0"/>
              <w:snapToGrid w:val="0"/>
              <w:jc w:val="center"/>
              <w:rPr>
                <w:rFonts w:hint="default" w:ascii="Times New Roman" w:hAnsi="Times New Roman" w:cs="Times New Roman" w:eastAsiaTheme="minorEastAsia"/>
                <w:b/>
                <w:color w:val="auto"/>
                <w:sz w:val="24"/>
              </w:rPr>
            </w:pPr>
            <w:r>
              <w:rPr>
                <w:rFonts w:hint="default" w:ascii="Times New Roman" w:hAnsi="Times New Roman" w:cs="Times New Roman" w:eastAsiaTheme="minorEastAsia"/>
                <w:b/>
                <w:color w:val="auto"/>
                <w:sz w:val="24"/>
              </w:rPr>
              <w:t>保护</w:t>
            </w:r>
          </w:p>
          <w:p w14:paraId="217FF8F6">
            <w:pPr>
              <w:rPr>
                <w:rFonts w:hint="default" w:ascii="Times New Roman" w:hAnsi="Times New Roman" w:cs="Times New Roman" w:eastAsiaTheme="minorEastAsia"/>
                <w:color w:val="auto"/>
              </w:rPr>
            </w:pPr>
            <w:r>
              <w:rPr>
                <w:rFonts w:hint="default" w:ascii="Times New Roman" w:hAnsi="Times New Roman" w:cs="Times New Roman" w:eastAsiaTheme="minorEastAsia"/>
                <w:b/>
                <w:color w:val="auto"/>
                <w:sz w:val="24"/>
              </w:rPr>
              <w:t>措施</w:t>
            </w:r>
          </w:p>
        </w:tc>
        <w:tc>
          <w:tcPr>
            <w:tcW w:w="8130" w:type="dxa"/>
            <w:noWrap w:val="0"/>
            <w:vAlign w:val="top"/>
          </w:tcPr>
          <w:p w14:paraId="31C545D8">
            <w:pPr>
              <w:pStyle w:val="11"/>
              <w:rPr>
                <w:rFonts w:hint="default" w:ascii="Times New Roman" w:hAnsi="Times New Roman" w:cs="Times New Roman" w:eastAsiaTheme="minorEastAsia"/>
                <w:color w:val="auto"/>
              </w:rPr>
            </w:pPr>
            <w:r>
              <w:rPr>
                <w:rFonts w:hint="default" w:ascii="Times New Roman" w:hAnsi="Times New Roman" w:cs="Times New Roman" w:eastAsiaTheme="minorEastAsia"/>
                <w:b/>
                <w:bCs/>
                <w:color w:val="auto"/>
                <w:sz w:val="24"/>
                <w:szCs w:val="24"/>
              </w:rPr>
              <w:t>（</w:t>
            </w:r>
            <w:r>
              <w:rPr>
                <w:rFonts w:hint="default" w:ascii="Times New Roman" w:hAnsi="Times New Roman" w:cs="Times New Roman" w:eastAsiaTheme="minorEastAsia"/>
                <w:b/>
                <w:bCs/>
                <w:color w:val="auto"/>
                <w:sz w:val="24"/>
                <w:szCs w:val="24"/>
                <w:lang w:val="en-US" w:eastAsia="zh-CN"/>
              </w:rPr>
              <w:t>2</w:t>
            </w:r>
            <w:r>
              <w:rPr>
                <w:rFonts w:hint="default" w:ascii="Times New Roman" w:hAnsi="Times New Roman" w:cs="Times New Roman" w:eastAsiaTheme="minorEastAsia"/>
                <w:b/>
                <w:bCs/>
                <w:color w:val="auto"/>
                <w:sz w:val="24"/>
                <w:szCs w:val="24"/>
              </w:rPr>
              <w:t>）废气产排计算过程简述</w:t>
            </w:r>
          </w:p>
          <w:p w14:paraId="2FF94827">
            <w:pPr>
              <w:widowControl/>
              <w:spacing w:line="360" w:lineRule="auto"/>
              <w:ind w:firstLine="480" w:firstLineChars="200"/>
              <w:jc w:val="left"/>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rPr>
              <w:t>①物料</w:t>
            </w:r>
            <w:r>
              <w:rPr>
                <w:rFonts w:hint="default" w:ascii="Times New Roman" w:hAnsi="Times New Roman" w:cs="Times New Roman" w:eastAsiaTheme="minorEastAsia"/>
                <w:color w:val="auto"/>
                <w:sz w:val="24"/>
                <w:lang w:val="en-US" w:eastAsia="zh-CN"/>
              </w:rPr>
              <w:t>进场、转运、暂存、输送</w:t>
            </w:r>
            <w:r>
              <w:rPr>
                <w:rFonts w:hint="default" w:ascii="Times New Roman" w:hAnsi="Times New Roman" w:cs="Times New Roman" w:eastAsiaTheme="minorEastAsia"/>
                <w:color w:val="auto"/>
                <w:sz w:val="24"/>
              </w:rPr>
              <w:t>等环节粉尘</w:t>
            </w:r>
            <w:r>
              <w:rPr>
                <w:rFonts w:hint="default" w:ascii="Times New Roman" w:hAnsi="Times New Roman" w:cs="Times New Roman" w:eastAsiaTheme="minorEastAsia"/>
                <w:color w:val="auto"/>
                <w:sz w:val="24"/>
                <w:lang w:val="en-US" w:eastAsia="zh-CN"/>
              </w:rPr>
              <w:t xml:space="preserve"> </w:t>
            </w:r>
          </w:p>
          <w:p w14:paraId="5E4D18FA">
            <w:pPr>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项目使用卡车、装载机、旋风</w:t>
            </w:r>
            <w:r>
              <w:rPr>
                <w:rFonts w:hint="eastAsia" w:cs="Times New Roman" w:eastAsiaTheme="minorEastAsia"/>
                <w:color w:val="auto"/>
                <w:sz w:val="24"/>
                <w:lang w:eastAsia="zh-CN"/>
              </w:rPr>
              <w:t>分离器</w:t>
            </w:r>
            <w:r>
              <w:rPr>
                <w:rFonts w:hint="default" w:ascii="Times New Roman" w:hAnsi="Times New Roman" w:cs="Times New Roman" w:eastAsiaTheme="minorEastAsia"/>
                <w:color w:val="auto"/>
                <w:sz w:val="24"/>
              </w:rPr>
              <w:t>、进行物料上料</w:t>
            </w:r>
            <w:r>
              <w:rPr>
                <w:rFonts w:hint="eastAsia" w:cs="Times New Roman" w:eastAsiaTheme="minorEastAsia"/>
                <w:color w:val="auto"/>
                <w:sz w:val="24"/>
                <w:lang w:eastAsia="zh-CN"/>
              </w:rPr>
              <w:t>，</w:t>
            </w:r>
            <w:r>
              <w:rPr>
                <w:rFonts w:hint="default" w:ascii="Times New Roman" w:hAnsi="Times New Roman" w:cs="Times New Roman" w:eastAsiaTheme="minorEastAsia"/>
                <w:color w:val="auto"/>
                <w:sz w:val="24"/>
              </w:rPr>
              <w:t>转运、输送、冷却过程中将会有少量的无组织粉尘产生，由于原材料含水率较大且</w:t>
            </w:r>
            <w:r>
              <w:rPr>
                <w:rFonts w:hint="default" w:ascii="Times New Roman" w:hAnsi="Times New Roman" w:cs="Times New Roman" w:eastAsiaTheme="minorEastAsia"/>
                <w:color w:val="auto"/>
                <w:sz w:val="24"/>
                <w:highlight w:val="none"/>
              </w:rPr>
              <w:t>均堆放在三面设置围挡的半封闭原料库内</w:t>
            </w:r>
            <w:r>
              <w:rPr>
                <w:rFonts w:hint="default" w:ascii="Times New Roman" w:hAnsi="Times New Roman" w:cs="Times New Roman" w:eastAsiaTheme="minorEastAsia"/>
                <w:color w:val="auto"/>
                <w:sz w:val="24"/>
              </w:rPr>
              <w:t>，部分工段为密闭转运输送、暂存；物料上料、转运、输送、暂存等产生的少量粉尘经自然沉降后，少量粉尘以无组织形式外排，建设方安排专人负责定期清扫，无组织粉尘对周围环境影响不大。</w:t>
            </w:r>
          </w:p>
          <w:p w14:paraId="27745559">
            <w:pPr>
              <w:spacing w:line="360" w:lineRule="auto"/>
              <w:ind w:firstLine="480" w:firstLineChars="200"/>
              <w:rPr>
                <w:rFonts w:hint="default" w:ascii="Times New Roman" w:hAnsi="Times New Roman" w:cs="Times New Roman" w:eastAsiaTheme="minorEastAsia"/>
                <w:color w:val="auto"/>
                <w:sz w:val="24"/>
              </w:rPr>
            </w:pPr>
            <w:r>
              <w:rPr>
                <w:rFonts w:hint="eastAsia" w:cs="Times New Roman" w:eastAsiaTheme="minorEastAsia"/>
                <w:color w:val="auto"/>
                <w:sz w:val="24"/>
                <w:lang w:val="en-US" w:eastAsia="zh-CN"/>
              </w:rPr>
              <w:t>②</w:t>
            </w:r>
            <w:r>
              <w:rPr>
                <w:rFonts w:hint="default" w:ascii="Times New Roman" w:hAnsi="Times New Roman" w:cs="Times New Roman" w:eastAsiaTheme="minorEastAsia"/>
                <w:color w:val="auto"/>
                <w:sz w:val="24"/>
              </w:rPr>
              <w:t>滚筒筛筛分粉尘</w:t>
            </w:r>
          </w:p>
          <w:p w14:paraId="246AB23B">
            <w:pPr>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本行业无产排污核算系数，项目筛分工段粉尘参照《排放源统计调查产排污核算方法和系数手册》中“2542 生物质致密成型燃料加工行业系数手册”，切片、破碎、筛分、造粒等工段会产生颗粒物，其产污系数为</w:t>
            </w:r>
            <w:bookmarkStart w:id="9" w:name="OLE_LINK5"/>
            <w:r>
              <w:rPr>
                <w:rFonts w:hint="default" w:ascii="Times New Roman" w:hAnsi="Times New Roman" w:cs="Times New Roman" w:eastAsiaTheme="minorEastAsia"/>
                <w:color w:val="auto"/>
                <w:sz w:val="24"/>
              </w:rPr>
              <w:t>6.69×10</w:t>
            </w:r>
            <w:r>
              <w:rPr>
                <w:rFonts w:hint="default" w:ascii="Times New Roman" w:hAnsi="Times New Roman" w:cs="Times New Roman" w:eastAsiaTheme="minorEastAsia"/>
                <w:color w:val="auto"/>
                <w:sz w:val="24"/>
                <w:vertAlign w:val="superscript"/>
              </w:rPr>
              <w:t>-4</w:t>
            </w:r>
            <w:bookmarkEnd w:id="9"/>
            <w:r>
              <w:rPr>
                <w:rFonts w:hint="default" w:ascii="Times New Roman" w:hAnsi="Times New Roman" w:cs="Times New Roman" w:eastAsiaTheme="minorEastAsia"/>
                <w:color w:val="auto"/>
                <w:kern w:val="0"/>
                <w:sz w:val="24"/>
                <w:lang w:bidi="ar"/>
              </w:rPr>
              <w:t>吨/吨-产品</w:t>
            </w:r>
            <w:r>
              <w:rPr>
                <w:rFonts w:hint="default" w:ascii="Times New Roman" w:hAnsi="Times New Roman" w:cs="Times New Roman" w:eastAsiaTheme="minorEastAsia"/>
                <w:color w:val="auto"/>
                <w:sz w:val="24"/>
              </w:rPr>
              <w:t>计算</w:t>
            </w:r>
            <w:r>
              <w:rPr>
                <w:rFonts w:hint="default" w:ascii="Times New Roman" w:hAnsi="Times New Roman" w:cs="Times New Roman" w:eastAsiaTheme="minorEastAsia"/>
                <w:color w:val="auto"/>
                <w:kern w:val="0"/>
                <w:sz w:val="24"/>
                <w:lang w:bidi="ar"/>
              </w:rPr>
              <w:t>，</w:t>
            </w:r>
            <w:r>
              <w:rPr>
                <w:rFonts w:hint="default" w:ascii="Times New Roman" w:hAnsi="Times New Roman" w:cs="Times New Roman" w:eastAsiaTheme="minorEastAsia"/>
                <w:color w:val="auto"/>
                <w:sz w:val="24"/>
              </w:rPr>
              <w:t>项目年产机制炭</w:t>
            </w:r>
            <w:r>
              <w:rPr>
                <w:rFonts w:hint="default" w:ascii="Times New Roman" w:hAnsi="Times New Roman" w:cs="Times New Roman" w:eastAsiaTheme="minorEastAsia"/>
                <w:color w:val="auto"/>
                <w:sz w:val="24"/>
                <w:lang w:val="en-US" w:eastAsia="zh-CN"/>
              </w:rPr>
              <w:t>9600</w:t>
            </w:r>
            <w:r>
              <w:rPr>
                <w:rFonts w:hint="default" w:ascii="Times New Roman" w:hAnsi="Times New Roman" w:cs="Times New Roman" w:eastAsiaTheme="minorEastAsia"/>
                <w:color w:val="auto"/>
                <w:sz w:val="24"/>
              </w:rPr>
              <w:t>吨，则筛分</w:t>
            </w:r>
            <w:r>
              <w:rPr>
                <w:rFonts w:hint="default" w:ascii="Times New Roman" w:hAnsi="Times New Roman" w:cs="Times New Roman" w:eastAsiaTheme="minorEastAsia"/>
                <w:bCs/>
                <w:iCs/>
                <w:color w:val="auto"/>
                <w:sz w:val="24"/>
              </w:rPr>
              <w:t>粉尘产生量</w:t>
            </w:r>
            <w:r>
              <w:rPr>
                <w:rFonts w:hint="default" w:ascii="Times New Roman" w:hAnsi="Times New Roman" w:cs="Times New Roman" w:eastAsiaTheme="minorEastAsia"/>
                <w:bCs/>
                <w:iCs/>
                <w:color w:val="auto"/>
                <w:sz w:val="24"/>
                <w:lang w:val="en-US" w:eastAsia="zh-CN"/>
              </w:rPr>
              <w:t>6.4224</w:t>
            </w:r>
            <w:r>
              <w:rPr>
                <w:rFonts w:hint="default" w:ascii="Times New Roman" w:hAnsi="Times New Roman" w:cs="Times New Roman" w:eastAsiaTheme="minorEastAsia"/>
                <w:color w:val="auto"/>
                <w:sz w:val="24"/>
              </w:rPr>
              <w:t>t/a，</w:t>
            </w:r>
            <w:r>
              <w:rPr>
                <w:rFonts w:hint="default" w:ascii="Times New Roman" w:hAnsi="Times New Roman" w:cs="Times New Roman" w:eastAsiaTheme="minorEastAsia"/>
                <w:bCs/>
                <w:iCs/>
                <w:color w:val="auto"/>
                <w:sz w:val="24"/>
              </w:rPr>
              <w:t>滚筒筛设置在</w:t>
            </w:r>
            <w:r>
              <w:rPr>
                <w:rFonts w:hint="default" w:ascii="Times New Roman" w:hAnsi="Times New Roman" w:cs="Times New Roman" w:eastAsiaTheme="minorEastAsia"/>
                <w:bCs/>
                <w:iCs/>
                <w:color w:val="auto"/>
                <w:sz w:val="24"/>
                <w:lang w:val="en-US" w:eastAsia="zh-CN"/>
              </w:rPr>
              <w:t>四</w:t>
            </w:r>
            <w:r>
              <w:rPr>
                <w:rFonts w:hint="default" w:ascii="Times New Roman" w:hAnsi="Times New Roman" w:cs="Times New Roman" w:eastAsiaTheme="minorEastAsia"/>
                <w:bCs/>
                <w:iCs/>
                <w:color w:val="auto"/>
                <w:sz w:val="24"/>
              </w:rPr>
              <w:t>面设置围挡</w:t>
            </w:r>
            <w:r>
              <w:rPr>
                <w:rFonts w:hint="default" w:ascii="Times New Roman" w:hAnsi="Times New Roman" w:cs="Times New Roman" w:eastAsiaTheme="minorEastAsia"/>
                <w:bCs/>
                <w:iCs/>
                <w:color w:val="auto"/>
                <w:sz w:val="24"/>
                <w:lang w:val="en-US" w:eastAsia="zh-CN"/>
              </w:rPr>
              <w:t>保留出入口通过</w:t>
            </w:r>
            <w:r>
              <w:rPr>
                <w:rFonts w:hint="default" w:ascii="Times New Roman" w:hAnsi="Times New Roman" w:cs="Times New Roman" w:eastAsiaTheme="minorEastAsia"/>
                <w:bCs/>
                <w:iCs/>
                <w:color w:val="auto"/>
                <w:sz w:val="24"/>
              </w:rPr>
              <w:t>的封闭生产车间内</w:t>
            </w:r>
            <w:r>
              <w:rPr>
                <w:rFonts w:hint="default" w:ascii="Times New Roman" w:hAnsi="Times New Roman" w:cs="Times New Roman" w:eastAsiaTheme="minorEastAsia"/>
                <w:color w:val="auto"/>
                <w:sz w:val="24"/>
              </w:rPr>
              <w:t>，筛分物料含水率</w:t>
            </w:r>
            <w:r>
              <w:rPr>
                <w:rFonts w:hint="default" w:ascii="Times New Roman" w:hAnsi="Times New Roman" w:cs="Times New Roman" w:eastAsiaTheme="minorEastAsia"/>
                <w:color w:val="auto"/>
                <w:sz w:val="24"/>
                <w:lang w:val="en-US" w:eastAsia="zh-CN"/>
              </w:rPr>
              <w:t>约为20%左右</w:t>
            </w:r>
            <w:r>
              <w:rPr>
                <w:rFonts w:hint="default" w:ascii="Times New Roman" w:hAnsi="Times New Roman" w:cs="Times New Roman" w:eastAsiaTheme="minorEastAsia"/>
                <w:color w:val="auto"/>
                <w:sz w:val="24"/>
              </w:rPr>
              <w:t>，根据类比同类型生产线建设项目，约80%的筛分粉尘自然沉降，约</w:t>
            </w:r>
            <w:r>
              <w:rPr>
                <w:rFonts w:hint="default" w:ascii="Times New Roman" w:hAnsi="Times New Roman" w:cs="Times New Roman" w:eastAsiaTheme="minorEastAsia"/>
                <w:color w:val="auto"/>
                <w:sz w:val="24"/>
                <w:lang w:val="en-US" w:eastAsia="zh-CN"/>
              </w:rPr>
              <w:t>1.28</w:t>
            </w:r>
            <w:r>
              <w:rPr>
                <w:rFonts w:hint="default" w:ascii="Times New Roman" w:hAnsi="Times New Roman" w:cs="Times New Roman" w:eastAsiaTheme="minorEastAsia"/>
                <w:color w:val="auto"/>
                <w:sz w:val="24"/>
              </w:rPr>
              <w:t>t/a的粉尘以无组织形式外排，筛分过程中无明显无组织废气产生。</w:t>
            </w:r>
          </w:p>
          <w:p w14:paraId="1021E687">
            <w:pPr>
              <w:spacing w:line="360" w:lineRule="auto"/>
              <w:ind w:firstLine="480" w:firstLineChars="200"/>
              <w:rPr>
                <w:color w:val="auto"/>
                <w:sz w:val="24"/>
              </w:rPr>
            </w:pPr>
            <w:r>
              <w:rPr>
                <w:rFonts w:hint="eastAsia"/>
                <w:color w:val="auto"/>
                <w:sz w:val="24"/>
              </w:rPr>
              <w:t>③</w:t>
            </w:r>
            <w:r>
              <w:rPr>
                <w:rFonts w:hint="eastAsia"/>
                <w:color w:val="auto"/>
                <w:sz w:val="24"/>
                <w:lang w:val="en-US" w:eastAsia="zh-CN"/>
              </w:rPr>
              <w:t>粉碎机</w:t>
            </w:r>
            <w:r>
              <w:rPr>
                <w:color w:val="auto"/>
                <w:sz w:val="24"/>
              </w:rPr>
              <w:t>粉尘</w:t>
            </w:r>
          </w:p>
          <w:p w14:paraId="6EB763B2">
            <w:pPr>
              <w:spacing w:line="360" w:lineRule="auto"/>
              <w:ind w:firstLine="480" w:firstLineChars="200"/>
              <w:rPr>
                <w:rFonts w:hint="eastAsia"/>
                <w:color w:val="auto"/>
                <w:sz w:val="24"/>
              </w:rPr>
            </w:pPr>
            <w:r>
              <w:rPr>
                <w:rFonts w:hint="eastAsia"/>
                <w:color w:val="auto"/>
                <w:sz w:val="24"/>
              </w:rPr>
              <w:t xml:space="preserve"> </w:t>
            </w:r>
            <w:r>
              <w:rPr>
                <w:color w:val="auto"/>
                <w:sz w:val="24"/>
              </w:rPr>
              <w:t>根据</w:t>
            </w:r>
            <w:r>
              <w:rPr>
                <w:rFonts w:hint="eastAsia"/>
                <w:color w:val="auto"/>
                <w:sz w:val="24"/>
              </w:rPr>
              <w:t>项目生产工艺，项目直接采购木屑、刨花等小料作为原料，通过筛分滚筒筛分后进入烘干机进行烘干，在烘干机物料出库设置1台密闭</w:t>
            </w:r>
            <w:r>
              <w:rPr>
                <w:rFonts w:hint="eastAsia"/>
                <w:color w:val="auto"/>
                <w:sz w:val="24"/>
                <w:lang w:eastAsia="zh-CN"/>
              </w:rPr>
              <w:t>粉</w:t>
            </w:r>
            <w:r>
              <w:rPr>
                <w:rFonts w:hint="eastAsia"/>
                <w:color w:val="auto"/>
                <w:sz w:val="24"/>
              </w:rPr>
              <w:t>碎机，烘干后的物料经过密闭</w:t>
            </w:r>
            <w:r>
              <w:rPr>
                <w:rFonts w:hint="eastAsia"/>
                <w:color w:val="auto"/>
                <w:sz w:val="24"/>
                <w:lang w:eastAsia="zh-CN"/>
              </w:rPr>
              <w:t>粉</w:t>
            </w:r>
            <w:r>
              <w:rPr>
                <w:rFonts w:hint="eastAsia"/>
                <w:color w:val="auto"/>
                <w:sz w:val="24"/>
              </w:rPr>
              <w:t>碎机，小料直接通过，稍大物料密闭</w:t>
            </w:r>
            <w:r>
              <w:rPr>
                <w:rFonts w:hint="eastAsia"/>
                <w:color w:val="auto"/>
                <w:sz w:val="24"/>
                <w:lang w:eastAsia="zh-CN"/>
              </w:rPr>
              <w:t>粉</w:t>
            </w:r>
            <w:r>
              <w:rPr>
                <w:rFonts w:hint="eastAsia"/>
                <w:color w:val="auto"/>
                <w:sz w:val="24"/>
              </w:rPr>
              <w:t>碎后通过，密闭</w:t>
            </w:r>
            <w:r>
              <w:rPr>
                <w:rFonts w:hint="eastAsia"/>
                <w:color w:val="auto"/>
                <w:sz w:val="24"/>
                <w:lang w:eastAsia="zh-CN"/>
              </w:rPr>
              <w:t>粉</w:t>
            </w:r>
            <w:r>
              <w:rPr>
                <w:rFonts w:hint="eastAsia"/>
                <w:color w:val="auto"/>
                <w:sz w:val="24"/>
              </w:rPr>
              <w:t>碎产生的少量粉尘同物料一并进入下一道工序。</w:t>
            </w:r>
          </w:p>
          <w:p w14:paraId="2F4DF0E3">
            <w:pPr>
              <w:spacing w:line="360" w:lineRule="auto"/>
              <w:ind w:firstLine="480" w:firstLineChars="200"/>
              <w:rPr>
                <w:rFonts w:hint="default" w:ascii="Times New Roman" w:hAnsi="Times New Roman" w:cs="Times New Roman" w:eastAsiaTheme="minorEastAsia"/>
                <w:color w:val="auto"/>
                <w:sz w:val="24"/>
              </w:rPr>
            </w:pPr>
            <w:r>
              <w:rPr>
                <w:rFonts w:hint="eastAsia" w:cs="Times New Roman" w:eastAsiaTheme="minorEastAsia"/>
                <w:color w:val="auto"/>
                <w:sz w:val="24"/>
                <w:lang w:val="en-US" w:eastAsia="zh-CN"/>
              </w:rPr>
              <w:t>④</w:t>
            </w:r>
            <w:r>
              <w:rPr>
                <w:rFonts w:hint="default" w:ascii="Times New Roman" w:hAnsi="Times New Roman" w:cs="Times New Roman" w:eastAsiaTheme="minorEastAsia"/>
                <w:color w:val="auto"/>
                <w:sz w:val="24"/>
              </w:rPr>
              <w:t>烘干废气</w:t>
            </w:r>
          </w:p>
          <w:p w14:paraId="0388797F">
            <w:pPr>
              <w:spacing w:line="360" w:lineRule="auto"/>
              <w:ind w:firstLine="480" w:firstLineChars="200"/>
              <w:rPr>
                <w:rFonts w:hint="default" w:ascii="Times New Roman" w:hAnsi="Times New Roman" w:cs="Times New Roman" w:eastAsiaTheme="minorEastAsia"/>
                <w:color w:val="FF0000"/>
                <w:sz w:val="24"/>
                <w:highlight w:val="none"/>
              </w:rPr>
            </w:pPr>
            <w:r>
              <w:rPr>
                <w:rFonts w:hint="default" w:ascii="Times New Roman" w:hAnsi="Times New Roman" w:cs="Times New Roman" w:eastAsiaTheme="minorEastAsia"/>
                <w:color w:val="FF0000"/>
                <w:sz w:val="24"/>
                <w:highlight w:val="none"/>
              </w:rPr>
              <w:t>项目生产规模为</w:t>
            </w:r>
            <w:r>
              <w:rPr>
                <w:rFonts w:hint="default" w:ascii="Times New Roman" w:hAnsi="Times New Roman" w:cs="Times New Roman" w:eastAsiaTheme="minorEastAsia"/>
                <w:color w:val="FF0000"/>
                <w:sz w:val="24"/>
                <w:highlight w:val="none"/>
                <w:lang w:val="en-US" w:eastAsia="zh-CN"/>
              </w:rPr>
              <w:t>9600</w:t>
            </w:r>
            <w:r>
              <w:rPr>
                <w:rFonts w:hint="default" w:ascii="Times New Roman" w:hAnsi="Times New Roman" w:cs="Times New Roman" w:eastAsiaTheme="minorEastAsia"/>
                <w:color w:val="FF0000"/>
                <w:sz w:val="24"/>
                <w:highlight w:val="none"/>
              </w:rPr>
              <w:t>t/a，24小时生产，制棒、炭化烟气经管道引入烘干机做燃料再添加少量生物质燃料，根据</w:t>
            </w:r>
            <w:r>
              <w:rPr>
                <w:rFonts w:hint="eastAsia" w:cs="Times New Roman" w:eastAsiaTheme="minorEastAsia"/>
                <w:color w:val="FF0000"/>
                <w:sz w:val="24"/>
                <w:highlight w:val="none"/>
                <w:lang w:val="en-US" w:eastAsia="zh-CN"/>
              </w:rPr>
              <w:t>设计资料</w:t>
            </w:r>
            <w:r>
              <w:rPr>
                <w:rFonts w:hint="default" w:ascii="Times New Roman" w:hAnsi="Times New Roman" w:cs="Times New Roman" w:eastAsiaTheme="minorEastAsia"/>
                <w:color w:val="FF0000"/>
                <w:sz w:val="24"/>
                <w:highlight w:val="none"/>
              </w:rPr>
              <w:t>，制棒、炭化烟气作为燃料的前提下</w:t>
            </w:r>
            <w:r>
              <w:rPr>
                <w:rFonts w:hint="default" w:ascii="Times New Roman" w:hAnsi="Times New Roman" w:cs="Times New Roman" w:eastAsiaTheme="minorEastAsia"/>
                <w:color w:val="FF0000"/>
                <w:sz w:val="24"/>
                <w:highlight w:val="none"/>
                <w:lang w:eastAsia="zh-CN"/>
              </w:rPr>
              <w:t>，</w:t>
            </w:r>
            <w:r>
              <w:rPr>
                <w:rFonts w:hint="default" w:ascii="Times New Roman" w:hAnsi="Times New Roman" w:cs="Times New Roman" w:eastAsiaTheme="minorEastAsia"/>
                <w:color w:val="FF0000"/>
                <w:sz w:val="24"/>
                <w:highlight w:val="none"/>
                <w:lang w:val="en-US" w:eastAsia="zh-CN"/>
              </w:rPr>
              <w:t>根据炭化产品产量</w:t>
            </w:r>
            <w:r>
              <w:rPr>
                <w:rFonts w:hint="default" w:ascii="Times New Roman" w:hAnsi="Times New Roman" w:cs="Times New Roman" w:eastAsiaTheme="minorEastAsia"/>
                <w:color w:val="FF0000"/>
                <w:sz w:val="24"/>
                <w:highlight w:val="none"/>
              </w:rPr>
              <w:t>，每吨产品还需要额外添加0.2t（</w:t>
            </w:r>
            <w:r>
              <w:rPr>
                <w:rFonts w:hint="default" w:ascii="Times New Roman" w:hAnsi="Times New Roman" w:cs="Times New Roman" w:eastAsiaTheme="minorEastAsia"/>
                <w:color w:val="FF0000"/>
                <w:sz w:val="24"/>
                <w:highlight w:val="none"/>
                <w:lang w:val="en-US" w:eastAsia="zh-CN"/>
              </w:rPr>
              <w:t>1920</w:t>
            </w:r>
            <w:r>
              <w:rPr>
                <w:rFonts w:hint="default" w:ascii="Times New Roman" w:hAnsi="Times New Roman" w:cs="Times New Roman" w:eastAsiaTheme="minorEastAsia"/>
                <w:color w:val="FF0000"/>
                <w:sz w:val="24"/>
                <w:highlight w:val="none"/>
              </w:rPr>
              <w:t>t/a）生物质燃料</w:t>
            </w:r>
            <w:r>
              <w:rPr>
                <w:rFonts w:hint="default" w:ascii="Times New Roman" w:hAnsi="Times New Roman" w:cs="Times New Roman" w:eastAsiaTheme="minorEastAsia"/>
                <w:color w:val="FF0000"/>
                <w:sz w:val="24"/>
                <w:highlight w:val="none"/>
                <w:lang w:val="en-US" w:eastAsia="zh-CN"/>
              </w:rPr>
              <w:t>作为烘干机热源</w:t>
            </w:r>
            <w:r>
              <w:rPr>
                <w:rFonts w:hint="default" w:ascii="Times New Roman" w:hAnsi="Times New Roman" w:cs="Times New Roman" w:eastAsiaTheme="minorEastAsia"/>
                <w:color w:val="FF0000"/>
                <w:sz w:val="24"/>
                <w:highlight w:val="none"/>
              </w:rPr>
              <w:t>；烘干主要废气为烟尘、SO</w:t>
            </w:r>
            <w:r>
              <w:rPr>
                <w:rFonts w:hint="default" w:ascii="Times New Roman" w:hAnsi="Times New Roman" w:cs="Times New Roman" w:eastAsiaTheme="minorEastAsia"/>
                <w:color w:val="FF0000"/>
                <w:sz w:val="24"/>
                <w:highlight w:val="none"/>
                <w:vertAlign w:val="subscript"/>
              </w:rPr>
              <w:t>2</w:t>
            </w:r>
            <w:r>
              <w:rPr>
                <w:rFonts w:hint="default" w:ascii="Times New Roman" w:hAnsi="Times New Roman" w:cs="Times New Roman" w:eastAsiaTheme="minorEastAsia"/>
                <w:color w:val="FF0000"/>
                <w:sz w:val="24"/>
                <w:highlight w:val="none"/>
              </w:rPr>
              <w:t>、NO</w:t>
            </w:r>
            <w:r>
              <w:rPr>
                <w:rFonts w:hint="default" w:ascii="Times New Roman" w:hAnsi="Times New Roman" w:cs="Times New Roman" w:eastAsiaTheme="minorEastAsia"/>
                <w:color w:val="FF0000"/>
                <w:sz w:val="24"/>
                <w:highlight w:val="none"/>
                <w:vertAlign w:val="subscript"/>
              </w:rPr>
              <w:t>X</w:t>
            </w:r>
            <w:r>
              <w:rPr>
                <w:rFonts w:hint="default" w:ascii="Times New Roman" w:hAnsi="Times New Roman" w:cs="Times New Roman" w:eastAsiaTheme="minorEastAsia"/>
                <w:color w:val="FF0000"/>
                <w:sz w:val="24"/>
                <w:highlight w:val="none"/>
              </w:rPr>
              <w:t>。</w:t>
            </w:r>
          </w:p>
          <w:p w14:paraId="76FAA119">
            <w:pPr>
              <w:pStyle w:val="12"/>
              <w:spacing w:line="360" w:lineRule="auto"/>
              <w:ind w:firstLine="480" w:firstLineChars="200"/>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color w:val="auto"/>
                <w:sz w:val="24"/>
              </w:rPr>
              <w:t>项目供热烘干设备为生物质燃烧热风炉，工业炉窑行业暂无污染源强核实技术指南；烘干燃烧烟气产生情况参照</w:t>
            </w:r>
            <w:r>
              <w:rPr>
                <w:rFonts w:hint="default" w:ascii="Times New Roman" w:hAnsi="Times New Roman" w:cs="Times New Roman" w:eastAsiaTheme="minorEastAsia"/>
                <w:color w:val="auto"/>
                <w:sz w:val="24"/>
                <w:szCs w:val="24"/>
              </w:rPr>
              <w:t>《排污许可证申请与核发技术规范 锅炉（HJ953-2018）》中“表F.4燃生物质工业锅炉的废气产排污系数”及《排放源统计调查产排污核算方法和系数手册》中“锅炉产排污量核算系数手册4430工业锅炉（热力生产和供应行业）产污系数表-生物质工业锅炉”进行计算，产污系数表详见表4-3。</w:t>
            </w:r>
          </w:p>
          <w:p w14:paraId="2CF28469">
            <w:pPr>
              <w:pStyle w:val="12"/>
              <w:spacing w:line="360" w:lineRule="auto"/>
              <w:ind w:firstLine="482" w:firstLineChars="200"/>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表4-3产污系数表</w:t>
            </w:r>
          </w:p>
          <w:tbl>
            <w:tblPr>
              <w:tblStyle w:val="23"/>
              <w:tblW w:w="80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447"/>
              <w:gridCol w:w="457"/>
              <w:gridCol w:w="450"/>
              <w:gridCol w:w="2278"/>
              <w:gridCol w:w="680"/>
              <w:gridCol w:w="743"/>
              <w:gridCol w:w="702"/>
              <w:gridCol w:w="920"/>
              <w:gridCol w:w="836"/>
            </w:tblGrid>
            <w:tr w14:paraId="25A3D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584" w:type="dxa"/>
                  <w:noWrap w:val="0"/>
                  <w:vAlign w:val="center"/>
                </w:tcPr>
                <w:p w14:paraId="043D38E5">
                  <w:pPr>
                    <w:widowControl/>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kern w:val="0"/>
                      <w:szCs w:val="21"/>
                    </w:rPr>
                    <w:t>产品名称</w:t>
                  </w:r>
                </w:p>
              </w:tc>
              <w:tc>
                <w:tcPr>
                  <w:tcW w:w="447" w:type="dxa"/>
                  <w:noWrap w:val="0"/>
                  <w:vAlign w:val="center"/>
                </w:tcPr>
                <w:p w14:paraId="794B8520">
                  <w:pPr>
                    <w:widowControl/>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kern w:val="0"/>
                      <w:szCs w:val="21"/>
                    </w:rPr>
                    <w:t>燃料名称</w:t>
                  </w:r>
                </w:p>
              </w:tc>
              <w:tc>
                <w:tcPr>
                  <w:tcW w:w="457" w:type="dxa"/>
                  <w:noWrap w:val="0"/>
                  <w:vAlign w:val="center"/>
                </w:tcPr>
                <w:p w14:paraId="6A750FDE">
                  <w:pPr>
                    <w:widowControl/>
                    <w:snapToGrid w:val="0"/>
                    <w:jc w:val="center"/>
                    <w:rPr>
                      <w:rFonts w:hint="default" w:ascii="Times New Roman" w:hAnsi="Times New Roman" w:cs="Times New Roman" w:eastAsiaTheme="minorEastAsia"/>
                      <w:b/>
                      <w:color w:val="auto"/>
                      <w:kern w:val="0"/>
                      <w:szCs w:val="21"/>
                    </w:rPr>
                  </w:pPr>
                  <w:r>
                    <w:rPr>
                      <w:rFonts w:hint="default" w:ascii="Times New Roman" w:hAnsi="Times New Roman" w:cs="Times New Roman" w:eastAsiaTheme="minorEastAsia"/>
                      <w:b/>
                      <w:color w:val="auto"/>
                      <w:kern w:val="0"/>
                      <w:szCs w:val="21"/>
                    </w:rPr>
                    <w:t>工艺名称</w:t>
                  </w:r>
                </w:p>
              </w:tc>
              <w:tc>
                <w:tcPr>
                  <w:tcW w:w="450" w:type="dxa"/>
                  <w:noWrap w:val="0"/>
                  <w:vAlign w:val="center"/>
                </w:tcPr>
                <w:p w14:paraId="3E6BB4F4">
                  <w:pPr>
                    <w:widowControl/>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kern w:val="0"/>
                      <w:szCs w:val="21"/>
                    </w:rPr>
                    <w:t>规模等级</w:t>
                  </w:r>
                </w:p>
              </w:tc>
              <w:tc>
                <w:tcPr>
                  <w:tcW w:w="2278" w:type="dxa"/>
                  <w:noWrap w:val="0"/>
                  <w:vAlign w:val="center"/>
                </w:tcPr>
                <w:p w14:paraId="14B0C72A">
                  <w:pPr>
                    <w:widowControl/>
                    <w:snapToGrid w:val="0"/>
                    <w:jc w:val="center"/>
                    <w:rPr>
                      <w:rFonts w:hint="default" w:ascii="Times New Roman" w:hAnsi="Times New Roman" w:cs="Times New Roman" w:eastAsiaTheme="minorEastAsia"/>
                      <w:b/>
                      <w:color w:val="auto"/>
                      <w:kern w:val="0"/>
                      <w:szCs w:val="21"/>
                    </w:rPr>
                  </w:pPr>
                  <w:r>
                    <w:rPr>
                      <w:rFonts w:hint="default" w:ascii="Times New Roman" w:hAnsi="Times New Roman" w:cs="Times New Roman" w:eastAsiaTheme="minorEastAsia"/>
                      <w:b/>
                      <w:color w:val="auto"/>
                      <w:kern w:val="0"/>
                      <w:szCs w:val="21"/>
                    </w:rPr>
                    <w:t>核算依据</w:t>
                  </w:r>
                </w:p>
              </w:tc>
              <w:tc>
                <w:tcPr>
                  <w:tcW w:w="680" w:type="dxa"/>
                  <w:noWrap w:val="0"/>
                  <w:vAlign w:val="center"/>
                </w:tcPr>
                <w:p w14:paraId="26F2C718">
                  <w:pPr>
                    <w:widowControl/>
                    <w:snapToGrid w:val="0"/>
                    <w:ind w:firstLine="105" w:firstLineChars="5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kern w:val="0"/>
                      <w:szCs w:val="21"/>
                    </w:rPr>
                    <w:t>污染物指标</w:t>
                  </w:r>
                </w:p>
              </w:tc>
              <w:tc>
                <w:tcPr>
                  <w:tcW w:w="743" w:type="dxa"/>
                  <w:noWrap w:val="0"/>
                  <w:vAlign w:val="center"/>
                </w:tcPr>
                <w:p w14:paraId="19238C0A">
                  <w:pPr>
                    <w:widowControl/>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kern w:val="0"/>
                      <w:szCs w:val="21"/>
                    </w:rPr>
                    <w:t>单位</w:t>
                  </w:r>
                </w:p>
              </w:tc>
              <w:tc>
                <w:tcPr>
                  <w:tcW w:w="702" w:type="dxa"/>
                  <w:noWrap w:val="0"/>
                  <w:vAlign w:val="center"/>
                </w:tcPr>
                <w:p w14:paraId="1E29FF89">
                  <w:pPr>
                    <w:widowControl/>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kern w:val="0"/>
                      <w:szCs w:val="21"/>
                    </w:rPr>
                    <w:t>产污系数</w:t>
                  </w:r>
                </w:p>
              </w:tc>
              <w:tc>
                <w:tcPr>
                  <w:tcW w:w="920" w:type="dxa"/>
                  <w:noWrap w:val="0"/>
                  <w:vAlign w:val="center"/>
                </w:tcPr>
                <w:p w14:paraId="1AD5D555">
                  <w:pPr>
                    <w:widowControl/>
                    <w:snapToGrid w:val="0"/>
                    <w:jc w:val="center"/>
                    <w:rPr>
                      <w:rFonts w:hint="default" w:ascii="Times New Roman" w:hAnsi="Times New Roman" w:cs="Times New Roman" w:eastAsiaTheme="minorEastAsia"/>
                      <w:b/>
                      <w:color w:val="auto"/>
                      <w:kern w:val="0"/>
                      <w:szCs w:val="21"/>
                    </w:rPr>
                  </w:pPr>
                  <w:r>
                    <w:rPr>
                      <w:rFonts w:hint="default" w:ascii="Times New Roman" w:hAnsi="Times New Roman" w:cs="Times New Roman" w:eastAsiaTheme="minorEastAsia"/>
                      <w:b/>
                      <w:color w:val="auto"/>
                      <w:kern w:val="0"/>
                      <w:szCs w:val="21"/>
                    </w:rPr>
                    <w:t>末端治理技术名称</w:t>
                  </w:r>
                </w:p>
              </w:tc>
              <w:tc>
                <w:tcPr>
                  <w:tcW w:w="836" w:type="dxa"/>
                  <w:noWrap w:val="0"/>
                  <w:vAlign w:val="center"/>
                </w:tcPr>
                <w:p w14:paraId="3B4153E3">
                  <w:pPr>
                    <w:widowControl/>
                    <w:snapToGrid w:val="0"/>
                    <w:jc w:val="center"/>
                    <w:rPr>
                      <w:rFonts w:hint="default" w:ascii="Times New Roman" w:hAnsi="Times New Roman" w:cs="Times New Roman" w:eastAsiaTheme="minorEastAsia"/>
                      <w:b/>
                      <w:color w:val="auto"/>
                      <w:kern w:val="0"/>
                      <w:szCs w:val="21"/>
                    </w:rPr>
                  </w:pPr>
                  <w:r>
                    <w:rPr>
                      <w:rFonts w:hint="default" w:ascii="Times New Roman" w:hAnsi="Times New Roman" w:cs="Times New Roman" w:eastAsiaTheme="minorEastAsia"/>
                      <w:b/>
                      <w:color w:val="auto"/>
                      <w:kern w:val="0"/>
                      <w:szCs w:val="21"/>
                    </w:rPr>
                    <w:t>排污系数</w:t>
                  </w:r>
                </w:p>
              </w:tc>
            </w:tr>
            <w:tr w14:paraId="77F08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1" w:hRule="atLeast"/>
              </w:trPr>
              <w:tc>
                <w:tcPr>
                  <w:tcW w:w="584" w:type="dxa"/>
                  <w:vMerge w:val="restart"/>
                  <w:noWrap w:val="0"/>
                  <w:vAlign w:val="center"/>
                </w:tcPr>
                <w:p w14:paraId="63DABA36">
                  <w:pPr>
                    <w:pStyle w:val="12"/>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蒸汽/热水/其它</w:t>
                  </w:r>
                </w:p>
              </w:tc>
              <w:tc>
                <w:tcPr>
                  <w:tcW w:w="447" w:type="dxa"/>
                  <w:vMerge w:val="restart"/>
                  <w:noWrap w:val="0"/>
                  <w:vAlign w:val="center"/>
                </w:tcPr>
                <w:p w14:paraId="491147BA">
                  <w:pPr>
                    <w:pStyle w:val="12"/>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生物质</w:t>
                  </w:r>
                </w:p>
              </w:tc>
              <w:tc>
                <w:tcPr>
                  <w:tcW w:w="457" w:type="dxa"/>
                  <w:vMerge w:val="restart"/>
                  <w:noWrap w:val="0"/>
                  <w:vAlign w:val="center"/>
                </w:tcPr>
                <w:p w14:paraId="3C84ED3F">
                  <w:pPr>
                    <w:snapToGrid w:val="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层燃炉</w:t>
                  </w:r>
                </w:p>
                <w:p w14:paraId="58968CD9">
                  <w:pPr>
                    <w:snapToGrid w:val="0"/>
                    <w:jc w:val="center"/>
                    <w:rPr>
                      <w:rFonts w:hint="default" w:ascii="Times New Roman" w:hAnsi="Times New Roman" w:cs="Times New Roman" w:eastAsiaTheme="minorEastAsia"/>
                      <w:color w:val="auto"/>
                      <w:kern w:val="0"/>
                      <w:szCs w:val="21"/>
                    </w:rPr>
                  </w:pPr>
                </w:p>
              </w:tc>
              <w:tc>
                <w:tcPr>
                  <w:tcW w:w="450" w:type="dxa"/>
                  <w:vMerge w:val="restart"/>
                  <w:noWrap w:val="0"/>
                  <w:vAlign w:val="center"/>
                </w:tcPr>
                <w:p w14:paraId="31561C8D">
                  <w:pPr>
                    <w:pStyle w:val="12"/>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所有规模</w:t>
                  </w:r>
                </w:p>
              </w:tc>
              <w:tc>
                <w:tcPr>
                  <w:tcW w:w="2278" w:type="dxa"/>
                  <w:noWrap w:val="0"/>
                  <w:vAlign w:val="center"/>
                </w:tcPr>
                <w:p w14:paraId="7A372765">
                  <w:pPr>
                    <w:snapToGrid w:val="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szCs w:val="21"/>
                    </w:rPr>
                    <w:t>《排放源统计调查产排污核算方法和系数手册》中“</w:t>
                  </w:r>
                  <w:r>
                    <w:rPr>
                      <w:rFonts w:hint="default" w:ascii="Times New Roman" w:hAnsi="Times New Roman" w:cs="Times New Roman" w:eastAsiaTheme="minorEastAsia"/>
                      <w:color w:val="auto"/>
                      <w:kern w:val="0"/>
                      <w:szCs w:val="21"/>
                    </w:rPr>
                    <w:t>锅炉产排污量核算系数手册  4430 工业锅炉（热力生产和供应行业）产污系数表-生物质工业锅炉</w:t>
                  </w:r>
                  <w:r>
                    <w:rPr>
                      <w:rFonts w:hint="default" w:ascii="Times New Roman" w:hAnsi="Times New Roman" w:cs="Times New Roman" w:eastAsiaTheme="minorEastAsia"/>
                      <w:color w:val="auto"/>
                      <w:szCs w:val="21"/>
                    </w:rPr>
                    <w:t>”</w:t>
                  </w:r>
                </w:p>
              </w:tc>
              <w:tc>
                <w:tcPr>
                  <w:tcW w:w="680" w:type="dxa"/>
                  <w:noWrap w:val="0"/>
                  <w:vAlign w:val="center"/>
                </w:tcPr>
                <w:p w14:paraId="3CE28CE4">
                  <w:pPr>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kern w:val="0"/>
                      <w:szCs w:val="21"/>
                    </w:rPr>
                    <w:t>工业废气量</w:t>
                  </w:r>
                </w:p>
              </w:tc>
              <w:tc>
                <w:tcPr>
                  <w:tcW w:w="743" w:type="dxa"/>
                  <w:noWrap w:val="0"/>
                  <w:vAlign w:val="center"/>
                </w:tcPr>
                <w:p w14:paraId="05B201FD">
                  <w:pPr>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kern w:val="0"/>
                      <w:szCs w:val="21"/>
                    </w:rPr>
                    <w:t>标立方米/吨-原料</w:t>
                  </w:r>
                </w:p>
              </w:tc>
              <w:tc>
                <w:tcPr>
                  <w:tcW w:w="702" w:type="dxa"/>
                  <w:noWrap w:val="0"/>
                  <w:vAlign w:val="center"/>
                </w:tcPr>
                <w:p w14:paraId="28CDD329">
                  <w:pPr>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kern w:val="0"/>
                      <w:szCs w:val="21"/>
                    </w:rPr>
                    <w:t>6240</w:t>
                  </w:r>
                </w:p>
              </w:tc>
              <w:tc>
                <w:tcPr>
                  <w:tcW w:w="920" w:type="dxa"/>
                  <w:noWrap w:val="0"/>
                  <w:vAlign w:val="center"/>
                </w:tcPr>
                <w:p w14:paraId="3ACE5D09">
                  <w:pPr>
                    <w:snapToGrid w:val="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w:t>
                  </w:r>
                </w:p>
              </w:tc>
              <w:tc>
                <w:tcPr>
                  <w:tcW w:w="836" w:type="dxa"/>
                  <w:noWrap w:val="0"/>
                  <w:vAlign w:val="center"/>
                </w:tcPr>
                <w:p w14:paraId="76344ED6">
                  <w:pPr>
                    <w:snapToGrid w:val="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6240</w:t>
                  </w:r>
                </w:p>
              </w:tc>
            </w:tr>
            <w:tr w14:paraId="5D90F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584" w:type="dxa"/>
                  <w:vMerge w:val="continue"/>
                  <w:noWrap w:val="0"/>
                  <w:vAlign w:val="center"/>
                </w:tcPr>
                <w:p w14:paraId="1DD656D3">
                  <w:pPr>
                    <w:pStyle w:val="12"/>
                    <w:spacing w:line="240" w:lineRule="auto"/>
                    <w:jc w:val="center"/>
                    <w:rPr>
                      <w:rFonts w:hint="default" w:ascii="Times New Roman" w:hAnsi="Times New Roman" w:cs="Times New Roman" w:eastAsiaTheme="minorEastAsia"/>
                      <w:color w:val="auto"/>
                      <w:sz w:val="21"/>
                      <w:szCs w:val="21"/>
                    </w:rPr>
                  </w:pPr>
                </w:p>
              </w:tc>
              <w:tc>
                <w:tcPr>
                  <w:tcW w:w="447" w:type="dxa"/>
                  <w:vMerge w:val="continue"/>
                  <w:noWrap w:val="0"/>
                  <w:vAlign w:val="center"/>
                </w:tcPr>
                <w:p w14:paraId="66BD3972">
                  <w:pPr>
                    <w:pStyle w:val="12"/>
                    <w:spacing w:line="240" w:lineRule="auto"/>
                    <w:jc w:val="center"/>
                    <w:rPr>
                      <w:rFonts w:hint="default" w:ascii="Times New Roman" w:hAnsi="Times New Roman" w:cs="Times New Roman" w:eastAsiaTheme="minorEastAsia"/>
                      <w:color w:val="auto"/>
                      <w:sz w:val="21"/>
                      <w:szCs w:val="21"/>
                    </w:rPr>
                  </w:pPr>
                </w:p>
              </w:tc>
              <w:tc>
                <w:tcPr>
                  <w:tcW w:w="457" w:type="dxa"/>
                  <w:vMerge w:val="continue"/>
                  <w:noWrap w:val="0"/>
                  <w:vAlign w:val="center"/>
                </w:tcPr>
                <w:p w14:paraId="5A24FEC5">
                  <w:pPr>
                    <w:pStyle w:val="12"/>
                    <w:spacing w:line="240" w:lineRule="auto"/>
                    <w:jc w:val="center"/>
                    <w:rPr>
                      <w:rFonts w:hint="default" w:ascii="Times New Roman" w:hAnsi="Times New Roman" w:cs="Times New Roman" w:eastAsiaTheme="minorEastAsia"/>
                      <w:color w:val="auto"/>
                      <w:sz w:val="21"/>
                      <w:szCs w:val="21"/>
                    </w:rPr>
                  </w:pPr>
                </w:p>
              </w:tc>
              <w:tc>
                <w:tcPr>
                  <w:tcW w:w="450" w:type="dxa"/>
                  <w:vMerge w:val="continue"/>
                  <w:noWrap w:val="0"/>
                  <w:vAlign w:val="center"/>
                </w:tcPr>
                <w:p w14:paraId="59587966">
                  <w:pPr>
                    <w:pStyle w:val="12"/>
                    <w:spacing w:line="240" w:lineRule="auto"/>
                    <w:jc w:val="center"/>
                    <w:rPr>
                      <w:rFonts w:hint="default" w:ascii="Times New Roman" w:hAnsi="Times New Roman" w:cs="Times New Roman" w:eastAsiaTheme="minorEastAsia"/>
                      <w:color w:val="auto"/>
                      <w:sz w:val="21"/>
                      <w:szCs w:val="21"/>
                    </w:rPr>
                  </w:pPr>
                </w:p>
              </w:tc>
              <w:tc>
                <w:tcPr>
                  <w:tcW w:w="2278" w:type="dxa"/>
                  <w:vMerge w:val="restart"/>
                  <w:noWrap w:val="0"/>
                  <w:vAlign w:val="center"/>
                </w:tcPr>
                <w:p w14:paraId="7F8FDC10">
                  <w:pPr>
                    <w:snapToGrid w:val="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《排污许可证申请与核发技术规范 锅炉（HJ953-2018）》中“表F.4燃生物质工业锅炉的废气产排污系数”</w:t>
                  </w:r>
                </w:p>
              </w:tc>
              <w:tc>
                <w:tcPr>
                  <w:tcW w:w="680" w:type="dxa"/>
                  <w:noWrap w:val="0"/>
                  <w:vAlign w:val="center"/>
                </w:tcPr>
                <w:p w14:paraId="68BCE763">
                  <w:pPr>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kern w:val="0"/>
                      <w:szCs w:val="21"/>
                    </w:rPr>
                    <w:t>二氧化硫</w:t>
                  </w:r>
                </w:p>
              </w:tc>
              <w:tc>
                <w:tcPr>
                  <w:tcW w:w="743" w:type="dxa"/>
                  <w:noWrap w:val="0"/>
                  <w:vAlign w:val="center"/>
                </w:tcPr>
                <w:p w14:paraId="2670CD33">
                  <w:pPr>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kern w:val="0"/>
                      <w:szCs w:val="21"/>
                    </w:rPr>
                    <w:t>千克/吨-原料</w:t>
                  </w:r>
                </w:p>
              </w:tc>
              <w:tc>
                <w:tcPr>
                  <w:tcW w:w="702" w:type="dxa"/>
                  <w:noWrap w:val="0"/>
                  <w:vAlign w:val="center"/>
                </w:tcPr>
                <w:p w14:paraId="6E0FBAF1">
                  <w:pPr>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kern w:val="0"/>
                      <w:szCs w:val="21"/>
                    </w:rPr>
                    <w:t>17S</w:t>
                  </w:r>
                  <w:r>
                    <w:rPr>
                      <w:rFonts w:hint="default" w:ascii="Times New Roman" w:hAnsi="Times New Roman" w:cs="Times New Roman" w:eastAsiaTheme="minorEastAsia"/>
                      <w:color w:val="auto"/>
                      <w:szCs w:val="21"/>
                      <w:vertAlign w:val="superscript"/>
                    </w:rPr>
                    <w:fldChar w:fldCharType="begin"/>
                  </w:r>
                  <w:r>
                    <w:rPr>
                      <w:rFonts w:hint="default" w:ascii="Times New Roman" w:hAnsi="Times New Roman" w:cs="Times New Roman" w:eastAsiaTheme="minorEastAsia"/>
                      <w:color w:val="auto"/>
                      <w:szCs w:val="21"/>
                      <w:vertAlign w:val="superscript"/>
                    </w:rPr>
                    <w:instrText xml:space="preserve"> = 1 \* GB3 </w:instrText>
                  </w:r>
                  <w:r>
                    <w:rPr>
                      <w:rFonts w:hint="default" w:ascii="Times New Roman" w:hAnsi="Times New Roman" w:cs="Times New Roman" w:eastAsiaTheme="minorEastAsia"/>
                      <w:color w:val="auto"/>
                      <w:szCs w:val="21"/>
                      <w:vertAlign w:val="superscript"/>
                    </w:rPr>
                    <w:fldChar w:fldCharType="separate"/>
                  </w:r>
                  <w:r>
                    <w:rPr>
                      <w:rFonts w:hint="default" w:ascii="Times New Roman" w:hAnsi="Times New Roman" w:cs="Times New Roman" w:eastAsiaTheme="minorEastAsia"/>
                      <w:color w:val="auto"/>
                      <w:szCs w:val="21"/>
                      <w:vertAlign w:val="superscript"/>
                    </w:rPr>
                    <w:t>①</w:t>
                  </w:r>
                  <w:r>
                    <w:rPr>
                      <w:rFonts w:hint="default" w:ascii="Times New Roman" w:hAnsi="Times New Roman" w:cs="Times New Roman" w:eastAsiaTheme="minorEastAsia"/>
                      <w:color w:val="auto"/>
                      <w:szCs w:val="21"/>
                      <w:vertAlign w:val="superscript"/>
                    </w:rPr>
                    <w:fldChar w:fldCharType="end"/>
                  </w:r>
                </w:p>
              </w:tc>
              <w:tc>
                <w:tcPr>
                  <w:tcW w:w="920" w:type="dxa"/>
                  <w:noWrap w:val="0"/>
                  <w:vAlign w:val="center"/>
                </w:tcPr>
                <w:p w14:paraId="5196F846">
                  <w:pPr>
                    <w:snapToGrid w:val="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直排</w:t>
                  </w:r>
                </w:p>
              </w:tc>
              <w:tc>
                <w:tcPr>
                  <w:tcW w:w="836" w:type="dxa"/>
                  <w:noWrap w:val="0"/>
                  <w:vAlign w:val="center"/>
                </w:tcPr>
                <w:p w14:paraId="2790E268">
                  <w:pPr>
                    <w:snapToGrid w:val="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17S</w:t>
                  </w:r>
                  <w:r>
                    <w:rPr>
                      <w:rFonts w:hint="default" w:ascii="Times New Roman" w:hAnsi="Times New Roman" w:cs="Times New Roman" w:eastAsiaTheme="minorEastAsia"/>
                      <w:color w:val="auto"/>
                      <w:szCs w:val="21"/>
                      <w:vertAlign w:val="superscript"/>
                    </w:rPr>
                    <w:fldChar w:fldCharType="begin"/>
                  </w:r>
                  <w:r>
                    <w:rPr>
                      <w:rFonts w:hint="default" w:ascii="Times New Roman" w:hAnsi="Times New Roman" w:cs="Times New Roman" w:eastAsiaTheme="minorEastAsia"/>
                      <w:color w:val="auto"/>
                      <w:szCs w:val="21"/>
                      <w:vertAlign w:val="superscript"/>
                    </w:rPr>
                    <w:instrText xml:space="preserve"> = 1 \* GB3 </w:instrText>
                  </w:r>
                  <w:r>
                    <w:rPr>
                      <w:rFonts w:hint="default" w:ascii="Times New Roman" w:hAnsi="Times New Roman" w:cs="Times New Roman" w:eastAsiaTheme="minorEastAsia"/>
                      <w:color w:val="auto"/>
                      <w:szCs w:val="21"/>
                      <w:vertAlign w:val="superscript"/>
                    </w:rPr>
                    <w:fldChar w:fldCharType="separate"/>
                  </w:r>
                  <w:r>
                    <w:rPr>
                      <w:rFonts w:hint="default" w:ascii="Times New Roman" w:hAnsi="Times New Roman" w:cs="Times New Roman" w:eastAsiaTheme="minorEastAsia"/>
                      <w:color w:val="auto"/>
                      <w:szCs w:val="21"/>
                      <w:vertAlign w:val="superscript"/>
                    </w:rPr>
                    <w:t>①</w:t>
                  </w:r>
                  <w:r>
                    <w:rPr>
                      <w:rFonts w:hint="default" w:ascii="Times New Roman" w:hAnsi="Times New Roman" w:cs="Times New Roman" w:eastAsiaTheme="minorEastAsia"/>
                      <w:color w:val="auto"/>
                      <w:szCs w:val="21"/>
                      <w:vertAlign w:val="superscript"/>
                    </w:rPr>
                    <w:fldChar w:fldCharType="end"/>
                  </w:r>
                </w:p>
              </w:tc>
            </w:tr>
            <w:tr w14:paraId="14006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584" w:type="dxa"/>
                  <w:vMerge w:val="continue"/>
                  <w:noWrap w:val="0"/>
                  <w:vAlign w:val="center"/>
                </w:tcPr>
                <w:p w14:paraId="18282219">
                  <w:pPr>
                    <w:pStyle w:val="12"/>
                    <w:spacing w:line="240" w:lineRule="auto"/>
                    <w:jc w:val="center"/>
                    <w:rPr>
                      <w:rFonts w:hint="default" w:ascii="Times New Roman" w:hAnsi="Times New Roman" w:cs="Times New Roman" w:eastAsiaTheme="minorEastAsia"/>
                      <w:color w:val="auto"/>
                      <w:sz w:val="21"/>
                      <w:szCs w:val="21"/>
                    </w:rPr>
                  </w:pPr>
                </w:p>
              </w:tc>
              <w:tc>
                <w:tcPr>
                  <w:tcW w:w="447" w:type="dxa"/>
                  <w:vMerge w:val="continue"/>
                  <w:noWrap w:val="0"/>
                  <w:vAlign w:val="center"/>
                </w:tcPr>
                <w:p w14:paraId="1BD8E771">
                  <w:pPr>
                    <w:pStyle w:val="12"/>
                    <w:spacing w:line="240" w:lineRule="auto"/>
                    <w:jc w:val="center"/>
                    <w:rPr>
                      <w:rFonts w:hint="default" w:ascii="Times New Roman" w:hAnsi="Times New Roman" w:cs="Times New Roman" w:eastAsiaTheme="minorEastAsia"/>
                      <w:color w:val="auto"/>
                      <w:sz w:val="21"/>
                      <w:szCs w:val="21"/>
                    </w:rPr>
                  </w:pPr>
                </w:p>
              </w:tc>
              <w:tc>
                <w:tcPr>
                  <w:tcW w:w="457" w:type="dxa"/>
                  <w:vMerge w:val="continue"/>
                  <w:noWrap w:val="0"/>
                  <w:vAlign w:val="center"/>
                </w:tcPr>
                <w:p w14:paraId="4C62B4F1">
                  <w:pPr>
                    <w:pStyle w:val="12"/>
                    <w:spacing w:line="240" w:lineRule="auto"/>
                    <w:jc w:val="center"/>
                    <w:rPr>
                      <w:rFonts w:hint="default" w:ascii="Times New Roman" w:hAnsi="Times New Roman" w:cs="Times New Roman" w:eastAsiaTheme="minorEastAsia"/>
                      <w:color w:val="auto"/>
                      <w:sz w:val="21"/>
                      <w:szCs w:val="21"/>
                    </w:rPr>
                  </w:pPr>
                </w:p>
              </w:tc>
              <w:tc>
                <w:tcPr>
                  <w:tcW w:w="450" w:type="dxa"/>
                  <w:vMerge w:val="continue"/>
                  <w:noWrap w:val="0"/>
                  <w:vAlign w:val="center"/>
                </w:tcPr>
                <w:p w14:paraId="24A17487">
                  <w:pPr>
                    <w:pStyle w:val="12"/>
                    <w:spacing w:line="240" w:lineRule="auto"/>
                    <w:jc w:val="center"/>
                    <w:rPr>
                      <w:rFonts w:hint="default" w:ascii="Times New Roman" w:hAnsi="Times New Roman" w:cs="Times New Roman" w:eastAsiaTheme="minorEastAsia"/>
                      <w:color w:val="auto"/>
                      <w:sz w:val="21"/>
                      <w:szCs w:val="21"/>
                    </w:rPr>
                  </w:pPr>
                </w:p>
              </w:tc>
              <w:tc>
                <w:tcPr>
                  <w:tcW w:w="2278" w:type="dxa"/>
                  <w:vMerge w:val="continue"/>
                  <w:noWrap w:val="0"/>
                  <w:vAlign w:val="center"/>
                </w:tcPr>
                <w:p w14:paraId="3B508422">
                  <w:pPr>
                    <w:snapToGrid w:val="0"/>
                    <w:jc w:val="center"/>
                    <w:rPr>
                      <w:rFonts w:hint="default" w:ascii="Times New Roman" w:hAnsi="Times New Roman" w:cs="Times New Roman" w:eastAsiaTheme="minorEastAsia"/>
                      <w:color w:val="auto"/>
                      <w:kern w:val="0"/>
                      <w:szCs w:val="21"/>
                    </w:rPr>
                  </w:pPr>
                </w:p>
              </w:tc>
              <w:tc>
                <w:tcPr>
                  <w:tcW w:w="680" w:type="dxa"/>
                  <w:vMerge w:val="restart"/>
                  <w:noWrap w:val="0"/>
                  <w:vAlign w:val="center"/>
                </w:tcPr>
                <w:p w14:paraId="304E0B96">
                  <w:pPr>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kern w:val="0"/>
                      <w:szCs w:val="21"/>
                    </w:rPr>
                    <w:t>颗粒物</w:t>
                  </w:r>
                </w:p>
              </w:tc>
              <w:tc>
                <w:tcPr>
                  <w:tcW w:w="743" w:type="dxa"/>
                  <w:vMerge w:val="restart"/>
                  <w:noWrap w:val="0"/>
                  <w:vAlign w:val="center"/>
                </w:tcPr>
                <w:p w14:paraId="28E3A0B8">
                  <w:pPr>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kern w:val="0"/>
                      <w:szCs w:val="21"/>
                    </w:rPr>
                    <w:t>千克/吨-原料</w:t>
                  </w:r>
                </w:p>
              </w:tc>
              <w:tc>
                <w:tcPr>
                  <w:tcW w:w="702" w:type="dxa"/>
                  <w:vMerge w:val="restart"/>
                  <w:noWrap w:val="0"/>
                  <w:vAlign w:val="center"/>
                </w:tcPr>
                <w:p w14:paraId="4E134B41">
                  <w:pPr>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37.6</w:t>
                  </w:r>
                </w:p>
              </w:tc>
              <w:tc>
                <w:tcPr>
                  <w:tcW w:w="920" w:type="dxa"/>
                  <w:noWrap w:val="0"/>
                  <w:vAlign w:val="center"/>
                </w:tcPr>
                <w:p w14:paraId="2B08347C">
                  <w:pPr>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kern w:val="0"/>
                      <w:szCs w:val="21"/>
                    </w:rPr>
                    <w:t>直排</w:t>
                  </w:r>
                </w:p>
              </w:tc>
              <w:tc>
                <w:tcPr>
                  <w:tcW w:w="836" w:type="dxa"/>
                  <w:noWrap w:val="0"/>
                  <w:vAlign w:val="center"/>
                </w:tcPr>
                <w:p w14:paraId="2624BB8A">
                  <w:pPr>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kern w:val="0"/>
                      <w:szCs w:val="21"/>
                    </w:rPr>
                    <w:t>37.6</w:t>
                  </w:r>
                </w:p>
              </w:tc>
            </w:tr>
            <w:tr w14:paraId="004FE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584" w:type="dxa"/>
                  <w:vMerge w:val="continue"/>
                  <w:noWrap w:val="0"/>
                  <w:vAlign w:val="center"/>
                </w:tcPr>
                <w:p w14:paraId="0B04FE7A">
                  <w:pPr>
                    <w:pStyle w:val="12"/>
                    <w:spacing w:line="240" w:lineRule="auto"/>
                    <w:jc w:val="center"/>
                    <w:rPr>
                      <w:rFonts w:hint="default" w:ascii="Times New Roman" w:hAnsi="Times New Roman" w:cs="Times New Roman" w:eastAsiaTheme="minorEastAsia"/>
                      <w:color w:val="auto"/>
                      <w:sz w:val="21"/>
                      <w:szCs w:val="21"/>
                    </w:rPr>
                  </w:pPr>
                </w:p>
              </w:tc>
              <w:tc>
                <w:tcPr>
                  <w:tcW w:w="447" w:type="dxa"/>
                  <w:vMerge w:val="continue"/>
                  <w:noWrap w:val="0"/>
                  <w:vAlign w:val="center"/>
                </w:tcPr>
                <w:p w14:paraId="2B6E0F0E">
                  <w:pPr>
                    <w:pStyle w:val="12"/>
                    <w:spacing w:line="240" w:lineRule="auto"/>
                    <w:jc w:val="center"/>
                    <w:rPr>
                      <w:rFonts w:hint="default" w:ascii="Times New Roman" w:hAnsi="Times New Roman" w:cs="Times New Roman" w:eastAsiaTheme="minorEastAsia"/>
                      <w:color w:val="auto"/>
                      <w:sz w:val="21"/>
                      <w:szCs w:val="21"/>
                    </w:rPr>
                  </w:pPr>
                </w:p>
              </w:tc>
              <w:tc>
                <w:tcPr>
                  <w:tcW w:w="457" w:type="dxa"/>
                  <w:vMerge w:val="continue"/>
                  <w:noWrap w:val="0"/>
                  <w:vAlign w:val="center"/>
                </w:tcPr>
                <w:p w14:paraId="184E43BB">
                  <w:pPr>
                    <w:pStyle w:val="12"/>
                    <w:spacing w:line="240" w:lineRule="auto"/>
                    <w:jc w:val="center"/>
                    <w:rPr>
                      <w:rFonts w:hint="default" w:ascii="Times New Roman" w:hAnsi="Times New Roman" w:cs="Times New Roman" w:eastAsiaTheme="minorEastAsia"/>
                      <w:color w:val="auto"/>
                      <w:sz w:val="21"/>
                      <w:szCs w:val="21"/>
                    </w:rPr>
                  </w:pPr>
                </w:p>
              </w:tc>
              <w:tc>
                <w:tcPr>
                  <w:tcW w:w="450" w:type="dxa"/>
                  <w:vMerge w:val="continue"/>
                  <w:noWrap w:val="0"/>
                  <w:vAlign w:val="center"/>
                </w:tcPr>
                <w:p w14:paraId="7E32D279">
                  <w:pPr>
                    <w:pStyle w:val="12"/>
                    <w:spacing w:line="240" w:lineRule="auto"/>
                    <w:jc w:val="center"/>
                    <w:rPr>
                      <w:rFonts w:hint="default" w:ascii="Times New Roman" w:hAnsi="Times New Roman" w:cs="Times New Roman" w:eastAsiaTheme="minorEastAsia"/>
                      <w:color w:val="auto"/>
                      <w:sz w:val="21"/>
                      <w:szCs w:val="21"/>
                    </w:rPr>
                  </w:pPr>
                </w:p>
              </w:tc>
              <w:tc>
                <w:tcPr>
                  <w:tcW w:w="2278" w:type="dxa"/>
                  <w:vMerge w:val="continue"/>
                  <w:noWrap w:val="0"/>
                  <w:vAlign w:val="center"/>
                </w:tcPr>
                <w:p w14:paraId="63A706C4">
                  <w:pPr>
                    <w:snapToGrid w:val="0"/>
                    <w:jc w:val="center"/>
                    <w:rPr>
                      <w:rFonts w:hint="default" w:ascii="Times New Roman" w:hAnsi="Times New Roman" w:cs="Times New Roman" w:eastAsiaTheme="minorEastAsia"/>
                      <w:color w:val="auto"/>
                      <w:kern w:val="0"/>
                      <w:szCs w:val="21"/>
                    </w:rPr>
                  </w:pPr>
                </w:p>
              </w:tc>
              <w:tc>
                <w:tcPr>
                  <w:tcW w:w="680" w:type="dxa"/>
                  <w:vMerge w:val="continue"/>
                  <w:noWrap w:val="0"/>
                  <w:vAlign w:val="center"/>
                </w:tcPr>
                <w:p w14:paraId="3EBBD43B">
                  <w:pPr>
                    <w:snapToGrid w:val="0"/>
                    <w:jc w:val="center"/>
                    <w:rPr>
                      <w:rFonts w:hint="default" w:ascii="Times New Roman" w:hAnsi="Times New Roman" w:cs="Times New Roman" w:eastAsiaTheme="minorEastAsia"/>
                      <w:color w:val="auto"/>
                      <w:kern w:val="0"/>
                      <w:szCs w:val="21"/>
                    </w:rPr>
                  </w:pPr>
                </w:p>
              </w:tc>
              <w:tc>
                <w:tcPr>
                  <w:tcW w:w="743" w:type="dxa"/>
                  <w:vMerge w:val="continue"/>
                  <w:noWrap w:val="0"/>
                  <w:vAlign w:val="center"/>
                </w:tcPr>
                <w:p w14:paraId="550542CB">
                  <w:pPr>
                    <w:snapToGrid w:val="0"/>
                    <w:jc w:val="center"/>
                    <w:rPr>
                      <w:rFonts w:hint="default" w:ascii="Times New Roman" w:hAnsi="Times New Roman" w:cs="Times New Roman" w:eastAsiaTheme="minorEastAsia"/>
                      <w:color w:val="auto"/>
                      <w:kern w:val="0"/>
                      <w:szCs w:val="21"/>
                    </w:rPr>
                  </w:pPr>
                </w:p>
              </w:tc>
              <w:tc>
                <w:tcPr>
                  <w:tcW w:w="702" w:type="dxa"/>
                  <w:vMerge w:val="continue"/>
                  <w:noWrap w:val="0"/>
                  <w:vAlign w:val="center"/>
                </w:tcPr>
                <w:p w14:paraId="260BB422">
                  <w:pPr>
                    <w:snapToGrid w:val="0"/>
                    <w:jc w:val="center"/>
                    <w:rPr>
                      <w:rFonts w:hint="default" w:ascii="Times New Roman" w:hAnsi="Times New Roman" w:cs="Times New Roman" w:eastAsiaTheme="minorEastAsia"/>
                      <w:color w:val="auto"/>
                      <w:szCs w:val="21"/>
                    </w:rPr>
                  </w:pPr>
                </w:p>
              </w:tc>
              <w:tc>
                <w:tcPr>
                  <w:tcW w:w="920" w:type="dxa"/>
                  <w:noWrap w:val="0"/>
                  <w:vAlign w:val="center"/>
                </w:tcPr>
                <w:p w14:paraId="74640825">
                  <w:pPr>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袋式除尘技术</w:t>
                  </w:r>
                </w:p>
              </w:tc>
              <w:tc>
                <w:tcPr>
                  <w:tcW w:w="836" w:type="dxa"/>
                  <w:noWrap w:val="0"/>
                  <w:vAlign w:val="center"/>
                </w:tcPr>
                <w:p w14:paraId="692A5F99">
                  <w:pPr>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0.38</w:t>
                  </w:r>
                </w:p>
              </w:tc>
            </w:tr>
            <w:tr w14:paraId="7046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584" w:type="dxa"/>
                  <w:vMerge w:val="continue"/>
                  <w:noWrap w:val="0"/>
                  <w:vAlign w:val="center"/>
                </w:tcPr>
                <w:p w14:paraId="739C150E">
                  <w:pPr>
                    <w:pStyle w:val="12"/>
                    <w:spacing w:line="240" w:lineRule="auto"/>
                    <w:jc w:val="center"/>
                    <w:rPr>
                      <w:rFonts w:hint="default" w:ascii="Times New Roman" w:hAnsi="Times New Roman" w:cs="Times New Roman" w:eastAsiaTheme="minorEastAsia"/>
                      <w:color w:val="auto"/>
                      <w:sz w:val="21"/>
                      <w:szCs w:val="21"/>
                    </w:rPr>
                  </w:pPr>
                </w:p>
              </w:tc>
              <w:tc>
                <w:tcPr>
                  <w:tcW w:w="447" w:type="dxa"/>
                  <w:vMerge w:val="continue"/>
                  <w:noWrap w:val="0"/>
                  <w:vAlign w:val="center"/>
                </w:tcPr>
                <w:p w14:paraId="1CDF96F2">
                  <w:pPr>
                    <w:pStyle w:val="12"/>
                    <w:spacing w:line="240" w:lineRule="auto"/>
                    <w:jc w:val="center"/>
                    <w:rPr>
                      <w:rFonts w:hint="default" w:ascii="Times New Roman" w:hAnsi="Times New Roman" w:cs="Times New Roman" w:eastAsiaTheme="minorEastAsia"/>
                      <w:color w:val="auto"/>
                      <w:sz w:val="21"/>
                      <w:szCs w:val="21"/>
                    </w:rPr>
                  </w:pPr>
                </w:p>
              </w:tc>
              <w:tc>
                <w:tcPr>
                  <w:tcW w:w="457" w:type="dxa"/>
                  <w:vMerge w:val="continue"/>
                  <w:noWrap w:val="0"/>
                  <w:vAlign w:val="center"/>
                </w:tcPr>
                <w:p w14:paraId="3124450A">
                  <w:pPr>
                    <w:pStyle w:val="12"/>
                    <w:spacing w:line="240" w:lineRule="auto"/>
                    <w:jc w:val="center"/>
                    <w:rPr>
                      <w:rFonts w:hint="default" w:ascii="Times New Roman" w:hAnsi="Times New Roman" w:cs="Times New Roman" w:eastAsiaTheme="minorEastAsia"/>
                      <w:color w:val="auto"/>
                      <w:sz w:val="21"/>
                      <w:szCs w:val="21"/>
                    </w:rPr>
                  </w:pPr>
                </w:p>
              </w:tc>
              <w:tc>
                <w:tcPr>
                  <w:tcW w:w="450" w:type="dxa"/>
                  <w:vMerge w:val="continue"/>
                  <w:noWrap w:val="0"/>
                  <w:vAlign w:val="center"/>
                </w:tcPr>
                <w:p w14:paraId="799E95B9">
                  <w:pPr>
                    <w:pStyle w:val="12"/>
                    <w:spacing w:line="240" w:lineRule="auto"/>
                    <w:jc w:val="center"/>
                    <w:rPr>
                      <w:rFonts w:hint="default" w:ascii="Times New Roman" w:hAnsi="Times New Roman" w:cs="Times New Roman" w:eastAsiaTheme="minorEastAsia"/>
                      <w:color w:val="auto"/>
                      <w:sz w:val="21"/>
                      <w:szCs w:val="21"/>
                    </w:rPr>
                  </w:pPr>
                </w:p>
              </w:tc>
              <w:tc>
                <w:tcPr>
                  <w:tcW w:w="2278" w:type="dxa"/>
                  <w:vMerge w:val="continue"/>
                  <w:noWrap w:val="0"/>
                  <w:vAlign w:val="center"/>
                </w:tcPr>
                <w:p w14:paraId="1C4E6E03">
                  <w:pPr>
                    <w:pStyle w:val="12"/>
                    <w:spacing w:line="240" w:lineRule="auto"/>
                    <w:jc w:val="center"/>
                    <w:rPr>
                      <w:rFonts w:hint="default" w:ascii="Times New Roman" w:hAnsi="Times New Roman" w:cs="Times New Roman" w:eastAsiaTheme="minorEastAsia"/>
                      <w:color w:val="auto"/>
                      <w:sz w:val="21"/>
                      <w:szCs w:val="21"/>
                    </w:rPr>
                  </w:pPr>
                </w:p>
              </w:tc>
              <w:tc>
                <w:tcPr>
                  <w:tcW w:w="680" w:type="dxa"/>
                  <w:noWrap w:val="0"/>
                  <w:vAlign w:val="center"/>
                </w:tcPr>
                <w:p w14:paraId="6A6F5060">
                  <w:pPr>
                    <w:pStyle w:val="12"/>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氮氧化物</w:t>
                  </w:r>
                </w:p>
              </w:tc>
              <w:tc>
                <w:tcPr>
                  <w:tcW w:w="743" w:type="dxa"/>
                  <w:noWrap w:val="0"/>
                  <w:vAlign w:val="center"/>
                </w:tcPr>
                <w:p w14:paraId="20F9211D">
                  <w:pPr>
                    <w:pStyle w:val="12"/>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千克/吨-原料</w:t>
                  </w:r>
                </w:p>
              </w:tc>
              <w:tc>
                <w:tcPr>
                  <w:tcW w:w="702" w:type="dxa"/>
                  <w:noWrap w:val="0"/>
                  <w:vAlign w:val="center"/>
                </w:tcPr>
                <w:p w14:paraId="290AD4FB">
                  <w:pPr>
                    <w:pStyle w:val="12"/>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1.02</w:t>
                  </w:r>
                </w:p>
              </w:tc>
              <w:tc>
                <w:tcPr>
                  <w:tcW w:w="920" w:type="dxa"/>
                  <w:noWrap w:val="0"/>
                  <w:vAlign w:val="center"/>
                </w:tcPr>
                <w:p w14:paraId="16D1CACD">
                  <w:pPr>
                    <w:pStyle w:val="12"/>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直排</w:t>
                  </w:r>
                </w:p>
              </w:tc>
              <w:tc>
                <w:tcPr>
                  <w:tcW w:w="836" w:type="dxa"/>
                  <w:noWrap w:val="0"/>
                  <w:vAlign w:val="center"/>
                </w:tcPr>
                <w:p w14:paraId="0547852F">
                  <w:pPr>
                    <w:pStyle w:val="12"/>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1.02</w:t>
                  </w:r>
                </w:p>
              </w:tc>
            </w:tr>
          </w:tbl>
          <w:p w14:paraId="1D65EA37">
            <w:pPr>
              <w:pStyle w:val="11"/>
              <w:spacing w:before="0" w:after="0" w:line="240" w:lineRule="auto"/>
              <w:ind w:right="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
                <w:bCs/>
                <w:color w:val="auto"/>
                <w:szCs w:val="18"/>
              </w:rPr>
              <w:t>注：</w:t>
            </w:r>
            <w:r>
              <w:rPr>
                <w:rFonts w:hint="default" w:ascii="Times New Roman" w:hAnsi="Times New Roman" w:cs="Times New Roman" w:eastAsiaTheme="minorEastAsia"/>
                <w:color w:val="auto"/>
                <w:szCs w:val="18"/>
              </w:rPr>
              <w:fldChar w:fldCharType="begin"/>
            </w:r>
            <w:r>
              <w:rPr>
                <w:rFonts w:hint="default" w:ascii="Times New Roman" w:hAnsi="Times New Roman" w:cs="Times New Roman" w:eastAsiaTheme="minorEastAsia"/>
                <w:color w:val="auto"/>
                <w:szCs w:val="18"/>
              </w:rPr>
              <w:instrText xml:space="preserve"> = 1 \* GB3 </w:instrText>
            </w:r>
            <w:r>
              <w:rPr>
                <w:rFonts w:hint="default" w:ascii="Times New Roman" w:hAnsi="Times New Roman" w:cs="Times New Roman" w:eastAsiaTheme="minorEastAsia"/>
                <w:color w:val="auto"/>
                <w:szCs w:val="18"/>
              </w:rPr>
              <w:fldChar w:fldCharType="separate"/>
            </w:r>
            <w:r>
              <w:rPr>
                <w:rFonts w:hint="default" w:ascii="Times New Roman" w:hAnsi="Times New Roman" w:cs="Times New Roman" w:eastAsiaTheme="minorEastAsia"/>
                <w:color w:val="auto"/>
                <w:szCs w:val="18"/>
              </w:rPr>
              <w:t>①</w:t>
            </w:r>
            <w:r>
              <w:rPr>
                <w:rFonts w:hint="default" w:ascii="Times New Roman" w:hAnsi="Times New Roman" w:cs="Times New Roman" w:eastAsiaTheme="minorEastAsia"/>
                <w:color w:val="auto"/>
                <w:szCs w:val="18"/>
              </w:rPr>
              <w:fldChar w:fldCharType="end"/>
            </w:r>
            <w:r>
              <w:rPr>
                <w:rFonts w:hint="default" w:ascii="Times New Roman" w:hAnsi="Times New Roman" w:cs="Times New Roman" w:eastAsiaTheme="minorEastAsia"/>
                <w:color w:val="auto"/>
                <w:szCs w:val="18"/>
              </w:rPr>
              <w:t>二氧化硫的产排污系数是以含硫量（S％）的形式表示的，其中含硫量（S％）是指生物质收到基硫分含量，以质量百分数的形式表示。例如生物质中含硫量（S％）为0.1％，则S=0.1。根据生物质检验报告，评价燃料含硫量（S％）取0.03%，生物质颗粒成分检测报告具体见附件</w:t>
            </w:r>
            <w:r>
              <w:rPr>
                <w:rFonts w:hint="eastAsia" w:cs="Times New Roman" w:eastAsiaTheme="minorEastAsia"/>
                <w:color w:val="auto"/>
                <w:szCs w:val="18"/>
                <w:lang w:val="en-US" w:eastAsia="zh-CN"/>
              </w:rPr>
              <w:t>9</w:t>
            </w:r>
            <w:r>
              <w:rPr>
                <w:rFonts w:hint="default" w:ascii="Times New Roman" w:hAnsi="Times New Roman" w:cs="Times New Roman" w:eastAsiaTheme="minorEastAsia"/>
                <w:color w:val="auto"/>
                <w:szCs w:val="18"/>
              </w:rPr>
              <w:t>。</w:t>
            </w:r>
          </w:p>
          <w:p w14:paraId="3F772950">
            <w:pPr>
              <w:spacing w:line="360" w:lineRule="auto"/>
              <w:ind w:firstLine="480" w:firstLineChars="200"/>
              <w:jc w:val="left"/>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燃烧炉所用燃料为生物质，年用生物质燃料约为</w:t>
            </w:r>
            <w:r>
              <w:rPr>
                <w:rFonts w:hint="default" w:ascii="Times New Roman" w:hAnsi="Times New Roman" w:cs="Times New Roman" w:eastAsiaTheme="minorEastAsia"/>
                <w:color w:val="auto"/>
                <w:sz w:val="24"/>
                <w:highlight w:val="none"/>
                <w:lang w:val="en-US" w:eastAsia="zh-CN"/>
              </w:rPr>
              <w:t>1920</w:t>
            </w:r>
            <w:r>
              <w:rPr>
                <w:rFonts w:hint="default" w:ascii="Times New Roman" w:hAnsi="Times New Roman" w:cs="Times New Roman" w:eastAsiaTheme="minorEastAsia"/>
                <w:color w:val="auto"/>
                <w:sz w:val="24"/>
                <w:highlight w:val="none"/>
              </w:rPr>
              <w:t>t，则烟气量为</w:t>
            </w:r>
            <w:r>
              <w:rPr>
                <w:rFonts w:hint="eastAsia" w:cs="Times New Roman" w:eastAsiaTheme="minorEastAsia"/>
                <w:color w:val="auto"/>
                <w:sz w:val="24"/>
                <w:highlight w:val="none"/>
                <w:lang w:val="en-US" w:eastAsia="zh-CN"/>
              </w:rPr>
              <w:t>11980800</w:t>
            </w:r>
            <w:r>
              <w:rPr>
                <w:rFonts w:hint="default" w:ascii="Times New Roman" w:hAnsi="Times New Roman" w:cs="Times New Roman" w:eastAsiaTheme="minorEastAsia"/>
                <w:color w:val="auto"/>
                <w:sz w:val="24"/>
                <w:highlight w:val="none"/>
              </w:rPr>
              <w:t>m</w:t>
            </w:r>
            <w:r>
              <w:rPr>
                <w:rFonts w:hint="default" w:ascii="Times New Roman" w:hAnsi="Times New Roman" w:cs="Times New Roman" w:eastAsiaTheme="minorEastAsia"/>
                <w:color w:val="auto"/>
                <w:sz w:val="24"/>
                <w:highlight w:val="none"/>
                <w:vertAlign w:val="superscript"/>
              </w:rPr>
              <w:t>3</w:t>
            </w:r>
            <w:r>
              <w:rPr>
                <w:rFonts w:hint="default" w:ascii="Times New Roman" w:hAnsi="Times New Roman" w:cs="Times New Roman" w:eastAsiaTheme="minorEastAsia"/>
                <w:color w:val="auto"/>
                <w:sz w:val="24"/>
                <w:highlight w:val="none"/>
              </w:rPr>
              <w:t>/a，燃烧烟气中颗粒物的产生量为</w:t>
            </w:r>
            <w:r>
              <w:rPr>
                <w:rFonts w:hint="default" w:ascii="Times New Roman" w:hAnsi="Times New Roman" w:cs="Times New Roman" w:eastAsiaTheme="minorEastAsia"/>
                <w:color w:val="auto"/>
                <w:sz w:val="24"/>
                <w:highlight w:val="none"/>
                <w:lang w:val="en-US" w:eastAsia="zh-CN"/>
              </w:rPr>
              <w:t>72.19</w:t>
            </w:r>
            <w:r>
              <w:rPr>
                <w:rFonts w:hint="default" w:ascii="Times New Roman" w:hAnsi="Times New Roman" w:cs="Times New Roman" w:eastAsiaTheme="minorEastAsia"/>
                <w:color w:val="auto"/>
                <w:sz w:val="24"/>
                <w:highlight w:val="none"/>
              </w:rPr>
              <w:t>t/a，SO</w:t>
            </w:r>
            <w:r>
              <w:rPr>
                <w:rFonts w:hint="default" w:ascii="Times New Roman" w:hAnsi="Times New Roman" w:cs="Times New Roman" w:eastAsiaTheme="minorEastAsia"/>
                <w:color w:val="auto"/>
                <w:sz w:val="24"/>
                <w:highlight w:val="none"/>
                <w:vertAlign w:val="subscript"/>
              </w:rPr>
              <w:t>2</w:t>
            </w:r>
            <w:r>
              <w:rPr>
                <w:rFonts w:hint="default" w:ascii="Times New Roman" w:hAnsi="Times New Roman" w:cs="Times New Roman" w:eastAsiaTheme="minorEastAsia"/>
                <w:color w:val="auto"/>
                <w:sz w:val="24"/>
                <w:highlight w:val="none"/>
              </w:rPr>
              <w:t>的产生量为</w:t>
            </w:r>
            <w:r>
              <w:rPr>
                <w:rFonts w:hint="default" w:ascii="Times New Roman" w:hAnsi="Times New Roman" w:cs="Times New Roman" w:eastAsiaTheme="minorEastAsia"/>
                <w:color w:val="auto"/>
                <w:sz w:val="24"/>
                <w:highlight w:val="none"/>
                <w:lang w:val="en-US" w:eastAsia="zh-CN"/>
              </w:rPr>
              <w:t>0.98</w:t>
            </w:r>
            <w:r>
              <w:rPr>
                <w:rFonts w:hint="default" w:ascii="Times New Roman" w:hAnsi="Times New Roman" w:cs="Times New Roman" w:eastAsiaTheme="minorEastAsia"/>
                <w:color w:val="auto"/>
                <w:sz w:val="24"/>
                <w:highlight w:val="none"/>
              </w:rPr>
              <w:t>t/a，NO</w:t>
            </w:r>
            <w:r>
              <w:rPr>
                <w:rFonts w:hint="default" w:ascii="Times New Roman" w:hAnsi="Times New Roman" w:cs="Times New Roman" w:eastAsiaTheme="minorEastAsia"/>
                <w:color w:val="auto"/>
                <w:sz w:val="24"/>
                <w:highlight w:val="none"/>
                <w:vertAlign w:val="subscript"/>
              </w:rPr>
              <w:t>X</w:t>
            </w:r>
            <w:r>
              <w:rPr>
                <w:rFonts w:hint="default" w:ascii="Times New Roman" w:hAnsi="Times New Roman" w:cs="Times New Roman" w:eastAsiaTheme="minorEastAsia"/>
                <w:color w:val="auto"/>
                <w:sz w:val="24"/>
                <w:highlight w:val="none"/>
              </w:rPr>
              <w:t>的产生量为</w:t>
            </w:r>
            <w:r>
              <w:rPr>
                <w:rFonts w:hint="default" w:ascii="Times New Roman" w:hAnsi="Times New Roman" w:cs="Times New Roman" w:eastAsiaTheme="minorEastAsia"/>
                <w:color w:val="auto"/>
                <w:sz w:val="24"/>
                <w:highlight w:val="none"/>
                <w:lang w:val="en-US" w:eastAsia="zh-CN"/>
              </w:rPr>
              <w:t>1.96</w:t>
            </w:r>
            <w:r>
              <w:rPr>
                <w:rFonts w:hint="default" w:ascii="Times New Roman" w:hAnsi="Times New Roman" w:cs="Times New Roman" w:eastAsiaTheme="minorEastAsia"/>
                <w:color w:val="auto"/>
                <w:sz w:val="24"/>
                <w:highlight w:val="none"/>
              </w:rPr>
              <w:t>t/a。</w:t>
            </w:r>
          </w:p>
          <w:p w14:paraId="22D89630">
            <w:pPr>
              <w:spacing w:line="360" w:lineRule="auto"/>
              <w:ind w:firstLine="480" w:firstLineChars="200"/>
              <w:jc w:val="left"/>
              <w:rPr>
                <w:rFonts w:hint="eastAsia" w:cs="Times New Roman" w:eastAsiaTheme="minorEastAsia"/>
                <w:color w:val="auto"/>
                <w:sz w:val="24"/>
                <w:highlight w:val="none"/>
                <w:lang w:val="en-US" w:eastAsia="zh-CN"/>
              </w:rPr>
            </w:pPr>
            <w:r>
              <w:rPr>
                <w:rFonts w:hint="eastAsia" w:cs="Times New Roman" w:eastAsiaTheme="minorEastAsia"/>
                <w:color w:val="auto"/>
                <w:sz w:val="24"/>
                <w:highlight w:val="none"/>
                <w:lang w:val="en-US" w:eastAsia="zh-CN"/>
              </w:rPr>
              <w:t>根据机制炭行业实际运行过程中原料烘干后经旋风分离器（3套）将原料和烟气进行分离，根据排放源统计调查产排污核算方法和系数手册（ 公告2021年第24号）2663林产化学品制造行业系数手册单套旋风除尘器的除尘效率为70%，项目使用3套旋风除尘器进行物料分离，分离效率为97.3%，项目年用原料30000吨，干料量为原料的1/2，则干料约为15000吨，则约有405吨的干料同烘干烟气外排。</w:t>
            </w:r>
          </w:p>
          <w:p w14:paraId="2B8D8DCE">
            <w:pPr>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⑤炭化废气</w:t>
            </w:r>
          </w:p>
          <w:p w14:paraId="638B4A5D">
            <w:pPr>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项目炭化工序是将炭棒在缺氧条件下进行热解炭化处理。根据木材热解原理，热解炭化产物主要为炭粉、竹（木）焦油、竹（木）醋液、竹（木）煤气。因此，项目热解废气中主要污染物为竹（木）焦油、竹（木）醋液、竹（木）煤气。竹（木）焦油、竹（木）醋液是一种含</w:t>
            </w:r>
            <w:r>
              <w:rPr>
                <w:rFonts w:hint="eastAsia" w:cs="Times New Roman" w:eastAsiaTheme="minorEastAsia"/>
                <w:color w:val="auto"/>
                <w:sz w:val="24"/>
                <w:lang w:eastAsia="zh-CN"/>
              </w:rPr>
              <w:t>酯类</w:t>
            </w:r>
            <w:r>
              <w:rPr>
                <w:rFonts w:hint="default" w:ascii="Times New Roman" w:hAnsi="Times New Roman" w:cs="Times New Roman" w:eastAsiaTheme="minorEastAsia"/>
                <w:color w:val="auto"/>
                <w:sz w:val="24"/>
              </w:rPr>
              <w:t>、酸类、酚类的复杂混合物，竹（木）煤气主要成分是一氧化碳、二氧化碳、甲烷、乙烯和氢气等。木焦油沸点为200~220°C，而热解过程稳定为160~450°C，竹（木）焦油等在热解过程中会以气态存在。</w:t>
            </w:r>
          </w:p>
          <w:p w14:paraId="3CC3CF57">
            <w:pPr>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根据《生物质热解气化原理与技术》（化学工业出版社2013年4月出版）中典型的热解产物试验数据，热解产物的大致产率为（起产物质量分数对应于绝干木材）：</w:t>
            </w:r>
            <w:r>
              <w:rPr>
                <w:rFonts w:hint="default" w:ascii="Times New Roman" w:hAnsi="Times New Roman" w:cs="Times New Roman" w:eastAsiaTheme="minorEastAsia"/>
                <w:color w:val="auto"/>
                <w:spacing w:val="2"/>
                <w:sz w:val="24"/>
                <w:szCs w:val="24"/>
              </w:rPr>
              <w:t>木炭</w:t>
            </w:r>
            <w:r>
              <w:rPr>
                <w:rFonts w:hint="default" w:ascii="Times New Roman" w:hAnsi="Times New Roman" w:cs="Times New Roman" w:eastAsiaTheme="minorEastAsia"/>
                <w:color w:val="auto"/>
                <w:sz w:val="24"/>
                <w:szCs w:val="24"/>
              </w:rPr>
              <w:t>33~38%，澄清木醋液和沉积木焦油</w:t>
            </w:r>
            <w:r>
              <w:rPr>
                <w:rFonts w:hint="default" w:ascii="Times New Roman" w:hAnsi="Times New Roman" w:cs="Times New Roman" w:eastAsiaTheme="minorEastAsia"/>
                <w:color w:val="auto"/>
                <w:spacing w:val="-49"/>
                <w:sz w:val="24"/>
                <w:szCs w:val="24"/>
              </w:rPr>
              <w:t xml:space="preserve"> </w:t>
            </w:r>
            <w:r>
              <w:rPr>
                <w:rFonts w:hint="default" w:ascii="Times New Roman" w:hAnsi="Times New Roman" w:cs="Times New Roman" w:eastAsiaTheme="minorEastAsia"/>
                <w:color w:val="auto"/>
                <w:sz w:val="24"/>
                <w:szCs w:val="24"/>
              </w:rPr>
              <w:t>45~50%，木煤气16~</w:t>
            </w:r>
            <w:r>
              <w:rPr>
                <w:rFonts w:hint="default" w:ascii="Times New Roman" w:hAnsi="Times New Roman" w:cs="Times New Roman" w:eastAsiaTheme="minorEastAsia"/>
                <w:color w:val="auto"/>
                <w:spacing w:val="-32"/>
                <w:sz w:val="24"/>
                <w:szCs w:val="24"/>
              </w:rPr>
              <w:t xml:space="preserve"> </w:t>
            </w:r>
            <w:r>
              <w:rPr>
                <w:rFonts w:hint="default" w:ascii="Times New Roman" w:hAnsi="Times New Roman" w:cs="Times New Roman" w:eastAsiaTheme="minorEastAsia"/>
                <w:color w:val="auto"/>
                <w:sz w:val="24"/>
                <w:szCs w:val="24"/>
              </w:rPr>
              <w:t>18%。另外损耗约为</w:t>
            </w:r>
            <w:r>
              <w:rPr>
                <w:rFonts w:hint="default" w:ascii="Times New Roman" w:hAnsi="Times New Roman" w:cs="Times New Roman" w:eastAsiaTheme="minorEastAsia"/>
                <w:color w:val="auto"/>
                <w:spacing w:val="-8"/>
                <w:sz w:val="24"/>
                <w:szCs w:val="24"/>
              </w:rPr>
              <w:t>0.3~</w:t>
            </w:r>
            <w:r>
              <w:rPr>
                <w:rFonts w:hint="default" w:ascii="Times New Roman" w:hAnsi="Times New Roman" w:cs="Times New Roman" w:eastAsiaTheme="minorEastAsia"/>
                <w:color w:val="auto"/>
                <w:spacing w:val="-32"/>
                <w:sz w:val="24"/>
                <w:szCs w:val="24"/>
              </w:rPr>
              <w:t xml:space="preserve"> </w:t>
            </w:r>
            <w:r>
              <w:rPr>
                <w:rFonts w:hint="default" w:ascii="Times New Roman" w:hAnsi="Times New Roman" w:cs="Times New Roman" w:eastAsiaTheme="minorEastAsia"/>
                <w:color w:val="auto"/>
                <w:spacing w:val="-8"/>
                <w:sz w:val="24"/>
                <w:szCs w:val="24"/>
              </w:rPr>
              <w:t>1.0%</w:t>
            </w:r>
            <w:r>
              <w:rPr>
                <w:rFonts w:hint="default" w:ascii="Times New Roman" w:hAnsi="Times New Roman" w:cs="Times New Roman" w:eastAsiaTheme="minorEastAsia"/>
                <w:color w:val="auto"/>
                <w:sz w:val="24"/>
              </w:rPr>
              <w:t>；在粗木醋液中水分约占1/2。</w:t>
            </w:r>
          </w:p>
          <w:p w14:paraId="0D242F4A">
            <w:pPr>
              <w:shd w:val="clea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项目原料年用量为</w:t>
            </w:r>
            <w:r>
              <w:rPr>
                <w:rFonts w:hint="default" w:ascii="Times New Roman" w:hAnsi="Times New Roman" w:cs="Times New Roman" w:eastAsiaTheme="minorEastAsia"/>
                <w:color w:val="auto"/>
                <w:sz w:val="24"/>
                <w:highlight w:val="none"/>
                <w:lang w:val="en-US" w:eastAsia="zh-CN"/>
              </w:rPr>
              <w:t>32000</w:t>
            </w:r>
            <w:r>
              <w:rPr>
                <w:rFonts w:hint="default" w:ascii="Times New Roman" w:hAnsi="Times New Roman" w:cs="Times New Roman" w:eastAsiaTheme="minorEastAsia"/>
                <w:color w:val="auto"/>
                <w:sz w:val="24"/>
                <w:highlight w:val="none"/>
              </w:rPr>
              <w:t>t，</w:t>
            </w:r>
            <w:bookmarkStart w:id="10" w:name="OLE_LINK6"/>
            <w:r>
              <w:rPr>
                <w:rFonts w:hint="default" w:ascii="Times New Roman" w:hAnsi="Times New Roman" w:cs="Times New Roman" w:eastAsiaTheme="minorEastAsia"/>
                <w:color w:val="auto"/>
                <w:sz w:val="24"/>
                <w:highlight w:val="none"/>
              </w:rPr>
              <w:t>含水率</w:t>
            </w:r>
            <w:bookmarkEnd w:id="10"/>
            <w:r>
              <w:rPr>
                <w:rFonts w:hint="default" w:ascii="Times New Roman" w:hAnsi="Times New Roman" w:cs="Times New Roman" w:eastAsiaTheme="minorEastAsia"/>
                <w:color w:val="auto"/>
                <w:sz w:val="24"/>
                <w:highlight w:val="none"/>
                <w:lang w:eastAsia="zh-CN"/>
              </w:rPr>
              <w:t>受原料摆放位置影响，综合含水率为</w:t>
            </w:r>
            <w:r>
              <w:rPr>
                <w:rFonts w:hint="default" w:ascii="Times New Roman" w:hAnsi="Times New Roman" w:cs="Times New Roman" w:eastAsiaTheme="minorEastAsia"/>
                <w:color w:val="auto"/>
                <w:sz w:val="24"/>
                <w:highlight w:val="none"/>
                <w:lang w:val="en-US" w:eastAsia="zh-CN"/>
              </w:rPr>
              <w:t>20%，</w:t>
            </w:r>
            <w:r>
              <w:rPr>
                <w:rFonts w:hint="default" w:ascii="Times New Roman" w:hAnsi="Times New Roman" w:cs="Times New Roman" w:eastAsiaTheme="minorEastAsia"/>
                <w:color w:val="auto"/>
                <w:sz w:val="24"/>
                <w:highlight w:val="none"/>
              </w:rPr>
              <w:t>绝干质量约为</w:t>
            </w:r>
            <w:r>
              <w:rPr>
                <w:rFonts w:hint="default" w:ascii="Times New Roman" w:hAnsi="Times New Roman" w:cs="Times New Roman" w:eastAsiaTheme="minorEastAsia"/>
                <w:color w:val="auto"/>
                <w:sz w:val="24"/>
                <w:highlight w:val="none"/>
                <w:lang w:val="en-US" w:eastAsia="zh-CN"/>
              </w:rPr>
              <w:t>25600</w:t>
            </w:r>
            <w:r>
              <w:rPr>
                <w:rFonts w:hint="default" w:ascii="Times New Roman" w:hAnsi="Times New Roman" w:cs="Times New Roman" w:eastAsiaTheme="minorEastAsia"/>
                <w:color w:val="auto"/>
                <w:sz w:val="24"/>
                <w:highlight w:val="none"/>
              </w:rPr>
              <w:t>t。项目取产品机制炭为</w:t>
            </w:r>
            <w:r>
              <w:rPr>
                <w:rFonts w:hint="default" w:ascii="Times New Roman" w:hAnsi="Times New Roman" w:cs="Times New Roman" w:eastAsiaTheme="minorEastAsia"/>
                <w:color w:val="auto"/>
                <w:sz w:val="24"/>
                <w:highlight w:val="none"/>
                <w:lang w:val="en-US" w:eastAsia="zh-CN"/>
              </w:rPr>
              <w:t>37.5</w:t>
            </w:r>
            <w:r>
              <w:rPr>
                <w:rFonts w:hint="default" w:ascii="Times New Roman" w:hAnsi="Times New Roman" w:cs="Times New Roman" w:eastAsiaTheme="minorEastAsia"/>
                <w:color w:val="auto"/>
                <w:sz w:val="24"/>
                <w:highlight w:val="none"/>
              </w:rPr>
              <w:t>%、粗竹（木）醋液45%，竹（木）煤气17%及损耗约为0.5%进行分析。经计算可知，项目可产出机制炭约</w:t>
            </w:r>
            <w:r>
              <w:rPr>
                <w:rFonts w:hint="default" w:ascii="Times New Roman" w:hAnsi="Times New Roman" w:cs="Times New Roman" w:eastAsiaTheme="minorEastAsia"/>
                <w:color w:val="auto"/>
                <w:sz w:val="24"/>
                <w:highlight w:val="none"/>
                <w:lang w:val="en-US" w:eastAsia="zh-CN"/>
              </w:rPr>
              <w:t>9600</w:t>
            </w:r>
            <w:r>
              <w:rPr>
                <w:rFonts w:hint="default" w:ascii="Times New Roman" w:hAnsi="Times New Roman" w:cs="Times New Roman" w:eastAsiaTheme="minorEastAsia"/>
                <w:color w:val="auto"/>
                <w:sz w:val="24"/>
                <w:highlight w:val="none"/>
              </w:rPr>
              <w:t>t/a，产生的粗竹（木）醋液约</w:t>
            </w:r>
            <w:r>
              <w:rPr>
                <w:rFonts w:hint="default" w:ascii="Times New Roman" w:hAnsi="Times New Roman" w:cs="Times New Roman" w:eastAsiaTheme="minorEastAsia"/>
                <w:color w:val="auto"/>
                <w:sz w:val="24"/>
                <w:highlight w:val="none"/>
                <w:lang w:val="en-US" w:eastAsia="zh-CN"/>
              </w:rPr>
              <w:t>11520</w:t>
            </w:r>
            <w:r>
              <w:rPr>
                <w:rFonts w:hint="default" w:ascii="Times New Roman" w:hAnsi="Times New Roman" w:cs="Times New Roman" w:eastAsiaTheme="minorEastAsia"/>
                <w:color w:val="auto"/>
                <w:sz w:val="24"/>
                <w:highlight w:val="none"/>
              </w:rPr>
              <w:t>/a（含澄清木醋液、沉积木焦油）、竹（木）煤气</w:t>
            </w:r>
            <w:r>
              <w:rPr>
                <w:rFonts w:hint="default" w:ascii="Times New Roman" w:hAnsi="Times New Roman" w:cs="Times New Roman" w:eastAsiaTheme="minorEastAsia"/>
                <w:color w:val="auto"/>
                <w:sz w:val="24"/>
                <w:highlight w:val="none"/>
                <w:lang w:val="en-US" w:eastAsia="zh-CN"/>
              </w:rPr>
              <w:t>4352</w:t>
            </w:r>
            <w:r>
              <w:rPr>
                <w:rFonts w:hint="default" w:ascii="Times New Roman" w:hAnsi="Times New Roman" w:cs="Times New Roman" w:eastAsiaTheme="minorEastAsia"/>
                <w:color w:val="auto"/>
                <w:sz w:val="24"/>
                <w:highlight w:val="none"/>
              </w:rPr>
              <w:t>/a，另外损耗约</w:t>
            </w:r>
            <w:r>
              <w:rPr>
                <w:rFonts w:hint="default" w:ascii="Times New Roman" w:hAnsi="Times New Roman" w:cs="Times New Roman" w:eastAsiaTheme="minorEastAsia"/>
                <w:color w:val="auto"/>
                <w:sz w:val="24"/>
                <w:highlight w:val="none"/>
                <w:lang w:val="en-US" w:eastAsia="zh-CN"/>
              </w:rPr>
              <w:t>128</w:t>
            </w:r>
            <w:r>
              <w:rPr>
                <w:rFonts w:hint="default" w:ascii="Times New Roman" w:hAnsi="Times New Roman" w:cs="Times New Roman" w:eastAsiaTheme="minorEastAsia"/>
                <w:color w:val="auto"/>
                <w:sz w:val="24"/>
                <w:highlight w:val="none"/>
              </w:rPr>
              <w:t>t/a。</w:t>
            </w:r>
          </w:p>
          <w:p w14:paraId="6974FA75">
            <w:pPr>
              <w:spacing w:line="360" w:lineRule="auto"/>
              <w:ind w:firstLine="480" w:firstLineChars="200"/>
              <w:rPr>
                <w:rFonts w:hint="default" w:ascii="Times New Roman" w:hAnsi="Times New Roman" w:eastAsia="宋体" w:cs="Times New Roman"/>
                <w:color w:val="FF0000"/>
                <w:sz w:val="24"/>
                <w:szCs w:val="24"/>
                <w:highlight w:val="none"/>
              </w:rPr>
            </w:pPr>
            <w:r>
              <w:rPr>
                <w:rFonts w:hint="eastAsia" w:cs="Times New Roman" w:eastAsiaTheme="minorEastAsia"/>
                <w:color w:val="FF0000"/>
                <w:sz w:val="24"/>
                <w:highlight w:val="none"/>
                <w:lang w:eastAsia="zh-CN"/>
              </w:rPr>
              <w:t>项目24小时持续运行，</w:t>
            </w:r>
            <w:r>
              <w:rPr>
                <w:rFonts w:hint="eastAsia" w:ascii="Times New Roman" w:hAnsi="Times New Roman" w:eastAsia="宋体" w:cs="Times New Roman"/>
                <w:color w:val="FF0000"/>
                <w:sz w:val="24"/>
                <w:szCs w:val="24"/>
                <w:highlight w:val="none"/>
                <w:lang w:val="en-US" w:eastAsia="zh-CN"/>
              </w:rPr>
              <w:t>项目</w:t>
            </w:r>
            <w:r>
              <w:rPr>
                <w:rFonts w:hint="default" w:ascii="Times New Roman" w:hAnsi="Times New Roman" w:eastAsia="宋体" w:cs="Times New Roman"/>
                <w:color w:val="FF0000"/>
                <w:sz w:val="24"/>
                <w:szCs w:val="24"/>
                <w:highlight w:val="none"/>
              </w:rPr>
              <w:t>炭化</w:t>
            </w:r>
            <w:r>
              <w:rPr>
                <w:rFonts w:hint="eastAsia" w:ascii="Times New Roman" w:hAnsi="Times New Roman" w:eastAsia="宋体" w:cs="Times New Roman"/>
                <w:color w:val="FF0000"/>
                <w:sz w:val="24"/>
                <w:szCs w:val="24"/>
                <w:highlight w:val="none"/>
                <w:lang w:eastAsia="zh-CN"/>
              </w:rPr>
              <w:t>、</w:t>
            </w:r>
            <w:r>
              <w:rPr>
                <w:rFonts w:hint="default" w:ascii="Times New Roman" w:hAnsi="Times New Roman" w:eastAsia="宋体" w:cs="Times New Roman"/>
                <w:color w:val="FF0000"/>
                <w:sz w:val="24"/>
                <w:szCs w:val="24"/>
                <w:highlight w:val="none"/>
                <w:lang w:eastAsia="zh-CN"/>
              </w:rPr>
              <w:t>制棒废气</w:t>
            </w:r>
            <w:r>
              <w:rPr>
                <w:rFonts w:hint="eastAsia" w:ascii="Times New Roman" w:hAnsi="Times New Roman" w:eastAsia="宋体" w:cs="Times New Roman"/>
                <w:color w:val="FF0000"/>
                <w:sz w:val="24"/>
                <w:szCs w:val="24"/>
                <w:highlight w:val="none"/>
                <w:lang w:val="en-US" w:eastAsia="zh-CN"/>
              </w:rPr>
              <w:t>引入热风炉</w:t>
            </w:r>
            <w:r>
              <w:rPr>
                <w:rFonts w:hint="default" w:ascii="Times New Roman" w:hAnsi="Times New Roman" w:eastAsia="宋体" w:cs="Times New Roman"/>
                <w:color w:val="FF0000"/>
                <w:sz w:val="24"/>
                <w:szCs w:val="24"/>
                <w:highlight w:val="none"/>
              </w:rPr>
              <w:t>燃烧处理</w:t>
            </w:r>
            <w:r>
              <w:rPr>
                <w:rFonts w:hint="eastAsia" w:ascii="Times New Roman" w:hAnsi="Times New Roman" w:eastAsia="宋体" w:cs="Times New Roman"/>
                <w:color w:val="FF0000"/>
                <w:sz w:val="24"/>
                <w:szCs w:val="24"/>
                <w:highlight w:val="none"/>
                <w:lang w:val="en-US" w:eastAsia="zh-CN"/>
              </w:rPr>
              <w:t>后</w:t>
            </w:r>
            <w:r>
              <w:rPr>
                <w:rFonts w:hint="default" w:ascii="Times New Roman" w:hAnsi="Times New Roman" w:eastAsia="宋体" w:cs="Times New Roman"/>
                <w:color w:val="FF0000"/>
                <w:sz w:val="24"/>
                <w:szCs w:val="24"/>
                <w:highlight w:val="none"/>
                <w:lang w:val="en-US" w:eastAsia="zh-CN"/>
              </w:rPr>
              <w:t>同烘干废气一并经</w:t>
            </w:r>
            <w:r>
              <w:rPr>
                <w:rFonts w:hint="eastAsia" w:cs="Times New Roman"/>
                <w:color w:val="FF0000"/>
                <w:sz w:val="24"/>
                <w:szCs w:val="24"/>
                <w:highlight w:val="none"/>
                <w:lang w:val="en-US" w:eastAsia="zh-CN"/>
              </w:rPr>
              <w:t>旋风分离器、</w:t>
            </w:r>
            <w:r>
              <w:rPr>
                <w:rFonts w:hint="default" w:ascii="Times New Roman" w:hAnsi="Times New Roman" w:eastAsia="宋体" w:cs="Times New Roman"/>
                <w:color w:val="FF0000"/>
                <w:sz w:val="24"/>
                <w:szCs w:val="24"/>
                <w:highlight w:val="none"/>
                <w:lang w:eastAsia="zh-CN"/>
              </w:rPr>
              <w:t>袋式除尘器</w:t>
            </w:r>
            <w:r>
              <w:rPr>
                <w:rFonts w:hint="default" w:ascii="Times New Roman" w:hAnsi="Times New Roman" w:eastAsia="宋体" w:cs="Times New Roman"/>
                <w:color w:val="FF0000"/>
                <w:sz w:val="24"/>
                <w:szCs w:val="24"/>
                <w:highlight w:val="none"/>
              </w:rPr>
              <w:t>处理后经15m高排气筒（DA001）达标外排。</w:t>
            </w:r>
          </w:p>
          <w:p w14:paraId="1C3693B8">
            <w:pPr>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⑥制棒烟气</w:t>
            </w:r>
          </w:p>
          <w:p w14:paraId="156272AF">
            <w:pPr>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制棒过程主要是机械过程，但是会产生少量制棒废气（以水蒸气为主）制棒主要为水蒸气和少量烟气，纳入炭化烟气进行核算；炭化烟气主要为烟气炭化废气（木焦油、木醋液、木煤气等可燃气体）、少量生物质燃料燃烧产生的烟尘、SO</w:t>
            </w:r>
            <w:r>
              <w:rPr>
                <w:rFonts w:hint="default" w:ascii="Times New Roman" w:hAnsi="Times New Roman" w:cs="Times New Roman" w:eastAsiaTheme="minorEastAsia"/>
                <w:color w:val="auto"/>
                <w:sz w:val="24"/>
                <w:vertAlign w:val="subscript"/>
              </w:rPr>
              <w:t>2</w:t>
            </w:r>
            <w:r>
              <w:rPr>
                <w:rFonts w:hint="default" w:ascii="Times New Roman" w:hAnsi="Times New Roman" w:cs="Times New Roman" w:eastAsiaTheme="minorEastAsia"/>
                <w:color w:val="auto"/>
                <w:sz w:val="24"/>
              </w:rPr>
              <w:t>、氮氧化物、</w:t>
            </w:r>
            <w:bookmarkStart w:id="11" w:name="OLE_LINK8"/>
            <w:r>
              <w:rPr>
                <w:rFonts w:hint="default" w:ascii="Times New Roman" w:hAnsi="Times New Roman" w:cs="Times New Roman" w:eastAsiaTheme="minorEastAsia"/>
                <w:color w:val="auto"/>
                <w:sz w:val="24"/>
              </w:rPr>
              <w:t>挥发性有机物（非甲烷总烃）</w:t>
            </w:r>
            <w:bookmarkEnd w:id="11"/>
            <w:r>
              <w:rPr>
                <w:rFonts w:hint="default" w:ascii="Times New Roman" w:hAnsi="Times New Roman" w:cs="Times New Roman" w:eastAsiaTheme="minorEastAsia"/>
                <w:color w:val="auto"/>
                <w:sz w:val="24"/>
              </w:rPr>
              <w:t>等。</w:t>
            </w:r>
          </w:p>
          <w:p w14:paraId="1E3266C6">
            <w:pPr>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根据《排放源统计调查产排污核算方法和系数手册》中的（2663林产化学品制造行业系数手册）2.3 系数表中未涉及的产污系数及污染治理效率</w:t>
            </w:r>
          </w:p>
          <w:p w14:paraId="6D449E90">
            <w:pPr>
              <w:spacing w:line="360" w:lineRule="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林产化学品中木炭、竹炭、机制炭产品，废水、废气指标可参考2663林产化学品制造行业活性炭产品的系数</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FF0000"/>
                <w:sz w:val="24"/>
                <w:lang w:eastAsia="zh-CN"/>
              </w:rPr>
              <w:t>目前国家及地方暂未发布</w:t>
            </w:r>
            <w:r>
              <w:rPr>
                <w:rFonts w:hint="eastAsia" w:cs="Times New Roman" w:eastAsiaTheme="minorEastAsia"/>
                <w:color w:val="FF0000"/>
                <w:sz w:val="24"/>
                <w:lang w:val="en-US" w:eastAsia="zh-CN"/>
              </w:rPr>
              <w:t>机制炭、</w:t>
            </w:r>
            <w:r>
              <w:rPr>
                <w:rFonts w:hint="default" w:ascii="Times New Roman" w:hAnsi="Times New Roman" w:cs="Times New Roman" w:eastAsiaTheme="minorEastAsia"/>
                <w:color w:val="FF0000"/>
                <w:sz w:val="24"/>
                <w:lang w:eastAsia="zh-CN"/>
              </w:rPr>
              <w:t>木炭及</w:t>
            </w:r>
            <w:r>
              <w:rPr>
                <w:rFonts w:hint="eastAsia" w:cs="Times New Roman" w:eastAsiaTheme="minorEastAsia"/>
                <w:color w:val="FF0000"/>
                <w:sz w:val="24"/>
                <w:lang w:eastAsia="zh-CN"/>
              </w:rPr>
              <w:t>、</w:t>
            </w:r>
            <w:r>
              <w:rPr>
                <w:rFonts w:hint="eastAsia" w:cs="Times New Roman" w:eastAsiaTheme="minorEastAsia"/>
                <w:color w:val="FF0000"/>
                <w:sz w:val="24"/>
                <w:lang w:val="en-US" w:eastAsia="zh-CN"/>
              </w:rPr>
              <w:t>活性炭</w:t>
            </w:r>
            <w:r>
              <w:rPr>
                <w:rFonts w:hint="default" w:ascii="Times New Roman" w:hAnsi="Times New Roman" w:cs="Times New Roman" w:eastAsiaTheme="minorEastAsia"/>
                <w:color w:val="FF0000"/>
                <w:sz w:val="24"/>
                <w:lang w:eastAsia="zh-CN"/>
              </w:rPr>
              <w:t>行业挥发性有机物产排污系</w:t>
            </w:r>
            <w:r>
              <w:rPr>
                <w:rFonts w:hint="default" w:ascii="Times New Roman" w:hAnsi="Times New Roman" w:cs="Times New Roman" w:eastAsiaTheme="minorEastAsia"/>
                <w:color w:val="FF0000"/>
                <w:sz w:val="24"/>
                <w:highlight w:val="none"/>
                <w:lang w:eastAsia="zh-CN"/>
              </w:rPr>
              <w:t>数</w:t>
            </w:r>
            <w:r>
              <w:rPr>
                <w:rFonts w:hint="eastAsia" w:cs="Times New Roman" w:eastAsiaTheme="minorEastAsia"/>
                <w:color w:val="FF0000"/>
                <w:sz w:val="24"/>
                <w:highlight w:val="none"/>
                <w:lang w:eastAsia="zh-CN"/>
              </w:rPr>
              <w:t>；</w:t>
            </w:r>
            <w:r>
              <w:rPr>
                <w:rFonts w:hint="eastAsia" w:cs="Times New Roman" w:eastAsiaTheme="minorEastAsia"/>
                <w:color w:val="FF0000"/>
                <w:sz w:val="24"/>
                <w:highlight w:val="none"/>
                <w:lang w:val="en-US" w:eastAsia="zh-CN"/>
              </w:rPr>
              <w:t xml:space="preserve">  本项目</w:t>
            </w:r>
            <w:r>
              <w:rPr>
                <w:rFonts w:hint="default" w:ascii="Times New Roman" w:hAnsi="Times New Roman" w:cs="Times New Roman" w:eastAsiaTheme="minorEastAsia"/>
                <w:color w:val="FF0000"/>
                <w:sz w:val="24"/>
                <w:highlight w:val="none"/>
              </w:rPr>
              <w:t>挥发性有机物（非甲烷总烃）</w:t>
            </w:r>
            <w:r>
              <w:rPr>
                <w:rFonts w:hint="eastAsia" w:cs="Times New Roman" w:eastAsiaTheme="minorEastAsia"/>
                <w:color w:val="FF0000"/>
                <w:sz w:val="24"/>
                <w:highlight w:val="none"/>
                <w:lang w:val="en-US" w:eastAsia="zh-CN"/>
              </w:rPr>
              <w:t>参照同行业</w:t>
            </w:r>
            <w:r>
              <w:rPr>
                <w:rFonts w:hint="default" w:ascii="Times New Roman" w:hAnsi="Times New Roman" w:cs="Times New Roman" w:eastAsiaTheme="minorEastAsia"/>
                <w:color w:val="FF0000"/>
                <w:sz w:val="24"/>
                <w:highlight w:val="none"/>
              </w:rPr>
              <w:t>《排放源统计调查产排污核算方法和系数手册》中的（2663林产化学品制造行业系数手册）</w:t>
            </w:r>
            <w:r>
              <w:rPr>
                <w:rFonts w:hint="eastAsia" w:cs="Times New Roman" w:eastAsiaTheme="minorEastAsia"/>
                <w:color w:val="FF0000"/>
                <w:sz w:val="24"/>
                <w:highlight w:val="none"/>
                <w:lang w:val="en-US" w:eastAsia="zh-CN"/>
              </w:rPr>
              <w:t>松香的产排污系统进行核算；</w:t>
            </w:r>
            <w:r>
              <w:rPr>
                <w:rFonts w:hint="default" w:ascii="Times New Roman" w:hAnsi="Times New Roman" w:cs="Times New Roman" w:eastAsiaTheme="minorEastAsia"/>
                <w:color w:val="FF0000"/>
                <w:sz w:val="24"/>
                <w:highlight w:val="none"/>
                <w:lang w:val="en-US" w:eastAsia="zh-CN"/>
              </w:rPr>
              <w:t>项目机制炭炭化工段不添加</w:t>
            </w:r>
            <w:r>
              <w:rPr>
                <w:rFonts w:hint="eastAsia" w:cs="Times New Roman" w:eastAsiaTheme="minorEastAsia"/>
                <w:color w:val="FF0000"/>
                <w:sz w:val="24"/>
                <w:highlight w:val="none"/>
                <w:lang w:val="en-US" w:eastAsia="zh-CN"/>
              </w:rPr>
              <w:t>任何化学</w:t>
            </w:r>
            <w:r>
              <w:rPr>
                <w:rFonts w:hint="default" w:ascii="Times New Roman" w:hAnsi="Times New Roman" w:cs="Times New Roman" w:eastAsiaTheme="minorEastAsia"/>
                <w:color w:val="FF0000"/>
                <w:sz w:val="24"/>
                <w:highlight w:val="none"/>
                <w:lang w:val="en-US" w:eastAsia="zh-CN"/>
              </w:rPr>
              <w:t>添加剂，属于物理活化反应，</w:t>
            </w:r>
            <w:r>
              <w:rPr>
                <w:rFonts w:hint="default" w:ascii="Times New Roman" w:hAnsi="Times New Roman" w:cs="Times New Roman" w:eastAsiaTheme="minorEastAsia"/>
                <w:color w:val="FF0000"/>
                <w:sz w:val="24"/>
                <w:highlight w:val="none"/>
              </w:rPr>
              <w:t>具体取值详见下表。</w:t>
            </w:r>
          </w:p>
          <w:p w14:paraId="530A6CB7">
            <w:pPr>
              <w:spacing w:line="360" w:lineRule="auto"/>
              <w:rPr>
                <w:rFonts w:hint="default" w:ascii="Times New Roman" w:hAnsi="Times New Roman" w:cs="Times New Roman" w:eastAsiaTheme="minorEastAsia"/>
                <w:b/>
                <w:bCs/>
                <w:color w:val="auto"/>
                <w:sz w:val="24"/>
                <w:highlight w:val="yellow"/>
              </w:rPr>
            </w:pPr>
            <w:r>
              <w:rPr>
                <w:rFonts w:hint="default" w:ascii="Times New Roman" w:hAnsi="Times New Roman" w:cs="Times New Roman" w:eastAsiaTheme="minorEastAsia"/>
                <w:color w:val="auto"/>
              </w:rPr>
              <w:drawing>
                <wp:inline distT="0" distB="0" distL="114300" distR="114300">
                  <wp:extent cx="5025390" cy="2914015"/>
                  <wp:effectExtent l="0" t="0" r="3810" b="6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7"/>
                          <a:stretch>
                            <a:fillRect/>
                          </a:stretch>
                        </pic:blipFill>
                        <pic:spPr>
                          <a:xfrm>
                            <a:off x="0" y="0"/>
                            <a:ext cx="5025390" cy="2914015"/>
                          </a:xfrm>
                          <a:prstGeom prst="rect">
                            <a:avLst/>
                          </a:prstGeom>
                          <a:noFill/>
                          <a:ln>
                            <a:noFill/>
                          </a:ln>
                        </pic:spPr>
                      </pic:pic>
                    </a:graphicData>
                  </a:graphic>
                </wp:inline>
              </w:drawing>
            </w:r>
          </w:p>
          <w:p w14:paraId="4E222B92">
            <w:pPr>
              <w:spacing w:line="360" w:lineRule="auto"/>
              <w:rPr>
                <w:rFonts w:hint="default" w:ascii="Times New Roman" w:hAnsi="Times New Roman" w:cs="Times New Roman" w:eastAsiaTheme="minorEastAsia"/>
                <w:color w:val="auto"/>
                <w:sz w:val="24"/>
                <w:lang w:eastAsia="zh-CN"/>
              </w:rPr>
            </w:pPr>
            <w:r>
              <w:drawing>
                <wp:inline distT="0" distB="0" distL="114300" distR="114300">
                  <wp:extent cx="5024755" cy="1426210"/>
                  <wp:effectExtent l="0" t="0" r="4445"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5024755" cy="1426210"/>
                          </a:xfrm>
                          <a:prstGeom prst="rect">
                            <a:avLst/>
                          </a:prstGeom>
                          <a:noFill/>
                          <a:ln>
                            <a:noFill/>
                          </a:ln>
                        </pic:spPr>
                      </pic:pic>
                    </a:graphicData>
                  </a:graphic>
                </wp:inline>
              </w:drawing>
            </w:r>
          </w:p>
          <w:p w14:paraId="46E09196">
            <w:pPr>
              <w:spacing w:line="360" w:lineRule="auto"/>
              <w:ind w:firstLine="480" w:firstLineChars="200"/>
              <w:rPr>
                <w:rFonts w:hint="default" w:ascii="Times New Roman" w:hAnsi="Times New Roman" w:cs="Times New Roman" w:eastAsiaTheme="minorEastAsia"/>
                <w:color w:val="FF0000"/>
                <w:sz w:val="24"/>
                <w:highlight w:val="green"/>
                <w:lang w:eastAsia="zh-CN"/>
              </w:rPr>
            </w:pPr>
            <w:r>
              <w:rPr>
                <w:rFonts w:hint="default" w:ascii="Times New Roman" w:hAnsi="Times New Roman" w:cs="Times New Roman" w:eastAsiaTheme="minorEastAsia"/>
                <w:color w:val="auto"/>
                <w:sz w:val="24"/>
              </w:rPr>
              <w:t>则炭化工业废气量为：4.</w:t>
            </w:r>
            <w:r>
              <w:rPr>
                <w:rFonts w:hint="default" w:ascii="Times New Roman" w:hAnsi="Times New Roman" w:cs="Times New Roman" w:eastAsiaTheme="minorEastAsia"/>
                <w:color w:val="auto"/>
                <w:sz w:val="24"/>
                <w:lang w:val="en-US" w:eastAsia="zh-CN"/>
              </w:rPr>
              <w:t>40</w:t>
            </w:r>
            <w:r>
              <w:rPr>
                <w:rFonts w:hint="default" w:ascii="Times New Roman" w:hAnsi="Times New Roman" w:cs="Times New Roman" w:eastAsiaTheme="minorEastAsia"/>
                <w:color w:val="auto"/>
                <w:sz w:val="24"/>
              </w:rPr>
              <w:t>×10</w:t>
            </w:r>
            <w:r>
              <w:rPr>
                <w:rFonts w:hint="default" w:ascii="Times New Roman" w:hAnsi="Times New Roman" w:cs="Times New Roman" w:eastAsiaTheme="minorEastAsia"/>
                <w:color w:val="auto"/>
                <w:sz w:val="24"/>
                <w:vertAlign w:val="superscript"/>
              </w:rPr>
              <w:t>4</w:t>
            </w:r>
            <w:r>
              <w:rPr>
                <w:rFonts w:hint="default" w:ascii="Times New Roman" w:hAnsi="Times New Roman" w:cs="Times New Roman" w:eastAsiaTheme="minorEastAsia"/>
                <w:color w:val="auto"/>
                <w:spacing w:val="-1"/>
                <w:sz w:val="24"/>
              </w:rPr>
              <w:t>标立方米/吨-产品，</w:t>
            </w:r>
            <w:r>
              <w:rPr>
                <w:rFonts w:hint="default" w:ascii="Times New Roman" w:hAnsi="Times New Roman" w:cs="Times New Roman" w:eastAsiaTheme="minorEastAsia"/>
                <w:color w:val="auto"/>
                <w:sz w:val="24"/>
              </w:rPr>
              <w:t>废气产生量为</w:t>
            </w:r>
            <w:r>
              <w:rPr>
                <w:rFonts w:hint="default" w:ascii="Times New Roman" w:hAnsi="Times New Roman" w:cs="Times New Roman" w:eastAsiaTheme="minorEastAsia"/>
                <w:color w:val="auto"/>
                <w:sz w:val="24"/>
                <w:lang w:val="en-US" w:eastAsia="zh-CN"/>
              </w:rPr>
              <w:t>4.22</w:t>
            </w:r>
            <w:r>
              <w:rPr>
                <w:rFonts w:hint="eastAsia" w:cs="Times New Roman" w:eastAsiaTheme="minorEastAsia"/>
                <w:color w:val="auto"/>
                <w:sz w:val="24"/>
                <w:lang w:val="en-US" w:eastAsia="zh-CN"/>
              </w:rPr>
              <w:t>4</w:t>
            </w:r>
            <w:r>
              <w:rPr>
                <w:rFonts w:hint="default" w:ascii="Times New Roman" w:hAnsi="Times New Roman" w:cs="Times New Roman" w:eastAsiaTheme="minorEastAsia"/>
                <w:color w:val="auto"/>
                <w:sz w:val="24"/>
              </w:rPr>
              <w:t>×10</w:t>
            </w:r>
            <w:r>
              <w:rPr>
                <w:rFonts w:hint="eastAsia" w:cs="Times New Roman" w:eastAsiaTheme="minorEastAsia"/>
                <w:color w:val="auto"/>
                <w:sz w:val="24"/>
                <w:vertAlign w:val="superscript"/>
                <w:lang w:val="en-US" w:eastAsia="zh-CN"/>
              </w:rPr>
              <w:t>8</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/a；颗粒物产污系数为：</w:t>
            </w:r>
            <w:r>
              <w:rPr>
                <w:rFonts w:hint="default" w:ascii="Times New Roman" w:hAnsi="Times New Roman" w:cs="Times New Roman" w:eastAsiaTheme="minorEastAsia"/>
                <w:color w:val="auto"/>
                <w:sz w:val="24"/>
                <w:lang w:val="en-US" w:eastAsia="zh-CN"/>
              </w:rPr>
              <w:t>11.4</w:t>
            </w:r>
            <w:r>
              <w:rPr>
                <w:rFonts w:hint="default" w:ascii="Times New Roman" w:hAnsi="Times New Roman" w:cs="Times New Roman" w:eastAsiaTheme="minorEastAsia"/>
                <w:color w:val="auto"/>
                <w:sz w:val="24"/>
              </w:rPr>
              <w:t>千克/吨-产品，则颗粒物产生量为</w:t>
            </w:r>
            <w:r>
              <w:rPr>
                <w:rFonts w:hint="default" w:ascii="Times New Roman" w:hAnsi="Times New Roman" w:cs="Times New Roman" w:eastAsiaTheme="minorEastAsia"/>
                <w:color w:val="auto"/>
                <w:sz w:val="24"/>
                <w:lang w:val="en-US" w:eastAsia="zh-CN"/>
              </w:rPr>
              <w:t>109.44</w:t>
            </w:r>
            <w:r>
              <w:rPr>
                <w:rFonts w:hint="default" w:ascii="Times New Roman" w:hAnsi="Times New Roman" w:cs="Times New Roman" w:eastAsiaTheme="minorEastAsia"/>
                <w:color w:val="auto"/>
                <w:sz w:val="24"/>
              </w:rPr>
              <w:t>t/a，二氧化硫产污系数为：</w:t>
            </w:r>
            <w:r>
              <w:rPr>
                <w:rFonts w:hint="default" w:ascii="Times New Roman" w:hAnsi="Times New Roman" w:cs="Times New Roman" w:eastAsiaTheme="minorEastAsia"/>
                <w:color w:val="auto"/>
                <w:sz w:val="24"/>
                <w:lang w:val="en-US" w:eastAsia="zh-CN"/>
              </w:rPr>
              <w:t>2.35</w:t>
            </w:r>
            <w:r>
              <w:rPr>
                <w:rFonts w:hint="default" w:ascii="Times New Roman" w:hAnsi="Times New Roman" w:cs="Times New Roman" w:eastAsiaTheme="minorEastAsia"/>
                <w:color w:val="auto"/>
                <w:sz w:val="24"/>
              </w:rPr>
              <w:t>千克/吨-产品，则二氧化硫产生量为</w:t>
            </w:r>
            <w:r>
              <w:rPr>
                <w:rFonts w:hint="default" w:ascii="Times New Roman" w:hAnsi="Times New Roman" w:cs="Times New Roman" w:eastAsiaTheme="minorEastAsia"/>
                <w:color w:val="auto"/>
                <w:sz w:val="24"/>
                <w:lang w:val="en-US" w:eastAsia="zh-CN"/>
              </w:rPr>
              <w:t>22.56</w:t>
            </w:r>
            <w:r>
              <w:rPr>
                <w:rFonts w:hint="default" w:ascii="Times New Roman" w:hAnsi="Times New Roman" w:cs="Times New Roman" w:eastAsiaTheme="minorEastAsia"/>
                <w:color w:val="auto"/>
                <w:sz w:val="24"/>
              </w:rPr>
              <w:t>t/a，氮氧化物产污系数为：</w:t>
            </w:r>
            <w:r>
              <w:rPr>
                <w:rFonts w:hint="default" w:ascii="Times New Roman" w:hAnsi="Times New Roman" w:cs="Times New Roman" w:eastAsiaTheme="minorEastAsia"/>
                <w:color w:val="auto"/>
                <w:sz w:val="24"/>
                <w:lang w:val="en-US" w:eastAsia="zh-CN"/>
              </w:rPr>
              <w:t>1.5</w:t>
            </w:r>
            <w:r>
              <w:rPr>
                <w:rFonts w:hint="default" w:ascii="Times New Roman" w:hAnsi="Times New Roman" w:cs="Times New Roman" w:eastAsiaTheme="minorEastAsia"/>
                <w:color w:val="auto"/>
                <w:sz w:val="24"/>
              </w:rPr>
              <w:t>千克/吨-产品，则氮氧化物产生量为</w:t>
            </w:r>
            <w:r>
              <w:rPr>
                <w:rFonts w:hint="default" w:ascii="Times New Roman" w:hAnsi="Times New Roman" w:cs="Times New Roman" w:eastAsiaTheme="minorEastAsia"/>
                <w:color w:val="auto"/>
                <w:sz w:val="24"/>
                <w:lang w:val="en-US" w:eastAsia="zh-CN"/>
              </w:rPr>
              <w:t>14.4</w:t>
            </w:r>
            <w:r>
              <w:rPr>
                <w:rFonts w:hint="default" w:ascii="Times New Roman" w:hAnsi="Times New Roman" w:cs="Times New Roman" w:eastAsiaTheme="minorEastAsia"/>
                <w:color w:val="auto"/>
                <w:sz w:val="24"/>
              </w:rPr>
              <w:t>t/a；</w:t>
            </w:r>
            <w:r>
              <w:rPr>
                <w:rFonts w:hint="eastAsia" w:cs="Times New Roman" w:eastAsiaTheme="minorEastAsia"/>
                <w:color w:val="auto"/>
                <w:sz w:val="24"/>
                <w:lang w:val="en-US" w:eastAsia="zh-CN"/>
              </w:rPr>
              <w:t>挥发性有机物产排污系数为：</w:t>
            </w:r>
            <w:r>
              <w:rPr>
                <w:rFonts w:hint="eastAsia" w:cs="Times New Roman" w:eastAsiaTheme="minorEastAsia"/>
                <w:color w:val="FF0000"/>
                <w:sz w:val="24"/>
                <w:lang w:val="en-US" w:eastAsia="zh-CN"/>
              </w:rPr>
              <w:t>0.8</w:t>
            </w:r>
            <w:r>
              <w:rPr>
                <w:rFonts w:hint="default" w:ascii="Times New Roman" w:hAnsi="Times New Roman" w:cs="Times New Roman" w:eastAsiaTheme="minorEastAsia"/>
                <w:color w:val="FF0000"/>
                <w:sz w:val="24"/>
              </w:rPr>
              <w:t>千克/吨-产品，挥发性有机物（非甲烷总烃）</w:t>
            </w:r>
            <w:r>
              <w:rPr>
                <w:rFonts w:hint="eastAsia" w:cs="Times New Roman" w:eastAsiaTheme="minorEastAsia"/>
                <w:color w:val="FF0000"/>
                <w:sz w:val="24"/>
                <w:lang w:val="en-US" w:eastAsia="zh-CN"/>
              </w:rPr>
              <w:t>产生</w:t>
            </w:r>
            <w:r>
              <w:rPr>
                <w:rFonts w:hint="default" w:ascii="Times New Roman" w:hAnsi="Times New Roman" w:cs="Times New Roman" w:eastAsiaTheme="minorEastAsia"/>
                <w:color w:val="FF0000"/>
                <w:sz w:val="24"/>
                <w:lang w:eastAsia="zh-CN"/>
              </w:rPr>
              <w:t>量</w:t>
            </w:r>
            <w:r>
              <w:rPr>
                <w:rFonts w:hint="default" w:ascii="Times New Roman" w:hAnsi="Times New Roman" w:cs="Times New Roman" w:eastAsiaTheme="minorEastAsia"/>
                <w:color w:val="FF0000"/>
                <w:sz w:val="24"/>
              </w:rPr>
              <w:t>为</w:t>
            </w:r>
            <w:r>
              <w:rPr>
                <w:rFonts w:hint="eastAsia" w:cs="Times New Roman" w:eastAsiaTheme="minorEastAsia"/>
                <w:color w:val="FF0000"/>
                <w:sz w:val="24"/>
                <w:lang w:val="en-US" w:eastAsia="zh-CN"/>
              </w:rPr>
              <w:t>7.68</w:t>
            </w:r>
            <w:r>
              <w:rPr>
                <w:rFonts w:hint="default" w:ascii="Times New Roman" w:hAnsi="Times New Roman" w:cs="Times New Roman" w:eastAsiaTheme="minorEastAsia"/>
                <w:color w:val="FF0000"/>
                <w:sz w:val="24"/>
              </w:rPr>
              <w:t>t/a</w:t>
            </w:r>
            <w:r>
              <w:rPr>
                <w:rFonts w:hint="default" w:ascii="Times New Roman" w:hAnsi="Times New Roman" w:cs="Times New Roman" w:eastAsiaTheme="minorEastAsia"/>
                <w:color w:val="FF0000"/>
                <w:sz w:val="24"/>
                <w:lang w:eastAsia="zh-CN"/>
              </w:rPr>
              <w:t>。</w:t>
            </w:r>
          </w:p>
          <w:p w14:paraId="0011B289">
            <w:pPr>
              <w:spacing w:line="360" w:lineRule="auto"/>
              <w:ind w:firstLine="480" w:firstLineChars="200"/>
              <w:rPr>
                <w:rFonts w:hint="default" w:ascii="Times New Roman" w:hAnsi="Times New Roman" w:cs="Times New Roman" w:eastAsiaTheme="minorEastAsia"/>
                <w:color w:val="FF0000"/>
                <w:sz w:val="24"/>
                <w:highlight w:val="none"/>
              </w:rPr>
            </w:pPr>
            <w:r>
              <w:rPr>
                <w:rFonts w:hint="eastAsia" w:ascii="Times New Roman" w:hAnsi="Times New Roman" w:eastAsia="宋体" w:cs="Times New Roman"/>
                <w:color w:val="FF0000"/>
                <w:sz w:val="24"/>
                <w:szCs w:val="24"/>
                <w:highlight w:val="none"/>
                <w:lang w:val="en-US" w:eastAsia="zh-CN"/>
              </w:rPr>
              <w:t>项目</w:t>
            </w:r>
            <w:r>
              <w:rPr>
                <w:rFonts w:hint="default" w:ascii="Times New Roman" w:hAnsi="Times New Roman" w:eastAsia="宋体" w:cs="Times New Roman"/>
                <w:color w:val="FF0000"/>
                <w:sz w:val="24"/>
                <w:szCs w:val="24"/>
                <w:highlight w:val="none"/>
              </w:rPr>
              <w:t>炭化</w:t>
            </w:r>
            <w:r>
              <w:rPr>
                <w:rFonts w:hint="eastAsia" w:ascii="Times New Roman" w:hAnsi="Times New Roman" w:eastAsia="宋体" w:cs="Times New Roman"/>
                <w:color w:val="FF0000"/>
                <w:sz w:val="24"/>
                <w:szCs w:val="24"/>
                <w:highlight w:val="none"/>
                <w:lang w:eastAsia="zh-CN"/>
              </w:rPr>
              <w:t>、</w:t>
            </w:r>
            <w:r>
              <w:rPr>
                <w:rFonts w:hint="default" w:ascii="Times New Roman" w:hAnsi="Times New Roman" w:eastAsia="宋体" w:cs="Times New Roman"/>
                <w:color w:val="FF0000"/>
                <w:sz w:val="24"/>
                <w:szCs w:val="24"/>
                <w:highlight w:val="none"/>
                <w:lang w:eastAsia="zh-CN"/>
              </w:rPr>
              <w:t>制棒废气</w:t>
            </w:r>
            <w:r>
              <w:rPr>
                <w:rFonts w:hint="eastAsia" w:ascii="Times New Roman" w:hAnsi="Times New Roman" w:eastAsia="宋体" w:cs="Times New Roman"/>
                <w:color w:val="FF0000"/>
                <w:sz w:val="24"/>
                <w:szCs w:val="24"/>
                <w:highlight w:val="none"/>
                <w:lang w:val="en-US" w:eastAsia="zh-CN"/>
              </w:rPr>
              <w:t>引入热风炉</w:t>
            </w:r>
            <w:r>
              <w:rPr>
                <w:rFonts w:hint="default" w:ascii="Times New Roman" w:hAnsi="Times New Roman" w:eastAsia="宋体" w:cs="Times New Roman"/>
                <w:color w:val="FF0000"/>
                <w:sz w:val="24"/>
                <w:szCs w:val="24"/>
                <w:highlight w:val="none"/>
              </w:rPr>
              <w:t>燃烧处理</w:t>
            </w:r>
            <w:r>
              <w:rPr>
                <w:rFonts w:hint="eastAsia" w:ascii="Times New Roman" w:hAnsi="Times New Roman" w:eastAsia="宋体" w:cs="Times New Roman"/>
                <w:color w:val="FF0000"/>
                <w:sz w:val="24"/>
                <w:szCs w:val="24"/>
                <w:highlight w:val="none"/>
                <w:lang w:val="en-US" w:eastAsia="zh-CN"/>
              </w:rPr>
              <w:t>后</w:t>
            </w:r>
            <w:r>
              <w:rPr>
                <w:rFonts w:hint="default" w:ascii="Times New Roman" w:hAnsi="Times New Roman" w:eastAsia="宋体" w:cs="Times New Roman"/>
                <w:color w:val="FF0000"/>
                <w:sz w:val="24"/>
                <w:szCs w:val="24"/>
                <w:highlight w:val="none"/>
                <w:lang w:val="en-US" w:eastAsia="zh-CN"/>
              </w:rPr>
              <w:t>同烘干废气一并经</w:t>
            </w:r>
            <w:r>
              <w:rPr>
                <w:rFonts w:hint="eastAsia" w:cs="Times New Roman"/>
                <w:color w:val="FF0000"/>
                <w:sz w:val="24"/>
                <w:szCs w:val="24"/>
                <w:highlight w:val="none"/>
                <w:lang w:val="en-US" w:eastAsia="zh-CN"/>
              </w:rPr>
              <w:t>旋风分离器、</w:t>
            </w:r>
            <w:r>
              <w:rPr>
                <w:rFonts w:hint="default" w:ascii="Times New Roman" w:hAnsi="Times New Roman" w:eastAsia="宋体" w:cs="Times New Roman"/>
                <w:color w:val="FF0000"/>
                <w:sz w:val="24"/>
                <w:szCs w:val="24"/>
                <w:highlight w:val="none"/>
                <w:lang w:eastAsia="zh-CN"/>
              </w:rPr>
              <w:t>袋式除尘器</w:t>
            </w:r>
            <w:r>
              <w:rPr>
                <w:rFonts w:hint="default" w:ascii="Times New Roman" w:hAnsi="Times New Roman" w:eastAsia="宋体" w:cs="Times New Roman"/>
                <w:color w:val="FF0000"/>
                <w:sz w:val="24"/>
                <w:szCs w:val="24"/>
                <w:highlight w:val="none"/>
              </w:rPr>
              <w:t>处理后经15m高排气筒（DA001）达标外排。</w:t>
            </w:r>
            <w:r>
              <w:rPr>
                <w:rFonts w:hint="default" w:ascii="Times New Roman" w:hAnsi="Times New Roman" w:cs="Times New Roman" w:eastAsiaTheme="minorEastAsia"/>
                <w:color w:val="FF0000"/>
                <w:sz w:val="24"/>
                <w:highlight w:val="none"/>
              </w:rPr>
              <w:t>烘干、制棒、炭化废气处理设施排放口设置1套烟气在线监测系统，对颗粒物、二氧化硫、氮氧化物进行实时监控。</w:t>
            </w:r>
          </w:p>
          <w:p w14:paraId="76070D21">
            <w:pPr>
              <w:spacing w:line="360" w:lineRule="auto"/>
              <w:ind w:firstLine="480" w:firstLineChars="200"/>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color w:val="auto"/>
                <w:sz w:val="24"/>
              </w:rPr>
              <w:t>则烘干、制棒、炭化工段总工业废气量产生量为：</w:t>
            </w:r>
            <w:bookmarkStart w:id="12" w:name="OLE_LINK7"/>
            <w:r>
              <w:rPr>
                <w:rFonts w:hint="eastAsia" w:cs="Times New Roman" w:eastAsiaTheme="minorEastAsia"/>
                <w:color w:val="auto"/>
                <w:sz w:val="24"/>
                <w:lang w:val="en-US" w:eastAsia="zh-CN"/>
              </w:rPr>
              <w:t>434380800</w:t>
            </w:r>
            <w:bookmarkEnd w:id="12"/>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/a；颗粒物产生量为</w:t>
            </w:r>
            <w:r>
              <w:rPr>
                <w:rFonts w:hint="eastAsia" w:cs="Times New Roman" w:eastAsiaTheme="minorEastAsia"/>
                <w:color w:val="auto"/>
                <w:sz w:val="24"/>
                <w:lang w:val="en-US" w:eastAsia="zh-CN"/>
              </w:rPr>
              <w:t>586.63</w:t>
            </w:r>
            <w:r>
              <w:rPr>
                <w:rFonts w:hint="default" w:ascii="Times New Roman" w:hAnsi="Times New Roman" w:cs="Times New Roman" w:eastAsiaTheme="minorEastAsia"/>
                <w:color w:val="auto"/>
                <w:sz w:val="24"/>
              </w:rPr>
              <w:t>t/a，产生浓度</w:t>
            </w:r>
            <w:r>
              <w:rPr>
                <w:rFonts w:hint="eastAsia" w:cs="Times New Roman" w:eastAsiaTheme="minorEastAsia"/>
                <w:color w:val="auto"/>
                <w:sz w:val="24"/>
                <w:lang w:val="en-US" w:eastAsia="zh-CN"/>
              </w:rPr>
              <w:t>1350.5</w:t>
            </w:r>
            <w:r>
              <w:rPr>
                <w:rFonts w:hint="default" w:ascii="Times New Roman" w:hAnsi="Times New Roman" w:cs="Times New Roman" w:eastAsiaTheme="minorEastAsia"/>
                <w:color w:val="auto"/>
                <w:sz w:val="24"/>
              </w:rPr>
              <w:t>mg/m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；二氧化硫产生量为</w:t>
            </w:r>
            <w:r>
              <w:rPr>
                <w:rFonts w:hint="default" w:ascii="Times New Roman" w:hAnsi="Times New Roman" w:cs="Times New Roman" w:eastAsiaTheme="minorEastAsia"/>
                <w:color w:val="auto"/>
                <w:sz w:val="24"/>
                <w:lang w:val="en-US" w:eastAsia="zh-CN"/>
              </w:rPr>
              <w:t>23.54</w:t>
            </w:r>
            <w:r>
              <w:rPr>
                <w:rFonts w:hint="default" w:ascii="Times New Roman" w:hAnsi="Times New Roman" w:cs="Times New Roman" w:eastAsiaTheme="minorEastAsia"/>
                <w:color w:val="auto"/>
                <w:sz w:val="24"/>
              </w:rPr>
              <w:t>t/a，产生浓度</w:t>
            </w:r>
            <w:r>
              <w:rPr>
                <w:rFonts w:hint="eastAsia" w:cs="Times New Roman" w:eastAsiaTheme="minorEastAsia"/>
                <w:color w:val="auto"/>
                <w:sz w:val="24"/>
                <w:lang w:val="en-US" w:eastAsia="zh-CN"/>
              </w:rPr>
              <w:t>54.2</w:t>
            </w:r>
            <w:r>
              <w:rPr>
                <w:rFonts w:hint="default" w:ascii="Times New Roman" w:hAnsi="Times New Roman" w:cs="Times New Roman" w:eastAsiaTheme="minorEastAsia"/>
                <w:color w:val="auto"/>
                <w:sz w:val="24"/>
              </w:rPr>
              <w:t>mg/m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；氮氧化物产生量为</w:t>
            </w:r>
            <w:r>
              <w:rPr>
                <w:rFonts w:hint="default" w:ascii="Times New Roman" w:hAnsi="Times New Roman" w:cs="Times New Roman" w:eastAsiaTheme="minorEastAsia"/>
                <w:color w:val="auto"/>
                <w:sz w:val="24"/>
                <w:lang w:val="en-US" w:eastAsia="zh-CN"/>
              </w:rPr>
              <w:t>16.36</w:t>
            </w:r>
            <w:r>
              <w:rPr>
                <w:rFonts w:hint="default" w:ascii="Times New Roman" w:hAnsi="Times New Roman" w:cs="Times New Roman" w:eastAsiaTheme="minorEastAsia"/>
                <w:color w:val="auto"/>
                <w:sz w:val="24"/>
              </w:rPr>
              <w:t>t/a，产生浓度</w:t>
            </w:r>
            <w:r>
              <w:rPr>
                <w:rFonts w:hint="eastAsia" w:cs="Times New Roman" w:eastAsiaTheme="minorEastAsia"/>
                <w:color w:val="auto"/>
                <w:sz w:val="24"/>
                <w:lang w:val="en-US" w:eastAsia="zh-CN"/>
              </w:rPr>
              <w:t>37.66</w:t>
            </w:r>
            <w:r>
              <w:rPr>
                <w:rFonts w:hint="default" w:ascii="Times New Roman" w:hAnsi="Times New Roman" w:cs="Times New Roman" w:eastAsiaTheme="minorEastAsia"/>
                <w:color w:val="auto"/>
                <w:sz w:val="24"/>
              </w:rPr>
              <w:t>mg/m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w:t>
            </w:r>
            <w:r>
              <w:rPr>
                <w:rFonts w:hint="default" w:ascii="Times New Roman" w:hAnsi="Times New Roman" w:cs="Times New Roman" w:eastAsiaTheme="minorEastAsia"/>
                <w:color w:val="FF0000"/>
                <w:sz w:val="24"/>
              </w:rPr>
              <w:t>挥发性有机物（非甲烷总烃）量为</w:t>
            </w:r>
            <w:r>
              <w:rPr>
                <w:rFonts w:hint="eastAsia" w:cs="Times New Roman" w:eastAsiaTheme="minorEastAsia"/>
                <w:color w:val="FF0000"/>
                <w:sz w:val="24"/>
                <w:lang w:val="en-US" w:eastAsia="zh-CN"/>
              </w:rPr>
              <w:t>7.68</w:t>
            </w:r>
            <w:r>
              <w:rPr>
                <w:rFonts w:hint="default" w:ascii="Times New Roman" w:hAnsi="Times New Roman" w:cs="Times New Roman" w:eastAsiaTheme="minorEastAsia"/>
                <w:color w:val="FF0000"/>
                <w:sz w:val="24"/>
              </w:rPr>
              <w:t>t/a；产生浓度为</w:t>
            </w:r>
            <w:r>
              <w:rPr>
                <w:rFonts w:hint="eastAsia" w:cs="Times New Roman" w:eastAsiaTheme="minorEastAsia"/>
                <w:color w:val="FF0000"/>
                <w:sz w:val="24"/>
                <w:lang w:val="en-US" w:eastAsia="zh-CN"/>
              </w:rPr>
              <w:t>17.68</w:t>
            </w:r>
            <w:r>
              <w:rPr>
                <w:rFonts w:hint="default" w:ascii="Times New Roman" w:hAnsi="Times New Roman" w:cs="Times New Roman" w:eastAsiaTheme="minorEastAsia"/>
                <w:color w:val="FF0000"/>
                <w:sz w:val="24"/>
              </w:rPr>
              <w:t>mg/m</w:t>
            </w:r>
            <w:r>
              <w:rPr>
                <w:rFonts w:hint="default" w:ascii="Times New Roman" w:hAnsi="Times New Roman" w:cs="Times New Roman" w:eastAsiaTheme="minorEastAsia"/>
                <w:color w:val="FF0000"/>
                <w:sz w:val="24"/>
                <w:vertAlign w:val="superscript"/>
              </w:rPr>
              <w:t>3</w:t>
            </w:r>
            <w:r>
              <w:rPr>
                <w:rFonts w:hint="default" w:ascii="Times New Roman" w:hAnsi="Times New Roman" w:cs="Times New Roman" w:eastAsiaTheme="minorEastAsia"/>
                <w:color w:val="FF0000"/>
                <w:sz w:val="24"/>
              </w:rPr>
              <w:t>；</w:t>
            </w:r>
            <w:r>
              <w:rPr>
                <w:rFonts w:hint="default" w:ascii="Times New Roman" w:hAnsi="Times New Roman" w:cs="Times New Roman" w:eastAsiaTheme="minorEastAsia"/>
                <w:color w:val="auto"/>
                <w:sz w:val="24"/>
              </w:rPr>
              <w:t>项目所涉及废气治理设施治理效率情况具体见表4-4。</w:t>
            </w:r>
          </w:p>
          <w:p w14:paraId="55626FFA">
            <w:pPr>
              <w:pStyle w:val="11"/>
              <w:spacing w:line="240" w:lineRule="auto"/>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4-4项目所涉及废气治理设施情况表</w:t>
            </w:r>
          </w:p>
          <w:tbl>
            <w:tblPr>
              <w:tblStyle w:val="23"/>
              <w:tblW w:w="7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969"/>
              <w:gridCol w:w="1200"/>
              <w:gridCol w:w="3164"/>
              <w:gridCol w:w="1136"/>
            </w:tblGrid>
            <w:tr w14:paraId="6653B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8" w:hRule="atLeast"/>
                <w:jc w:val="center"/>
              </w:trPr>
              <w:tc>
                <w:tcPr>
                  <w:tcW w:w="1508" w:type="dxa"/>
                  <w:noWrap w:val="0"/>
                  <w:vAlign w:val="center"/>
                </w:tcPr>
                <w:p w14:paraId="431760FF">
                  <w:pPr>
                    <w:jc w:val="center"/>
                    <w:rPr>
                      <w:rFonts w:hint="default" w:ascii="Times New Roman" w:hAnsi="Times New Roman" w:cs="Times New Roman" w:eastAsiaTheme="minorEastAsia"/>
                      <w:b/>
                      <w:bCs/>
                      <w:color w:val="auto"/>
                      <w:highlight w:val="none"/>
                    </w:rPr>
                  </w:pPr>
                  <w:r>
                    <w:rPr>
                      <w:rFonts w:hint="default" w:ascii="Times New Roman" w:hAnsi="Times New Roman" w:cs="Times New Roman" w:eastAsiaTheme="minorEastAsia"/>
                      <w:b/>
                      <w:bCs/>
                      <w:color w:val="auto"/>
                      <w:highlight w:val="none"/>
                    </w:rPr>
                    <w:t>治理设施类型</w:t>
                  </w:r>
                </w:p>
              </w:tc>
              <w:tc>
                <w:tcPr>
                  <w:tcW w:w="969" w:type="dxa"/>
                  <w:noWrap w:val="0"/>
                  <w:vAlign w:val="center"/>
                </w:tcPr>
                <w:p w14:paraId="6E39206D">
                  <w:pPr>
                    <w:jc w:val="center"/>
                    <w:rPr>
                      <w:rFonts w:hint="default" w:ascii="Times New Roman" w:hAnsi="Times New Roman" w:cs="Times New Roman" w:eastAsiaTheme="minorEastAsia"/>
                      <w:b/>
                      <w:bCs/>
                      <w:color w:val="auto"/>
                      <w:highlight w:val="none"/>
                    </w:rPr>
                  </w:pPr>
                  <w:r>
                    <w:rPr>
                      <w:rFonts w:hint="default" w:ascii="Times New Roman" w:hAnsi="Times New Roman" w:cs="Times New Roman" w:eastAsiaTheme="minorEastAsia"/>
                      <w:b/>
                      <w:bCs/>
                      <w:color w:val="auto"/>
                      <w:highlight w:val="none"/>
                    </w:rPr>
                    <w:t>污染物</w:t>
                  </w:r>
                </w:p>
              </w:tc>
              <w:tc>
                <w:tcPr>
                  <w:tcW w:w="1200" w:type="dxa"/>
                  <w:noWrap w:val="0"/>
                  <w:vAlign w:val="center"/>
                </w:tcPr>
                <w:p w14:paraId="5A7B8C12">
                  <w:pPr>
                    <w:jc w:val="center"/>
                    <w:rPr>
                      <w:rFonts w:hint="default" w:ascii="Times New Roman" w:hAnsi="Times New Roman" w:cs="Times New Roman" w:eastAsiaTheme="minorEastAsia"/>
                      <w:b/>
                      <w:bCs/>
                      <w:color w:val="auto"/>
                      <w:highlight w:val="none"/>
                    </w:rPr>
                  </w:pPr>
                  <w:r>
                    <w:rPr>
                      <w:rFonts w:hint="default" w:ascii="Times New Roman" w:hAnsi="Times New Roman" w:cs="Times New Roman" w:eastAsiaTheme="minorEastAsia"/>
                      <w:b/>
                      <w:bCs/>
                      <w:color w:val="auto"/>
                      <w:highlight w:val="none"/>
                    </w:rPr>
                    <w:t>去除效率（%）</w:t>
                  </w:r>
                </w:p>
              </w:tc>
              <w:tc>
                <w:tcPr>
                  <w:tcW w:w="3164" w:type="dxa"/>
                  <w:noWrap w:val="0"/>
                  <w:vAlign w:val="center"/>
                </w:tcPr>
                <w:p w14:paraId="29BC9A15">
                  <w:pPr>
                    <w:jc w:val="center"/>
                    <w:rPr>
                      <w:rFonts w:hint="default" w:ascii="Times New Roman" w:hAnsi="Times New Roman" w:cs="Times New Roman" w:eastAsiaTheme="minorEastAsia"/>
                      <w:b/>
                      <w:bCs/>
                      <w:color w:val="auto"/>
                      <w:highlight w:val="none"/>
                    </w:rPr>
                  </w:pPr>
                  <w:r>
                    <w:rPr>
                      <w:rFonts w:hint="default" w:ascii="Times New Roman" w:hAnsi="Times New Roman" w:cs="Times New Roman" w:eastAsiaTheme="minorEastAsia"/>
                      <w:b/>
                      <w:bCs/>
                      <w:color w:val="auto"/>
                      <w:highlight w:val="none"/>
                    </w:rPr>
                    <w:t>除尘效率依据</w:t>
                  </w:r>
                </w:p>
              </w:tc>
              <w:tc>
                <w:tcPr>
                  <w:tcW w:w="1136" w:type="dxa"/>
                  <w:noWrap w:val="0"/>
                  <w:vAlign w:val="center"/>
                </w:tcPr>
                <w:p w14:paraId="57EC44DC">
                  <w:pPr>
                    <w:jc w:val="center"/>
                    <w:rPr>
                      <w:rFonts w:hint="default" w:ascii="Times New Roman" w:hAnsi="Times New Roman" w:cs="Times New Roman" w:eastAsiaTheme="minorEastAsia"/>
                      <w:b/>
                      <w:bCs/>
                      <w:color w:val="auto"/>
                      <w:highlight w:val="none"/>
                    </w:rPr>
                  </w:pPr>
                  <w:r>
                    <w:rPr>
                      <w:rFonts w:hint="default" w:ascii="Times New Roman" w:hAnsi="Times New Roman" w:cs="Times New Roman" w:eastAsiaTheme="minorEastAsia"/>
                      <w:b/>
                      <w:bCs/>
                      <w:color w:val="auto"/>
                      <w:highlight w:val="none"/>
                    </w:rPr>
                    <w:t>涉及工段</w:t>
                  </w:r>
                </w:p>
              </w:tc>
            </w:tr>
            <w:tr w14:paraId="2AA33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2" w:hRule="atLeast"/>
                <w:jc w:val="center"/>
              </w:trPr>
              <w:tc>
                <w:tcPr>
                  <w:tcW w:w="1508" w:type="dxa"/>
                  <w:noWrap w:val="0"/>
                  <w:vAlign w:val="center"/>
                </w:tcPr>
                <w:p w14:paraId="6D08CF1E">
                  <w:pPr>
                    <w:jc w:val="center"/>
                    <w:rPr>
                      <w:rFonts w:hint="default" w:ascii="Times New Roman" w:hAnsi="Times New Roman" w:cs="Times New Roman" w:eastAsiaTheme="minorEastAsia"/>
                      <w:color w:val="auto"/>
                      <w:highlight w:val="none"/>
                      <w:lang w:val="en-US" w:eastAsia="zh-CN"/>
                    </w:rPr>
                  </w:pPr>
                  <w:r>
                    <w:rPr>
                      <w:rFonts w:hint="eastAsia" w:cs="Times New Roman" w:eastAsiaTheme="minorEastAsia"/>
                      <w:color w:val="auto"/>
                      <w:highlight w:val="none"/>
                      <w:lang w:eastAsia="zh-CN"/>
                    </w:rPr>
                    <w:t>袋式除尘装置</w:t>
                  </w:r>
                </w:p>
              </w:tc>
              <w:tc>
                <w:tcPr>
                  <w:tcW w:w="969" w:type="dxa"/>
                  <w:noWrap w:val="0"/>
                  <w:vAlign w:val="center"/>
                </w:tcPr>
                <w:p w14:paraId="6CE26353">
                  <w:pPr>
                    <w:jc w:val="center"/>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颗粒物</w:t>
                  </w:r>
                </w:p>
                <w:p w14:paraId="2C5DC345">
                  <w:pPr>
                    <w:jc w:val="both"/>
                    <w:rPr>
                      <w:rFonts w:hint="default" w:ascii="Times New Roman" w:hAnsi="Times New Roman" w:cs="Times New Roman" w:eastAsiaTheme="minorEastAsia"/>
                      <w:color w:val="auto"/>
                      <w:highlight w:val="none"/>
                    </w:rPr>
                  </w:pPr>
                </w:p>
              </w:tc>
              <w:tc>
                <w:tcPr>
                  <w:tcW w:w="1200" w:type="dxa"/>
                  <w:noWrap w:val="0"/>
                  <w:vAlign w:val="center"/>
                </w:tcPr>
                <w:p w14:paraId="5EBFE34B">
                  <w:pPr>
                    <w:jc w:val="center"/>
                    <w:rPr>
                      <w:rFonts w:hint="default" w:ascii="Times New Roman" w:hAnsi="Times New Roman" w:cs="Times New Roman" w:eastAsiaTheme="minorEastAsia"/>
                      <w:color w:val="auto"/>
                      <w:highlight w:val="none"/>
                      <w:lang w:val="en-US" w:eastAsia="zh-CN"/>
                    </w:rPr>
                  </w:pPr>
                  <w:r>
                    <w:rPr>
                      <w:rFonts w:hint="eastAsia" w:cs="Times New Roman" w:eastAsiaTheme="minorEastAsia"/>
                      <w:color w:val="auto"/>
                      <w:highlight w:val="none"/>
                      <w:lang w:val="en-US" w:eastAsia="zh-CN"/>
                    </w:rPr>
                    <w:t>95（考虑布袋长时间运行，除尘效率下降进行取值）</w:t>
                  </w:r>
                </w:p>
              </w:tc>
              <w:tc>
                <w:tcPr>
                  <w:tcW w:w="3164" w:type="dxa"/>
                  <w:noWrap w:val="0"/>
                  <w:vAlign w:val="center"/>
                </w:tcPr>
                <w:p w14:paraId="77A32EB6">
                  <w:pPr>
                    <w:jc w:val="center"/>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根据《排放源统计调查产排污核算方法和系数手册》中的（2663 林产化学品制造行业系数手册总除尘效率</w:t>
                  </w:r>
                  <w:r>
                    <w:rPr>
                      <w:rFonts w:hint="eastAsia" w:cs="Times New Roman" w:eastAsiaTheme="minorEastAsia"/>
                      <w:color w:val="auto"/>
                      <w:highlight w:val="none"/>
                      <w:lang w:val="en-US" w:eastAsia="zh-CN"/>
                    </w:rPr>
                    <w:t>99</w:t>
                  </w:r>
                  <w:r>
                    <w:rPr>
                      <w:rFonts w:hint="default" w:ascii="Times New Roman" w:hAnsi="Times New Roman" w:cs="Times New Roman" w:eastAsiaTheme="minorEastAsia"/>
                      <w:color w:val="auto"/>
                      <w:highlight w:val="none"/>
                    </w:rPr>
                    <w:t>%</w:t>
                  </w:r>
                </w:p>
              </w:tc>
              <w:tc>
                <w:tcPr>
                  <w:tcW w:w="1136" w:type="dxa"/>
                  <w:noWrap w:val="0"/>
                  <w:vAlign w:val="center"/>
                </w:tcPr>
                <w:p w14:paraId="5246237B">
                  <w:pPr>
                    <w:jc w:val="center"/>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烘干、制棒、炭化工段</w:t>
                  </w:r>
                </w:p>
              </w:tc>
            </w:tr>
            <w:tr w14:paraId="1F330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1508" w:type="dxa"/>
                  <w:noWrap w:val="0"/>
                  <w:vAlign w:val="center"/>
                </w:tcPr>
                <w:p w14:paraId="53A454D3">
                  <w:pPr>
                    <w:jc w:val="center"/>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燃烧法</w:t>
                  </w:r>
                </w:p>
              </w:tc>
              <w:tc>
                <w:tcPr>
                  <w:tcW w:w="969" w:type="dxa"/>
                  <w:noWrap w:val="0"/>
                  <w:vAlign w:val="center"/>
                </w:tcPr>
                <w:p w14:paraId="1C07CF6D">
                  <w:pPr>
                    <w:jc w:val="center"/>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非甲烷总烃</w:t>
                  </w:r>
                </w:p>
              </w:tc>
              <w:tc>
                <w:tcPr>
                  <w:tcW w:w="1200" w:type="dxa"/>
                  <w:noWrap w:val="0"/>
                  <w:vAlign w:val="center"/>
                </w:tcPr>
                <w:p w14:paraId="02E956F9">
                  <w:pPr>
                    <w:jc w:val="center"/>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70</w:t>
                  </w:r>
                </w:p>
              </w:tc>
              <w:tc>
                <w:tcPr>
                  <w:tcW w:w="3164" w:type="dxa"/>
                  <w:noWrap w:val="0"/>
                  <w:vAlign w:val="center"/>
                </w:tcPr>
                <w:p w14:paraId="4C21F33C">
                  <w:pPr>
                    <w:jc w:val="center"/>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参照2018年四川省生态环境科学研究院实际监测情况，VOCs处理效率取值</w:t>
                  </w:r>
                </w:p>
              </w:tc>
              <w:tc>
                <w:tcPr>
                  <w:tcW w:w="1136" w:type="dxa"/>
                  <w:noWrap w:val="0"/>
                  <w:vAlign w:val="center"/>
                </w:tcPr>
                <w:p w14:paraId="518B6EB7">
                  <w:pPr>
                    <w:jc w:val="center"/>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炭化工段</w:t>
                  </w:r>
                </w:p>
              </w:tc>
            </w:tr>
          </w:tbl>
          <w:p w14:paraId="1EF68273">
            <w:pPr>
              <w:pStyle w:val="11"/>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⑦汽车尾气</w:t>
            </w:r>
          </w:p>
          <w:p w14:paraId="2E94FB36">
            <w:pPr>
              <w:pStyle w:val="12"/>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本项目运行时原料及产品运输车辆进出入时，产生的少量尾气，其中包括CO、HC化合物、NOx等污染物，属于无组织排放，通过空气自然扩散。</w:t>
            </w:r>
          </w:p>
          <w:p w14:paraId="67171180">
            <w:pPr>
              <w:spacing w:line="360" w:lineRule="auto"/>
              <w:ind w:firstLine="482" w:firstLineChars="200"/>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（4）废气治理技术可行性及达标性分析</w:t>
            </w:r>
          </w:p>
          <w:p w14:paraId="3426174F">
            <w:p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本次废气达标性分析主要参考《排污许可证申请与核发技术规范 专用化学产品制造工业》（HJ1103-2020）、《排污许可证申请与核发技术规范 工业炉窑》（ HJ 1121—2020）、根据《排放源统计调查产排污核算方法和系数手册》中的（2663 林产化学品制造行业系数手册）2.3 系数表中未涉及的产污系数及污染治理效率、排放源统计调查产排污核算方法和系数手册4430工业锅炉（热力供应）行业系数手册计算；本项目各工段废气治理设施达标性分析详见表4-5。</w:t>
            </w:r>
          </w:p>
          <w:p w14:paraId="294D5DD9">
            <w:pPr>
              <w:pStyle w:val="22"/>
              <w:ind w:left="0" w:leftChars="0" w:firstLine="0"/>
              <w:jc w:val="center"/>
              <w:rPr>
                <w:rFonts w:hint="default" w:ascii="Times New Roman" w:hAnsi="Times New Roman" w:cs="Times New Roman" w:eastAsiaTheme="minorEastAsia"/>
                <w:bCs/>
                <w:color w:val="auto"/>
                <w:sz w:val="24"/>
              </w:rPr>
            </w:pPr>
            <w:r>
              <w:rPr>
                <w:rFonts w:hint="default" w:ascii="Times New Roman" w:hAnsi="Times New Roman" w:cs="Times New Roman" w:eastAsiaTheme="minorEastAsia"/>
                <w:b/>
                <w:color w:val="auto"/>
                <w:kern w:val="0"/>
                <w:sz w:val="24"/>
              </w:rPr>
              <w:t>表4-5项目各工段废气治理设施达标性分析表</w:t>
            </w:r>
          </w:p>
          <w:tbl>
            <w:tblPr>
              <w:tblStyle w:val="23"/>
              <w:tblW w:w="50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944"/>
              <w:gridCol w:w="1478"/>
              <w:gridCol w:w="2054"/>
              <w:gridCol w:w="1425"/>
              <w:gridCol w:w="1348"/>
            </w:tblGrid>
            <w:tr w14:paraId="48E4E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433" w:type="pct"/>
                  <w:noWrap w:val="0"/>
                  <w:vAlign w:val="center"/>
                </w:tcPr>
                <w:p w14:paraId="3E4962DF">
                  <w:pPr>
                    <w:pStyle w:val="5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污染源</w:t>
                  </w:r>
                </w:p>
              </w:tc>
              <w:tc>
                <w:tcPr>
                  <w:tcW w:w="594" w:type="pct"/>
                  <w:noWrap w:val="0"/>
                  <w:vAlign w:val="center"/>
                </w:tcPr>
                <w:p w14:paraId="773C50B8">
                  <w:pPr>
                    <w:pStyle w:val="5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污染物名称</w:t>
                  </w:r>
                </w:p>
              </w:tc>
              <w:tc>
                <w:tcPr>
                  <w:tcW w:w="931" w:type="pct"/>
                  <w:noWrap w:val="0"/>
                  <w:vAlign w:val="center"/>
                </w:tcPr>
                <w:p w14:paraId="67726B8F">
                  <w:pPr>
                    <w:pStyle w:val="5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color w:val="auto"/>
                      <w:szCs w:val="21"/>
                    </w:rPr>
                    <w:t>可行技术</w:t>
                  </w:r>
                </w:p>
              </w:tc>
              <w:tc>
                <w:tcPr>
                  <w:tcW w:w="1293" w:type="pct"/>
                  <w:noWrap w:val="0"/>
                  <w:vAlign w:val="center"/>
                </w:tcPr>
                <w:p w14:paraId="111DA375">
                  <w:pPr>
                    <w:pStyle w:val="5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项目使用治理技术</w:t>
                  </w:r>
                </w:p>
              </w:tc>
              <w:tc>
                <w:tcPr>
                  <w:tcW w:w="897" w:type="pct"/>
                  <w:noWrap w:val="0"/>
                  <w:vAlign w:val="center"/>
                </w:tcPr>
                <w:p w14:paraId="2FC3568F">
                  <w:pPr>
                    <w:pStyle w:val="5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参照对比情况</w:t>
                  </w:r>
                </w:p>
              </w:tc>
              <w:tc>
                <w:tcPr>
                  <w:tcW w:w="849" w:type="pct"/>
                  <w:noWrap w:val="0"/>
                  <w:vAlign w:val="center"/>
                </w:tcPr>
                <w:p w14:paraId="47FF9138">
                  <w:pPr>
                    <w:pStyle w:val="5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达标情况</w:t>
                  </w:r>
                </w:p>
              </w:tc>
            </w:tr>
            <w:tr w14:paraId="126AF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433" w:type="pct"/>
                  <w:vMerge w:val="restart"/>
                  <w:noWrap w:val="0"/>
                  <w:vAlign w:val="center"/>
                </w:tcPr>
                <w:p w14:paraId="63D1697E">
                  <w:pPr>
                    <w:pStyle w:val="5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烘干、制棒、炭化废气</w:t>
                  </w:r>
                </w:p>
                <w:p w14:paraId="4DA15D34">
                  <w:pPr>
                    <w:pStyle w:val="50"/>
                    <w:jc w:val="center"/>
                    <w:rPr>
                      <w:rFonts w:hint="default" w:ascii="Times New Roman" w:hAnsi="Times New Roman" w:cs="Times New Roman" w:eastAsiaTheme="minorEastAsia"/>
                      <w:color w:val="auto"/>
                      <w:szCs w:val="21"/>
                    </w:rPr>
                  </w:pPr>
                </w:p>
              </w:tc>
              <w:tc>
                <w:tcPr>
                  <w:tcW w:w="594" w:type="pct"/>
                  <w:noWrap w:val="0"/>
                  <w:vAlign w:val="center"/>
                </w:tcPr>
                <w:p w14:paraId="0FE8AAB8">
                  <w:pPr>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颗粒物</w:t>
                  </w:r>
                </w:p>
              </w:tc>
              <w:tc>
                <w:tcPr>
                  <w:tcW w:w="931" w:type="pct"/>
                  <w:noWrap w:val="0"/>
                  <w:vAlign w:val="center"/>
                </w:tcPr>
                <w:p w14:paraId="628ADE40">
                  <w:pPr>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电除尘、袋式除尘</w:t>
                  </w:r>
                </w:p>
              </w:tc>
              <w:tc>
                <w:tcPr>
                  <w:tcW w:w="1293" w:type="pct"/>
                  <w:noWrap w:val="0"/>
                  <w:vAlign w:val="center"/>
                </w:tcPr>
                <w:p w14:paraId="60F888AC">
                  <w:pPr>
                    <w:pStyle w:val="50"/>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eastAsiaTheme="minorEastAsia"/>
                      <w:color w:val="auto"/>
                      <w:szCs w:val="21"/>
                    </w:rPr>
                    <w:t>燃烧+</w:t>
                  </w:r>
                  <w:r>
                    <w:rPr>
                      <w:rFonts w:hint="default" w:ascii="Times New Roman" w:hAnsi="Times New Roman" w:cs="Times New Roman" w:eastAsiaTheme="minorEastAsia"/>
                      <w:color w:val="auto"/>
                      <w:szCs w:val="21"/>
                      <w:lang w:eastAsia="zh-CN"/>
                    </w:rPr>
                    <w:t>袋式（</w:t>
                  </w:r>
                  <w:r>
                    <w:rPr>
                      <w:rFonts w:hint="default" w:ascii="Times New Roman" w:hAnsi="Times New Roman" w:cs="Times New Roman" w:eastAsiaTheme="minorEastAsia"/>
                      <w:color w:val="auto"/>
                      <w:szCs w:val="21"/>
                    </w:rPr>
                    <w:t>去除效率</w:t>
                  </w:r>
                  <w:r>
                    <w:rPr>
                      <w:rFonts w:hint="eastAsia" w:cs="Times New Roman" w:eastAsiaTheme="minorEastAsia"/>
                      <w:color w:val="auto"/>
                      <w:szCs w:val="21"/>
                      <w:lang w:val="en-US" w:eastAsia="zh-CN"/>
                    </w:rPr>
                    <w:t>95%</w:t>
                  </w:r>
                  <w:r>
                    <w:rPr>
                      <w:rFonts w:hint="default" w:ascii="Times New Roman" w:hAnsi="Times New Roman" w:cs="Times New Roman" w:eastAsiaTheme="minorEastAsia"/>
                      <w:color w:val="auto"/>
                      <w:szCs w:val="21"/>
                      <w:lang w:eastAsia="zh-CN"/>
                    </w:rPr>
                    <w:t>）</w:t>
                  </w:r>
                </w:p>
              </w:tc>
              <w:tc>
                <w:tcPr>
                  <w:tcW w:w="897" w:type="pct"/>
                  <w:noWrap w:val="0"/>
                  <w:vAlign w:val="center"/>
                </w:tcPr>
                <w:p w14:paraId="1DDBF31D">
                  <w:pPr>
                    <w:pStyle w:val="5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满足</w:t>
                  </w:r>
                </w:p>
              </w:tc>
              <w:tc>
                <w:tcPr>
                  <w:tcW w:w="849" w:type="pct"/>
                  <w:noWrap w:val="0"/>
                  <w:vAlign w:val="center"/>
                </w:tcPr>
                <w:p w14:paraId="7885FE8D">
                  <w:pPr>
                    <w:pStyle w:val="5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达标</w:t>
                  </w:r>
                </w:p>
              </w:tc>
            </w:tr>
            <w:tr w14:paraId="19482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433" w:type="pct"/>
                  <w:vMerge w:val="continue"/>
                  <w:noWrap w:val="0"/>
                  <w:vAlign w:val="center"/>
                </w:tcPr>
                <w:p w14:paraId="2E9A03CC">
                  <w:pPr>
                    <w:jc w:val="center"/>
                    <w:rPr>
                      <w:rFonts w:hint="default" w:ascii="Times New Roman" w:hAnsi="Times New Roman" w:cs="Times New Roman" w:eastAsiaTheme="minorEastAsia"/>
                      <w:color w:val="auto"/>
                    </w:rPr>
                  </w:pPr>
                </w:p>
              </w:tc>
              <w:tc>
                <w:tcPr>
                  <w:tcW w:w="594" w:type="pct"/>
                  <w:noWrap w:val="0"/>
                  <w:vAlign w:val="center"/>
                </w:tcPr>
                <w:p w14:paraId="01F516DE">
                  <w:pPr>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挥发性有机物（非甲烷总烃）</w:t>
                  </w:r>
                </w:p>
              </w:tc>
              <w:tc>
                <w:tcPr>
                  <w:tcW w:w="931" w:type="pct"/>
                  <w:noWrap w:val="0"/>
                  <w:vAlign w:val="center"/>
                </w:tcPr>
                <w:p w14:paraId="4CE15868">
                  <w:pPr>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冷凝、吸附、燃烧</w:t>
                  </w:r>
                </w:p>
              </w:tc>
              <w:tc>
                <w:tcPr>
                  <w:tcW w:w="1293" w:type="pct"/>
                  <w:noWrap w:val="0"/>
                  <w:vAlign w:val="center"/>
                </w:tcPr>
                <w:p w14:paraId="0748A911">
                  <w:pPr>
                    <w:pStyle w:val="5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燃烧（去除效率70%）</w:t>
                  </w:r>
                </w:p>
              </w:tc>
              <w:tc>
                <w:tcPr>
                  <w:tcW w:w="897" w:type="pct"/>
                  <w:noWrap w:val="0"/>
                  <w:vAlign w:val="center"/>
                </w:tcPr>
                <w:p w14:paraId="39806B04">
                  <w:pPr>
                    <w:pStyle w:val="5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满足</w:t>
                  </w:r>
                </w:p>
              </w:tc>
              <w:tc>
                <w:tcPr>
                  <w:tcW w:w="849" w:type="pct"/>
                  <w:noWrap w:val="0"/>
                  <w:vAlign w:val="center"/>
                </w:tcPr>
                <w:p w14:paraId="70BCB2C2">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达标</w:t>
                  </w:r>
                </w:p>
              </w:tc>
            </w:tr>
            <w:tr w14:paraId="70ED5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3" w:type="pct"/>
                  <w:vMerge w:val="continue"/>
                  <w:noWrap w:val="0"/>
                  <w:vAlign w:val="center"/>
                </w:tcPr>
                <w:p w14:paraId="38575FF0">
                  <w:pPr>
                    <w:jc w:val="center"/>
                    <w:rPr>
                      <w:rFonts w:hint="default" w:ascii="Times New Roman" w:hAnsi="Times New Roman" w:cs="Times New Roman" w:eastAsiaTheme="minorEastAsia"/>
                      <w:color w:val="auto"/>
                    </w:rPr>
                  </w:pPr>
                </w:p>
              </w:tc>
              <w:tc>
                <w:tcPr>
                  <w:tcW w:w="594" w:type="pct"/>
                  <w:noWrap w:val="0"/>
                  <w:vAlign w:val="center"/>
                </w:tcPr>
                <w:p w14:paraId="3840D359">
                  <w:pPr>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二氧化碳</w:t>
                  </w:r>
                </w:p>
              </w:tc>
              <w:tc>
                <w:tcPr>
                  <w:tcW w:w="931" w:type="pct"/>
                  <w:noWrap w:val="0"/>
                  <w:vAlign w:val="center"/>
                </w:tcPr>
                <w:p w14:paraId="4978E28F">
                  <w:pPr>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湿法脱硫、半干法脱硫、干法脱硫、氧化镁法</w:t>
                  </w:r>
                </w:p>
              </w:tc>
              <w:tc>
                <w:tcPr>
                  <w:tcW w:w="1293" w:type="pct"/>
                  <w:noWrap w:val="0"/>
                  <w:vAlign w:val="center"/>
                </w:tcPr>
                <w:p w14:paraId="6DC9C261">
                  <w:pPr>
                    <w:pStyle w:val="5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w:t>
                  </w:r>
                </w:p>
              </w:tc>
              <w:tc>
                <w:tcPr>
                  <w:tcW w:w="897" w:type="pct"/>
                  <w:noWrap w:val="0"/>
                  <w:vAlign w:val="center"/>
                </w:tcPr>
                <w:p w14:paraId="3764AC93">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w:t>
                  </w:r>
                </w:p>
              </w:tc>
              <w:tc>
                <w:tcPr>
                  <w:tcW w:w="849" w:type="pct"/>
                  <w:noWrap w:val="0"/>
                  <w:vAlign w:val="center"/>
                </w:tcPr>
                <w:p w14:paraId="0FDD97BF">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根据计算达标</w:t>
                  </w:r>
                </w:p>
              </w:tc>
            </w:tr>
            <w:tr w14:paraId="73EE0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jc w:val="center"/>
              </w:trPr>
              <w:tc>
                <w:tcPr>
                  <w:tcW w:w="433" w:type="pct"/>
                  <w:vMerge w:val="continue"/>
                  <w:noWrap w:val="0"/>
                  <w:vAlign w:val="center"/>
                </w:tcPr>
                <w:p w14:paraId="1EF5D27D">
                  <w:pPr>
                    <w:jc w:val="center"/>
                    <w:rPr>
                      <w:rFonts w:hint="default" w:ascii="Times New Roman" w:hAnsi="Times New Roman" w:cs="Times New Roman" w:eastAsiaTheme="minorEastAsia"/>
                      <w:color w:val="auto"/>
                    </w:rPr>
                  </w:pPr>
                </w:p>
              </w:tc>
              <w:tc>
                <w:tcPr>
                  <w:tcW w:w="594" w:type="pct"/>
                  <w:noWrap w:val="0"/>
                  <w:vAlign w:val="center"/>
                </w:tcPr>
                <w:p w14:paraId="59EA06E7">
                  <w:pPr>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氮氧化物</w:t>
                  </w:r>
                </w:p>
              </w:tc>
              <w:tc>
                <w:tcPr>
                  <w:tcW w:w="931" w:type="pct"/>
                  <w:noWrap w:val="0"/>
                  <w:vAlign w:val="center"/>
                </w:tcPr>
                <w:p w14:paraId="6A9A13B3">
                  <w:pPr>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选催化还原法（SCR、SNCR）、低氮燃烧法</w:t>
                  </w:r>
                </w:p>
              </w:tc>
              <w:tc>
                <w:tcPr>
                  <w:tcW w:w="1293" w:type="pct"/>
                  <w:noWrap w:val="0"/>
                  <w:vAlign w:val="center"/>
                </w:tcPr>
                <w:p w14:paraId="5F527213">
                  <w:pPr>
                    <w:pStyle w:val="5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w:t>
                  </w:r>
                </w:p>
              </w:tc>
              <w:tc>
                <w:tcPr>
                  <w:tcW w:w="897" w:type="pct"/>
                  <w:noWrap w:val="0"/>
                  <w:vAlign w:val="center"/>
                </w:tcPr>
                <w:p w14:paraId="768C79EF">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w:t>
                  </w:r>
                </w:p>
              </w:tc>
              <w:tc>
                <w:tcPr>
                  <w:tcW w:w="849" w:type="pct"/>
                  <w:noWrap w:val="0"/>
                  <w:vAlign w:val="center"/>
                </w:tcPr>
                <w:p w14:paraId="60C3C5C5">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根据计算达标</w:t>
                  </w:r>
                </w:p>
              </w:tc>
            </w:tr>
          </w:tbl>
          <w:p w14:paraId="0326E7B5">
            <w:pPr>
              <w:pStyle w:val="10"/>
              <w:spacing w:line="360" w:lineRule="auto"/>
              <w:ind w:firstLine="480" w:firstLineChars="20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bCs/>
                <w:color w:val="auto"/>
                <w:kern w:val="2"/>
                <w:szCs w:val="24"/>
                <w:highlight w:val="none"/>
              </w:rPr>
              <w:t xml:space="preserve"> </w:t>
            </w:r>
            <w:r>
              <w:rPr>
                <w:rFonts w:hint="default" w:ascii="Times New Roman" w:hAnsi="Times New Roman" w:cs="Times New Roman" w:eastAsiaTheme="minorEastAsia"/>
                <w:color w:val="auto"/>
                <w:szCs w:val="24"/>
                <w:highlight w:val="none"/>
              </w:rPr>
              <w:t>项目主要废气为烘干机、制棒、炭化工段废气，</w:t>
            </w:r>
            <w:r>
              <w:rPr>
                <w:rFonts w:hint="default" w:ascii="Times New Roman" w:hAnsi="Times New Roman" w:eastAsia="宋体" w:cs="Times New Roman"/>
                <w:color w:val="FF0000"/>
                <w:sz w:val="24"/>
                <w:szCs w:val="24"/>
                <w:highlight w:val="none"/>
              </w:rPr>
              <w:t>炭化</w:t>
            </w:r>
            <w:r>
              <w:rPr>
                <w:rFonts w:hint="eastAsia" w:ascii="Times New Roman" w:hAnsi="Times New Roman" w:eastAsia="宋体" w:cs="Times New Roman"/>
                <w:color w:val="FF0000"/>
                <w:sz w:val="24"/>
                <w:szCs w:val="24"/>
                <w:highlight w:val="none"/>
                <w:lang w:eastAsia="zh-CN"/>
              </w:rPr>
              <w:t>、</w:t>
            </w:r>
            <w:r>
              <w:rPr>
                <w:rFonts w:hint="default" w:ascii="Times New Roman" w:hAnsi="Times New Roman" w:eastAsia="宋体" w:cs="Times New Roman"/>
                <w:color w:val="FF0000"/>
                <w:sz w:val="24"/>
                <w:szCs w:val="24"/>
                <w:highlight w:val="none"/>
                <w:lang w:eastAsia="zh-CN"/>
              </w:rPr>
              <w:t>制棒废气</w:t>
            </w:r>
            <w:r>
              <w:rPr>
                <w:rFonts w:hint="eastAsia" w:ascii="Times New Roman" w:hAnsi="Times New Roman" w:eastAsia="宋体" w:cs="Times New Roman"/>
                <w:color w:val="FF0000"/>
                <w:sz w:val="24"/>
                <w:szCs w:val="24"/>
                <w:highlight w:val="none"/>
                <w:lang w:val="en-US" w:eastAsia="zh-CN"/>
              </w:rPr>
              <w:t>引入热风炉</w:t>
            </w:r>
            <w:r>
              <w:rPr>
                <w:rFonts w:hint="default" w:ascii="Times New Roman" w:hAnsi="Times New Roman" w:eastAsia="宋体" w:cs="Times New Roman"/>
                <w:color w:val="FF0000"/>
                <w:sz w:val="24"/>
                <w:szCs w:val="24"/>
                <w:highlight w:val="none"/>
              </w:rPr>
              <w:t>燃烧处理</w:t>
            </w:r>
            <w:r>
              <w:rPr>
                <w:rFonts w:hint="eastAsia" w:ascii="Times New Roman" w:hAnsi="Times New Roman" w:eastAsia="宋体" w:cs="Times New Roman"/>
                <w:color w:val="FF0000"/>
                <w:sz w:val="24"/>
                <w:szCs w:val="24"/>
                <w:highlight w:val="none"/>
                <w:lang w:val="en-US" w:eastAsia="zh-CN"/>
              </w:rPr>
              <w:t>后</w:t>
            </w:r>
            <w:r>
              <w:rPr>
                <w:rFonts w:hint="default" w:ascii="Times New Roman" w:hAnsi="Times New Roman" w:eastAsia="宋体" w:cs="Times New Roman"/>
                <w:color w:val="FF0000"/>
                <w:sz w:val="24"/>
                <w:szCs w:val="24"/>
                <w:highlight w:val="none"/>
                <w:lang w:val="en-US" w:eastAsia="zh-CN"/>
              </w:rPr>
              <w:t>同烘干废气一并经</w:t>
            </w:r>
            <w:r>
              <w:rPr>
                <w:rFonts w:hint="eastAsia" w:cs="Times New Roman"/>
                <w:color w:val="FF0000"/>
                <w:sz w:val="24"/>
                <w:szCs w:val="24"/>
                <w:highlight w:val="none"/>
                <w:lang w:val="en-US" w:eastAsia="zh-CN"/>
              </w:rPr>
              <w:t>旋风分离器、</w:t>
            </w:r>
            <w:r>
              <w:rPr>
                <w:rFonts w:hint="default" w:ascii="Times New Roman" w:hAnsi="Times New Roman" w:eastAsia="宋体" w:cs="Times New Roman"/>
                <w:color w:val="FF0000"/>
                <w:sz w:val="24"/>
                <w:szCs w:val="24"/>
                <w:highlight w:val="none"/>
                <w:lang w:eastAsia="zh-CN"/>
              </w:rPr>
              <w:t>袋式除尘器</w:t>
            </w:r>
            <w:r>
              <w:rPr>
                <w:rFonts w:hint="eastAsia" w:ascii="Times New Roman" w:hAnsi="Times New Roman" w:eastAsia="宋体" w:cs="Times New Roman"/>
                <w:color w:val="FF0000"/>
                <w:sz w:val="24"/>
                <w:szCs w:val="24"/>
                <w:highlight w:val="none"/>
                <w:lang w:eastAsia="zh-CN"/>
              </w:rPr>
              <w:t>（</w:t>
            </w:r>
            <w:r>
              <w:rPr>
                <w:rFonts w:hint="eastAsia" w:cs="Times New Roman" w:eastAsiaTheme="minorEastAsia"/>
                <w:color w:val="auto"/>
                <w:szCs w:val="24"/>
                <w:highlight w:val="none"/>
                <w:lang w:val="en-US" w:eastAsia="zh-CN"/>
              </w:rPr>
              <w:t>除尘效率取95%</w:t>
            </w:r>
            <w:r>
              <w:rPr>
                <w:rFonts w:hint="eastAsia" w:cs="Times New Roman" w:eastAsiaTheme="minorEastAsia"/>
                <w:color w:val="auto"/>
                <w:szCs w:val="24"/>
                <w:highlight w:val="none"/>
                <w:lang w:eastAsia="zh-CN"/>
              </w:rPr>
              <w:t>”</w:t>
            </w:r>
            <w:r>
              <w:rPr>
                <w:rFonts w:hint="eastAsia" w:ascii="Times New Roman" w:hAnsi="Times New Roman" w:eastAsia="宋体" w:cs="Times New Roman"/>
                <w:color w:val="FF0000"/>
                <w:sz w:val="24"/>
                <w:szCs w:val="24"/>
                <w:highlight w:val="none"/>
                <w:lang w:eastAsia="zh-CN"/>
              </w:rPr>
              <w:t>）</w:t>
            </w:r>
            <w:r>
              <w:rPr>
                <w:rFonts w:hint="default" w:ascii="Times New Roman" w:hAnsi="Times New Roman" w:eastAsia="宋体" w:cs="Times New Roman"/>
                <w:color w:val="FF0000"/>
                <w:sz w:val="24"/>
                <w:szCs w:val="24"/>
                <w:highlight w:val="none"/>
              </w:rPr>
              <w:t>处理后经15m高排气筒（DA001）外排</w:t>
            </w:r>
            <w:r>
              <w:rPr>
                <w:rFonts w:hint="eastAsia" w:ascii="Times New Roman" w:hAnsi="Times New Roman" w:eastAsia="宋体" w:cs="Times New Roman"/>
                <w:color w:val="FF0000"/>
                <w:sz w:val="24"/>
                <w:szCs w:val="24"/>
                <w:highlight w:val="none"/>
                <w:lang w:eastAsia="zh-CN"/>
              </w:rPr>
              <w:t>；</w:t>
            </w:r>
            <w:r>
              <w:rPr>
                <w:rFonts w:hint="eastAsia" w:ascii="Times New Roman" w:hAnsi="Times New Roman" w:eastAsia="宋体" w:cs="Times New Roman"/>
                <w:color w:val="FF0000"/>
                <w:sz w:val="24"/>
                <w:szCs w:val="24"/>
                <w:highlight w:val="none"/>
                <w:lang w:val="en-US" w:eastAsia="zh-CN"/>
              </w:rPr>
              <w:t>外排</w:t>
            </w:r>
            <w:r>
              <w:rPr>
                <w:rFonts w:hint="default" w:ascii="Times New Roman" w:hAnsi="Times New Roman" w:cs="Times New Roman" w:eastAsiaTheme="minorEastAsia"/>
                <w:color w:val="auto"/>
                <w:szCs w:val="24"/>
                <w:highlight w:val="none"/>
              </w:rPr>
              <w:t>颗粒物排放量为</w:t>
            </w:r>
            <w:r>
              <w:rPr>
                <w:rFonts w:hint="eastAsia" w:cs="Times New Roman" w:eastAsiaTheme="minorEastAsia"/>
                <w:color w:val="auto"/>
                <w:szCs w:val="24"/>
                <w:highlight w:val="none"/>
                <w:lang w:val="en-US" w:eastAsia="zh-CN"/>
              </w:rPr>
              <w:t>29.33</w:t>
            </w:r>
            <w:r>
              <w:rPr>
                <w:rFonts w:hint="default" w:ascii="Times New Roman" w:hAnsi="Times New Roman" w:cs="Times New Roman" w:eastAsiaTheme="minorEastAsia"/>
                <w:color w:val="auto"/>
                <w:szCs w:val="24"/>
                <w:highlight w:val="none"/>
              </w:rPr>
              <w:t>t/a  排放浓度</w:t>
            </w:r>
            <w:r>
              <w:rPr>
                <w:rFonts w:hint="eastAsia" w:cs="Times New Roman" w:eastAsiaTheme="minorEastAsia"/>
                <w:color w:val="auto"/>
                <w:szCs w:val="24"/>
                <w:highlight w:val="none"/>
                <w:lang w:val="en-US" w:eastAsia="zh-CN"/>
              </w:rPr>
              <w:t>67.52</w:t>
            </w:r>
            <w:r>
              <w:rPr>
                <w:rFonts w:hint="default" w:ascii="Times New Roman" w:hAnsi="Times New Roman" w:cs="Times New Roman" w:eastAsiaTheme="minorEastAsia"/>
                <w:color w:val="auto"/>
                <w:szCs w:val="24"/>
                <w:highlight w:val="none"/>
              </w:rPr>
              <w:t>mg/m</w:t>
            </w:r>
            <w:r>
              <w:rPr>
                <w:rFonts w:hint="default" w:ascii="Times New Roman" w:hAnsi="Times New Roman" w:cs="Times New Roman" w:eastAsiaTheme="minorEastAsia"/>
                <w:color w:val="auto"/>
                <w:szCs w:val="24"/>
                <w:highlight w:val="none"/>
                <w:vertAlign w:val="superscript"/>
              </w:rPr>
              <w:t>3</w:t>
            </w:r>
            <w:r>
              <w:rPr>
                <w:rFonts w:hint="default" w:ascii="Times New Roman" w:hAnsi="Times New Roman" w:cs="Times New Roman" w:eastAsiaTheme="minorEastAsia"/>
                <w:color w:val="auto"/>
                <w:szCs w:val="24"/>
                <w:highlight w:val="none"/>
              </w:rPr>
              <w:t>，</w:t>
            </w:r>
            <w:r>
              <w:rPr>
                <w:rFonts w:hint="eastAsia" w:ascii="Times New Roman" w:hAnsi="Times New Roman" w:cs="Times New Roman" w:eastAsiaTheme="minorEastAsia"/>
                <w:color w:val="FF0000"/>
                <w:szCs w:val="24"/>
                <w:highlight w:val="none"/>
                <w:lang w:eastAsia="zh-CN"/>
              </w:rPr>
              <w:t>挥发性有机物（</w:t>
            </w:r>
            <w:r>
              <w:rPr>
                <w:rFonts w:hint="default" w:ascii="Times New Roman" w:hAnsi="Times New Roman" w:cs="Times New Roman" w:eastAsiaTheme="minorEastAsia"/>
                <w:color w:val="FF0000"/>
                <w:szCs w:val="24"/>
                <w:highlight w:val="none"/>
              </w:rPr>
              <w:t>非甲烷总烃</w:t>
            </w:r>
            <w:r>
              <w:rPr>
                <w:rFonts w:hint="eastAsia" w:ascii="Times New Roman" w:hAnsi="Times New Roman" w:cs="Times New Roman" w:eastAsiaTheme="minorEastAsia"/>
                <w:color w:val="FF0000"/>
                <w:szCs w:val="24"/>
                <w:highlight w:val="none"/>
                <w:lang w:eastAsia="zh-CN"/>
              </w:rPr>
              <w:t>）</w:t>
            </w:r>
            <w:r>
              <w:rPr>
                <w:rFonts w:hint="default" w:ascii="Times New Roman" w:hAnsi="Times New Roman" w:cs="Times New Roman" w:eastAsiaTheme="minorEastAsia"/>
                <w:color w:val="FF0000"/>
                <w:szCs w:val="24"/>
                <w:highlight w:val="none"/>
              </w:rPr>
              <w:t>排放量为</w:t>
            </w:r>
            <w:r>
              <w:rPr>
                <w:rFonts w:hint="eastAsia" w:cs="Times New Roman" w:eastAsiaTheme="minorEastAsia"/>
                <w:color w:val="FF0000"/>
                <w:szCs w:val="24"/>
                <w:highlight w:val="none"/>
                <w:lang w:val="en-US" w:eastAsia="zh-CN"/>
              </w:rPr>
              <w:t>2.304</w:t>
            </w:r>
            <w:r>
              <w:rPr>
                <w:rFonts w:hint="default" w:ascii="Times New Roman" w:hAnsi="Times New Roman" w:cs="Times New Roman" w:eastAsiaTheme="minorEastAsia"/>
                <w:color w:val="FF0000"/>
                <w:szCs w:val="24"/>
                <w:highlight w:val="none"/>
              </w:rPr>
              <w:t>t/a；排放浓度为</w:t>
            </w:r>
            <w:r>
              <w:rPr>
                <w:rFonts w:hint="eastAsia" w:cs="Times New Roman" w:eastAsiaTheme="minorEastAsia"/>
                <w:color w:val="FF0000"/>
                <w:szCs w:val="24"/>
                <w:highlight w:val="none"/>
                <w:lang w:val="en-US" w:eastAsia="zh-CN"/>
              </w:rPr>
              <w:t>5.304</w:t>
            </w:r>
            <w:r>
              <w:rPr>
                <w:rFonts w:hint="default" w:ascii="Times New Roman" w:hAnsi="Times New Roman" w:cs="Times New Roman" w:eastAsiaTheme="minorEastAsia"/>
                <w:color w:val="FF0000"/>
                <w:szCs w:val="24"/>
                <w:highlight w:val="none"/>
              </w:rPr>
              <w:t>mg/m</w:t>
            </w:r>
            <w:r>
              <w:rPr>
                <w:rFonts w:hint="default" w:ascii="Times New Roman" w:hAnsi="Times New Roman" w:cs="Times New Roman" w:eastAsiaTheme="minorEastAsia"/>
                <w:color w:val="FF0000"/>
                <w:szCs w:val="24"/>
                <w:highlight w:val="none"/>
                <w:vertAlign w:val="superscript"/>
              </w:rPr>
              <w:t>3</w:t>
            </w:r>
            <w:r>
              <w:rPr>
                <w:rFonts w:hint="default" w:ascii="Times New Roman" w:hAnsi="Times New Roman" w:cs="Times New Roman" w:eastAsiaTheme="minorEastAsia"/>
                <w:color w:val="FF0000"/>
                <w:szCs w:val="24"/>
                <w:highlight w:val="none"/>
              </w:rPr>
              <w:t>；</w:t>
            </w:r>
            <w:r>
              <w:rPr>
                <w:rFonts w:hint="default" w:ascii="Times New Roman" w:hAnsi="Times New Roman" w:cs="Times New Roman" w:eastAsiaTheme="minorEastAsia"/>
                <w:color w:val="auto"/>
                <w:sz w:val="24"/>
                <w:highlight w:val="none"/>
              </w:rPr>
              <w:t>二氧化硫</w:t>
            </w:r>
            <w:r>
              <w:rPr>
                <w:rFonts w:hint="default" w:ascii="Times New Roman" w:hAnsi="Times New Roman" w:cs="Times New Roman" w:eastAsiaTheme="minorEastAsia"/>
                <w:color w:val="auto"/>
                <w:sz w:val="24"/>
                <w:highlight w:val="none"/>
                <w:lang w:val="en-US" w:eastAsia="zh-CN"/>
              </w:rPr>
              <w:t>排放</w:t>
            </w:r>
            <w:r>
              <w:rPr>
                <w:rFonts w:hint="default" w:ascii="Times New Roman" w:hAnsi="Times New Roman" w:cs="Times New Roman" w:eastAsiaTheme="minorEastAsia"/>
                <w:color w:val="auto"/>
                <w:sz w:val="24"/>
                <w:highlight w:val="none"/>
              </w:rPr>
              <w:t>量为</w:t>
            </w:r>
            <w:r>
              <w:rPr>
                <w:rFonts w:hint="eastAsia" w:cs="Times New Roman" w:eastAsiaTheme="minorEastAsia"/>
                <w:color w:val="auto"/>
                <w:sz w:val="24"/>
                <w:highlight w:val="none"/>
                <w:lang w:val="en-US" w:eastAsia="zh-CN"/>
              </w:rPr>
              <w:t>23.54</w:t>
            </w:r>
            <w:r>
              <w:rPr>
                <w:rFonts w:hint="default" w:ascii="Times New Roman" w:hAnsi="Times New Roman" w:cs="Times New Roman" w:eastAsiaTheme="minorEastAsia"/>
                <w:color w:val="auto"/>
                <w:sz w:val="24"/>
                <w:highlight w:val="none"/>
              </w:rPr>
              <w:t>t/a，</w:t>
            </w:r>
            <w:r>
              <w:rPr>
                <w:rFonts w:hint="default" w:ascii="Times New Roman" w:hAnsi="Times New Roman" w:cs="Times New Roman" w:eastAsiaTheme="minorEastAsia"/>
                <w:color w:val="auto"/>
                <w:sz w:val="24"/>
                <w:highlight w:val="none"/>
                <w:lang w:val="en-US" w:eastAsia="zh-CN"/>
              </w:rPr>
              <w:t>排放</w:t>
            </w:r>
            <w:r>
              <w:rPr>
                <w:rFonts w:hint="default" w:ascii="Times New Roman" w:hAnsi="Times New Roman" w:cs="Times New Roman" w:eastAsiaTheme="minorEastAsia"/>
                <w:color w:val="auto"/>
                <w:sz w:val="24"/>
                <w:highlight w:val="none"/>
              </w:rPr>
              <w:t>浓度</w:t>
            </w:r>
            <w:r>
              <w:rPr>
                <w:rFonts w:hint="eastAsia" w:cs="Times New Roman" w:eastAsiaTheme="minorEastAsia"/>
                <w:color w:val="auto"/>
                <w:sz w:val="24"/>
                <w:highlight w:val="none"/>
                <w:lang w:val="en-US" w:eastAsia="zh-CN"/>
              </w:rPr>
              <w:t>54.2</w:t>
            </w:r>
            <w:r>
              <w:rPr>
                <w:rFonts w:hint="default" w:ascii="Times New Roman" w:hAnsi="Times New Roman" w:cs="Times New Roman" w:eastAsiaTheme="minorEastAsia"/>
                <w:color w:val="auto"/>
                <w:sz w:val="24"/>
                <w:highlight w:val="none"/>
              </w:rPr>
              <w:t>mg/m</w:t>
            </w:r>
            <w:r>
              <w:rPr>
                <w:rFonts w:hint="default" w:ascii="Times New Roman" w:hAnsi="Times New Roman" w:cs="Times New Roman" w:eastAsiaTheme="minorEastAsia"/>
                <w:color w:val="auto"/>
                <w:sz w:val="24"/>
                <w:highlight w:val="none"/>
                <w:vertAlign w:val="superscript"/>
              </w:rPr>
              <w:t>3</w:t>
            </w:r>
            <w:r>
              <w:rPr>
                <w:rFonts w:hint="default" w:ascii="Times New Roman" w:hAnsi="Times New Roman" w:cs="Times New Roman" w:eastAsiaTheme="minorEastAsia"/>
                <w:color w:val="auto"/>
                <w:sz w:val="24"/>
                <w:highlight w:val="none"/>
              </w:rPr>
              <w:t>；氮氧化物</w:t>
            </w:r>
            <w:r>
              <w:rPr>
                <w:rFonts w:hint="default" w:ascii="Times New Roman" w:hAnsi="Times New Roman" w:cs="Times New Roman" w:eastAsiaTheme="minorEastAsia"/>
                <w:color w:val="auto"/>
                <w:sz w:val="24"/>
                <w:highlight w:val="none"/>
                <w:lang w:val="en-US" w:eastAsia="zh-CN"/>
              </w:rPr>
              <w:t>排放</w:t>
            </w:r>
            <w:r>
              <w:rPr>
                <w:rFonts w:hint="default" w:ascii="Times New Roman" w:hAnsi="Times New Roman" w:cs="Times New Roman" w:eastAsiaTheme="minorEastAsia"/>
                <w:color w:val="auto"/>
                <w:sz w:val="24"/>
                <w:highlight w:val="none"/>
              </w:rPr>
              <w:t>量为</w:t>
            </w:r>
            <w:r>
              <w:rPr>
                <w:rFonts w:hint="eastAsia" w:cs="Times New Roman" w:eastAsiaTheme="minorEastAsia"/>
                <w:color w:val="auto"/>
                <w:sz w:val="24"/>
                <w:highlight w:val="none"/>
                <w:lang w:val="en-US" w:eastAsia="zh-CN"/>
              </w:rPr>
              <w:t>16.36</w:t>
            </w:r>
            <w:r>
              <w:rPr>
                <w:rFonts w:hint="default" w:ascii="Times New Roman" w:hAnsi="Times New Roman" w:cs="Times New Roman" w:eastAsiaTheme="minorEastAsia"/>
                <w:color w:val="auto"/>
                <w:sz w:val="24"/>
                <w:highlight w:val="none"/>
              </w:rPr>
              <w:t>t/a，</w:t>
            </w:r>
            <w:r>
              <w:rPr>
                <w:rFonts w:hint="default" w:ascii="Times New Roman" w:hAnsi="Times New Roman" w:cs="Times New Roman" w:eastAsiaTheme="minorEastAsia"/>
                <w:color w:val="auto"/>
                <w:sz w:val="24"/>
                <w:highlight w:val="none"/>
                <w:lang w:val="en-US" w:eastAsia="zh-CN"/>
              </w:rPr>
              <w:t>排放</w:t>
            </w:r>
            <w:r>
              <w:rPr>
                <w:rFonts w:hint="default" w:ascii="Times New Roman" w:hAnsi="Times New Roman" w:cs="Times New Roman" w:eastAsiaTheme="minorEastAsia"/>
                <w:color w:val="auto"/>
                <w:sz w:val="24"/>
                <w:highlight w:val="none"/>
              </w:rPr>
              <w:t>浓度</w:t>
            </w:r>
            <w:r>
              <w:rPr>
                <w:rFonts w:hint="eastAsia" w:cs="Times New Roman" w:eastAsiaTheme="minorEastAsia"/>
                <w:color w:val="auto"/>
                <w:sz w:val="24"/>
                <w:highlight w:val="none"/>
                <w:lang w:val="en-US" w:eastAsia="zh-CN"/>
              </w:rPr>
              <w:t>37.66</w:t>
            </w:r>
            <w:r>
              <w:rPr>
                <w:rFonts w:hint="default" w:ascii="Times New Roman" w:hAnsi="Times New Roman" w:cs="Times New Roman" w:eastAsiaTheme="minorEastAsia"/>
                <w:color w:val="auto"/>
                <w:sz w:val="24"/>
                <w:highlight w:val="none"/>
              </w:rPr>
              <w:t>mg/m</w:t>
            </w:r>
            <w:r>
              <w:rPr>
                <w:rFonts w:hint="default" w:ascii="Times New Roman" w:hAnsi="Times New Roman" w:cs="Times New Roman" w:eastAsiaTheme="minorEastAsia"/>
                <w:color w:val="auto"/>
                <w:sz w:val="24"/>
                <w:highlight w:val="none"/>
                <w:vertAlign w:val="superscript"/>
              </w:rPr>
              <w:t>3</w:t>
            </w:r>
            <w:r>
              <w:rPr>
                <w:rFonts w:hint="default" w:ascii="Times New Roman" w:hAnsi="Times New Roman" w:cs="Times New Roman" w:eastAsiaTheme="minorEastAsia"/>
                <w:color w:val="auto"/>
                <w:sz w:val="24"/>
                <w:highlight w:val="none"/>
              </w:rPr>
              <w:t>；</w:t>
            </w:r>
            <w:r>
              <w:rPr>
                <w:rFonts w:hint="default" w:ascii="Times New Roman" w:hAnsi="Times New Roman" w:cs="Times New Roman" w:eastAsiaTheme="minorEastAsia"/>
                <w:color w:val="auto"/>
                <w:highlight w:val="none"/>
              </w:rPr>
              <w:t>各污染物均能达到《工业炉窑大气污染物排放标准》（GB9078-1996）和《大气污染物综合排放标准》（GB16297-1996）的要求</w:t>
            </w:r>
            <w:r>
              <w:rPr>
                <w:rFonts w:hint="eastAsia" w:cs="Times New Roman" w:eastAsiaTheme="minorEastAsia"/>
                <w:color w:val="auto"/>
                <w:highlight w:val="none"/>
                <w:lang w:eastAsia="zh-CN"/>
              </w:rPr>
              <w:t>。</w:t>
            </w:r>
            <w:r>
              <w:rPr>
                <w:rFonts w:hint="default" w:ascii="Times New Roman" w:hAnsi="Times New Roman" w:cs="Times New Roman" w:eastAsiaTheme="minorEastAsia"/>
                <w:color w:val="auto"/>
                <w:highlight w:val="none"/>
              </w:rPr>
              <w:t xml:space="preserve">  </w:t>
            </w:r>
          </w:p>
          <w:p w14:paraId="32010E65">
            <w:pPr>
              <w:spacing w:line="360" w:lineRule="auto"/>
              <w:ind w:firstLine="482" w:firstLineChars="200"/>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（5）非正常情况下源强</w:t>
            </w:r>
          </w:p>
          <w:p w14:paraId="70B040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①非正常情况</w:t>
            </w:r>
          </w:p>
          <w:p w14:paraId="2A2D3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41" w:firstLineChars="184"/>
              <w:rPr>
                <w:rFonts w:hint="default" w:ascii="Times New Roman" w:hAnsi="Times New Roman" w:cs="Times New Roman" w:eastAsiaTheme="minorEastAsia"/>
                <w:b/>
                <w:color w:val="auto"/>
                <w:kern w:val="0"/>
                <w:sz w:val="24"/>
              </w:rPr>
            </w:pPr>
            <w:r>
              <w:rPr>
                <w:rFonts w:hint="default" w:ascii="Times New Roman" w:hAnsi="Times New Roman" w:cs="Times New Roman" w:eastAsiaTheme="minorEastAsia"/>
                <w:color w:val="auto"/>
                <w:sz w:val="24"/>
              </w:rPr>
              <w:t>根据项目生产工艺可知，项目出现非正常排放的情况为烘干、制棒、炭化工段除尘器故障，主要污染物排放为颗粒物和挥发性有机物；非正常情况设备处理效率均按照下降至50%计算；则非正常情况下的大气污染物产排情况见表4-6。</w:t>
            </w:r>
          </w:p>
          <w:p w14:paraId="45640027">
            <w:pPr>
              <w:pStyle w:val="22"/>
              <w:ind w:left="0" w:leftChars="0" w:firstLine="0"/>
              <w:jc w:val="center"/>
              <w:rPr>
                <w:rFonts w:hint="default" w:ascii="Times New Roman" w:hAnsi="Times New Roman" w:cs="Times New Roman" w:eastAsiaTheme="minorEastAsia"/>
                <w:b/>
                <w:color w:val="auto"/>
                <w:kern w:val="0"/>
                <w:sz w:val="24"/>
              </w:rPr>
            </w:pPr>
            <w:r>
              <w:rPr>
                <w:rFonts w:hint="default" w:ascii="Times New Roman" w:hAnsi="Times New Roman" w:cs="Times New Roman" w:eastAsiaTheme="minorEastAsia"/>
                <w:b/>
                <w:color w:val="auto"/>
                <w:kern w:val="0"/>
                <w:sz w:val="24"/>
              </w:rPr>
              <w:t>表4-6非正常情况下大气污染物产生及排放情况</w:t>
            </w:r>
          </w:p>
          <w:tbl>
            <w:tblPr>
              <w:tblStyle w:val="23"/>
              <w:tblW w:w="8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759"/>
              <w:gridCol w:w="1346"/>
              <w:gridCol w:w="1278"/>
              <w:gridCol w:w="2413"/>
              <w:gridCol w:w="1403"/>
            </w:tblGrid>
            <w:tr w14:paraId="6C004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521" w:type="pct"/>
                  <w:noWrap w:val="0"/>
                  <w:vAlign w:val="center"/>
                </w:tcPr>
                <w:p w14:paraId="284252C3">
                  <w:pPr>
                    <w:pStyle w:val="5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污染源</w:t>
                  </w:r>
                </w:p>
              </w:tc>
              <w:tc>
                <w:tcPr>
                  <w:tcW w:w="472" w:type="pct"/>
                  <w:noWrap w:val="0"/>
                  <w:vAlign w:val="center"/>
                </w:tcPr>
                <w:p w14:paraId="44B706A5">
                  <w:pPr>
                    <w:pStyle w:val="5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污染物名称</w:t>
                  </w:r>
                </w:p>
              </w:tc>
              <w:tc>
                <w:tcPr>
                  <w:tcW w:w="837" w:type="pct"/>
                  <w:noWrap w:val="0"/>
                  <w:vAlign w:val="center"/>
                </w:tcPr>
                <w:p w14:paraId="7711676A">
                  <w:pPr>
                    <w:pStyle w:val="5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污染物产生量</w:t>
                  </w:r>
                </w:p>
              </w:tc>
              <w:tc>
                <w:tcPr>
                  <w:tcW w:w="795" w:type="pct"/>
                  <w:noWrap w:val="0"/>
                  <w:vAlign w:val="center"/>
                </w:tcPr>
                <w:p w14:paraId="1AB5366C">
                  <w:pPr>
                    <w:pStyle w:val="5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正常情况排放量</w:t>
                  </w:r>
                </w:p>
              </w:tc>
              <w:tc>
                <w:tcPr>
                  <w:tcW w:w="1500" w:type="pct"/>
                  <w:noWrap w:val="0"/>
                  <w:vAlign w:val="center"/>
                </w:tcPr>
                <w:p w14:paraId="7542DA92">
                  <w:pPr>
                    <w:pStyle w:val="5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正常情况下治理措施及去除效率</w:t>
                  </w:r>
                </w:p>
              </w:tc>
              <w:tc>
                <w:tcPr>
                  <w:tcW w:w="873" w:type="pct"/>
                  <w:noWrap w:val="0"/>
                  <w:vAlign w:val="center"/>
                </w:tcPr>
                <w:p w14:paraId="49628149">
                  <w:pPr>
                    <w:pStyle w:val="5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非正常情况下排放量</w:t>
                  </w:r>
                </w:p>
              </w:tc>
            </w:tr>
            <w:tr w14:paraId="0EE35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521" w:type="pct"/>
                  <w:vMerge w:val="restart"/>
                  <w:noWrap w:val="0"/>
                  <w:vAlign w:val="center"/>
                </w:tcPr>
                <w:p w14:paraId="2293D057">
                  <w:pPr>
                    <w:pStyle w:val="5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烘干、制棒、炭化废气</w:t>
                  </w:r>
                </w:p>
              </w:tc>
              <w:tc>
                <w:tcPr>
                  <w:tcW w:w="472" w:type="pct"/>
                  <w:noWrap w:val="0"/>
                  <w:vAlign w:val="center"/>
                </w:tcPr>
                <w:p w14:paraId="4F609ADB">
                  <w:pPr>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烟尘</w:t>
                  </w:r>
                </w:p>
              </w:tc>
              <w:tc>
                <w:tcPr>
                  <w:tcW w:w="837" w:type="pct"/>
                  <w:noWrap w:val="0"/>
                  <w:vAlign w:val="center"/>
                </w:tcPr>
                <w:p w14:paraId="0240D3CC">
                  <w:pPr>
                    <w:jc w:val="center"/>
                    <w:rPr>
                      <w:rFonts w:hint="default" w:ascii="Times New Roman" w:hAnsi="Times New Roman" w:cs="Times New Roman" w:eastAsiaTheme="minorEastAsia"/>
                      <w:color w:val="auto"/>
                      <w:lang w:val="en-US" w:eastAsia="zh-CN"/>
                    </w:rPr>
                  </w:pPr>
                  <w:r>
                    <w:rPr>
                      <w:rFonts w:hint="eastAsia" w:cs="Times New Roman" w:eastAsiaTheme="minorEastAsia"/>
                      <w:color w:val="auto"/>
                      <w:lang w:val="en-US" w:eastAsia="zh-CN"/>
                    </w:rPr>
                    <w:t>76.38</w:t>
                  </w:r>
                  <w:r>
                    <w:rPr>
                      <w:rFonts w:hint="default" w:ascii="Times New Roman" w:hAnsi="Times New Roman" w:cs="Times New Roman" w:eastAsiaTheme="minorEastAsia"/>
                      <w:color w:val="auto"/>
                      <w:lang w:val="en-US" w:eastAsia="zh-CN"/>
                    </w:rPr>
                    <w:t>kg/h</w:t>
                  </w:r>
                </w:p>
                <w:p w14:paraId="1F0BBD91">
                  <w:pPr>
                    <w:jc w:val="center"/>
                    <w:rPr>
                      <w:rFonts w:hint="default" w:ascii="Times New Roman" w:hAnsi="Times New Roman" w:cs="Times New Roman" w:eastAsiaTheme="minorEastAsia"/>
                      <w:color w:val="auto"/>
                      <w:lang w:val="en-US" w:eastAsia="zh-CN"/>
                    </w:rPr>
                  </w:pPr>
                  <w:r>
                    <w:rPr>
                      <w:rFonts w:hint="eastAsia" w:cs="Times New Roman" w:eastAsiaTheme="minorEastAsia"/>
                      <w:color w:val="auto"/>
                      <w:sz w:val="21"/>
                      <w:szCs w:val="21"/>
                      <w:lang w:val="en-US" w:eastAsia="zh-CN"/>
                    </w:rPr>
                    <w:t>1350.5</w:t>
                  </w:r>
                  <w:r>
                    <w:rPr>
                      <w:rFonts w:hint="default" w:ascii="Times New Roman" w:hAnsi="Times New Roman" w:cs="Times New Roman" w:eastAsiaTheme="minorEastAsia"/>
                      <w:color w:val="auto"/>
                      <w:sz w:val="24"/>
                    </w:rPr>
                    <w:t>mg/m</w:t>
                  </w:r>
                  <w:r>
                    <w:rPr>
                      <w:rFonts w:hint="default" w:ascii="Times New Roman" w:hAnsi="Times New Roman" w:cs="Times New Roman" w:eastAsiaTheme="minorEastAsia"/>
                      <w:color w:val="auto"/>
                      <w:sz w:val="24"/>
                      <w:vertAlign w:val="superscript"/>
                    </w:rPr>
                    <w:t>3</w:t>
                  </w:r>
                </w:p>
              </w:tc>
              <w:tc>
                <w:tcPr>
                  <w:tcW w:w="795" w:type="pct"/>
                  <w:noWrap w:val="0"/>
                  <w:vAlign w:val="center"/>
                </w:tcPr>
                <w:p w14:paraId="3D4736DF">
                  <w:pPr>
                    <w:jc w:val="center"/>
                    <w:rPr>
                      <w:rFonts w:hint="default" w:ascii="Times New Roman" w:hAnsi="Times New Roman" w:cs="Times New Roman" w:eastAsiaTheme="minorEastAsia"/>
                      <w:color w:val="auto"/>
                    </w:rPr>
                  </w:pPr>
                  <w:r>
                    <w:rPr>
                      <w:rFonts w:hint="eastAsia" w:cs="Times New Roman" w:eastAsiaTheme="minorEastAsia"/>
                      <w:color w:val="auto"/>
                      <w:lang w:val="en-US" w:eastAsia="zh-CN"/>
                    </w:rPr>
                    <w:t>3.82</w:t>
                  </w:r>
                  <w:r>
                    <w:rPr>
                      <w:rFonts w:hint="default" w:ascii="Times New Roman" w:hAnsi="Times New Roman" w:cs="Times New Roman" w:eastAsiaTheme="minorEastAsia"/>
                      <w:color w:val="auto"/>
                    </w:rPr>
                    <w:t>kg/h；</w:t>
                  </w:r>
                  <w:r>
                    <w:rPr>
                      <w:rFonts w:hint="eastAsia" w:cs="Times New Roman" w:eastAsiaTheme="minorEastAsia"/>
                      <w:color w:val="auto"/>
                      <w:lang w:val="en-US" w:eastAsia="zh-CN"/>
                    </w:rPr>
                    <w:t>67.52</w:t>
                  </w:r>
                  <w:r>
                    <w:rPr>
                      <w:rFonts w:hint="default" w:ascii="Times New Roman" w:hAnsi="Times New Roman" w:cs="Times New Roman" w:eastAsiaTheme="minorEastAsia"/>
                      <w:color w:val="auto"/>
                      <w:szCs w:val="21"/>
                    </w:rPr>
                    <w:t>mg/m</w:t>
                  </w:r>
                  <w:r>
                    <w:rPr>
                      <w:rFonts w:hint="default" w:ascii="Times New Roman" w:hAnsi="Times New Roman" w:cs="Times New Roman" w:eastAsiaTheme="minorEastAsia"/>
                      <w:color w:val="auto"/>
                      <w:szCs w:val="21"/>
                      <w:vertAlign w:val="superscript"/>
                    </w:rPr>
                    <w:t>3</w:t>
                  </w:r>
                </w:p>
              </w:tc>
              <w:tc>
                <w:tcPr>
                  <w:tcW w:w="1500" w:type="pct"/>
                  <w:vMerge w:val="restart"/>
                  <w:noWrap w:val="0"/>
                  <w:vAlign w:val="center"/>
                </w:tcPr>
                <w:p w14:paraId="6C93D7C2">
                  <w:pPr>
                    <w:pStyle w:val="50"/>
                    <w:jc w:val="center"/>
                    <w:rPr>
                      <w:rFonts w:hint="default" w:ascii="Times New Roman" w:hAnsi="Times New Roman" w:cs="Times New Roman" w:eastAsiaTheme="minorEastAsia"/>
                      <w:color w:val="auto"/>
                      <w:szCs w:val="21"/>
                      <w:lang w:val="en-US"/>
                    </w:rPr>
                  </w:pPr>
                  <w:r>
                    <w:rPr>
                      <w:rFonts w:hint="eastAsia" w:ascii="Times New Roman" w:hAnsi="Times New Roman" w:eastAsia="宋体" w:cs="Times New Roman"/>
                      <w:color w:val="auto"/>
                      <w:sz w:val="21"/>
                      <w:szCs w:val="21"/>
                      <w:lang w:eastAsia="zh-CN"/>
                    </w:rPr>
                    <w:t>燃烧，</w:t>
                  </w:r>
                  <w:r>
                    <w:rPr>
                      <w:rFonts w:hint="eastAsia" w:cs="Times New Roman"/>
                      <w:color w:val="auto"/>
                      <w:sz w:val="21"/>
                      <w:szCs w:val="21"/>
                      <w:lang w:eastAsia="zh-CN"/>
                    </w:rPr>
                    <w:t>袋式除尘装置</w:t>
                  </w:r>
                  <w:r>
                    <w:rPr>
                      <w:rFonts w:hint="eastAsia" w:ascii="Times New Roman" w:hAnsi="Times New Roman" w:eastAsia="宋体" w:cs="Times New Roman"/>
                      <w:color w:val="auto"/>
                      <w:sz w:val="21"/>
                      <w:szCs w:val="21"/>
                      <w:lang w:eastAsia="zh-CN"/>
                    </w:rPr>
                    <w:t>后</w:t>
                  </w:r>
                  <w:r>
                    <w:rPr>
                      <w:rFonts w:hint="default" w:ascii="Times New Roman" w:hAnsi="Times New Roman" w:eastAsia="宋体" w:cs="Times New Roman"/>
                      <w:color w:val="auto"/>
                      <w:sz w:val="21"/>
                      <w:szCs w:val="21"/>
                    </w:rPr>
                    <w:t>经15m高排气筒（DA001）外排，颗粒物总除尘效率</w:t>
                  </w:r>
                  <w:r>
                    <w:rPr>
                      <w:rFonts w:hint="eastAsia" w:cs="Times New Roman"/>
                      <w:color w:val="auto"/>
                      <w:sz w:val="21"/>
                      <w:szCs w:val="21"/>
                      <w:lang w:val="en-US" w:eastAsia="zh-CN"/>
                    </w:rPr>
                    <w:t>95%，（燃烧法）非甲烷总烃总去除效率70%；</w:t>
                  </w:r>
                </w:p>
              </w:tc>
              <w:tc>
                <w:tcPr>
                  <w:tcW w:w="873" w:type="pct"/>
                  <w:noWrap w:val="0"/>
                  <w:vAlign w:val="center"/>
                </w:tcPr>
                <w:p w14:paraId="51E23629">
                  <w:pPr>
                    <w:pStyle w:val="50"/>
                    <w:jc w:val="center"/>
                    <w:rPr>
                      <w:rFonts w:hint="default" w:ascii="Times New Roman" w:hAnsi="Times New Roman" w:cs="Times New Roman" w:eastAsiaTheme="minorEastAsia"/>
                      <w:color w:val="auto"/>
                      <w:szCs w:val="21"/>
                    </w:rPr>
                  </w:pPr>
                  <w:r>
                    <w:rPr>
                      <w:rFonts w:hint="eastAsia" w:cs="Times New Roman" w:eastAsiaTheme="minorEastAsia"/>
                      <w:color w:val="auto"/>
                      <w:szCs w:val="21"/>
                      <w:lang w:val="en-US" w:eastAsia="zh-CN"/>
                    </w:rPr>
                    <w:t>38.96</w:t>
                  </w:r>
                  <w:r>
                    <w:rPr>
                      <w:rFonts w:hint="default" w:ascii="Times New Roman" w:hAnsi="Times New Roman" w:cs="Times New Roman" w:eastAsiaTheme="minorEastAsia"/>
                      <w:color w:val="auto"/>
                      <w:szCs w:val="21"/>
                    </w:rPr>
                    <w:t>kg/h；</w:t>
                  </w:r>
                </w:p>
                <w:p w14:paraId="71693621">
                  <w:pPr>
                    <w:pStyle w:val="50"/>
                    <w:jc w:val="center"/>
                    <w:rPr>
                      <w:rFonts w:hint="default" w:ascii="Times New Roman" w:hAnsi="Times New Roman" w:cs="Times New Roman" w:eastAsiaTheme="minorEastAsia"/>
                      <w:color w:val="auto"/>
                      <w:szCs w:val="21"/>
                    </w:rPr>
                  </w:pPr>
                  <w:r>
                    <w:rPr>
                      <w:rFonts w:hint="eastAsia" w:cs="Times New Roman" w:eastAsiaTheme="minorEastAsia"/>
                      <w:color w:val="auto"/>
                      <w:szCs w:val="21"/>
                      <w:lang w:val="en-US" w:eastAsia="zh-CN"/>
                    </w:rPr>
                    <w:t>688.75</w:t>
                  </w:r>
                  <w:r>
                    <w:rPr>
                      <w:rFonts w:hint="default" w:ascii="Times New Roman" w:hAnsi="Times New Roman" w:cs="Times New Roman" w:eastAsiaTheme="minorEastAsia"/>
                      <w:color w:val="auto"/>
                      <w:szCs w:val="21"/>
                    </w:rPr>
                    <w:t>mg/m</w:t>
                  </w:r>
                  <w:r>
                    <w:rPr>
                      <w:rFonts w:hint="default" w:ascii="Times New Roman" w:hAnsi="Times New Roman" w:cs="Times New Roman" w:eastAsiaTheme="minorEastAsia"/>
                      <w:color w:val="auto"/>
                      <w:szCs w:val="21"/>
                      <w:vertAlign w:val="superscript"/>
                    </w:rPr>
                    <w:t>3</w:t>
                  </w:r>
                </w:p>
              </w:tc>
            </w:tr>
            <w:tr w14:paraId="678FB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521" w:type="pct"/>
                  <w:vMerge w:val="continue"/>
                  <w:noWrap w:val="0"/>
                  <w:vAlign w:val="center"/>
                </w:tcPr>
                <w:p w14:paraId="3561DEEA">
                  <w:pPr>
                    <w:jc w:val="center"/>
                    <w:rPr>
                      <w:rFonts w:hint="default" w:ascii="Times New Roman" w:hAnsi="Times New Roman" w:cs="Times New Roman" w:eastAsiaTheme="minorEastAsia"/>
                      <w:color w:val="auto"/>
                    </w:rPr>
                  </w:pPr>
                </w:p>
              </w:tc>
              <w:tc>
                <w:tcPr>
                  <w:tcW w:w="472" w:type="pct"/>
                  <w:noWrap w:val="0"/>
                  <w:vAlign w:val="center"/>
                </w:tcPr>
                <w:p w14:paraId="4564698C">
                  <w:pPr>
                    <w:jc w:val="center"/>
                    <w:rPr>
                      <w:rFonts w:hint="default" w:ascii="Times New Roman" w:hAnsi="Times New Roman" w:cs="Times New Roman" w:eastAsiaTheme="minorEastAsia"/>
                      <w:color w:val="FF0000"/>
                      <w:highlight w:val="none"/>
                    </w:rPr>
                  </w:pPr>
                  <w:r>
                    <w:rPr>
                      <w:rFonts w:hint="default" w:ascii="Times New Roman" w:hAnsi="Times New Roman" w:cs="Times New Roman" w:eastAsiaTheme="minorEastAsia"/>
                      <w:color w:val="FF0000"/>
                      <w:highlight w:val="none"/>
                    </w:rPr>
                    <w:t>挥发性有机物</w:t>
                  </w:r>
                </w:p>
              </w:tc>
              <w:tc>
                <w:tcPr>
                  <w:tcW w:w="837" w:type="pct"/>
                  <w:noWrap w:val="0"/>
                  <w:vAlign w:val="center"/>
                </w:tcPr>
                <w:p w14:paraId="7EDF12A1">
                  <w:pPr>
                    <w:jc w:val="center"/>
                    <w:rPr>
                      <w:rFonts w:hint="default" w:ascii="Times New Roman" w:hAnsi="Times New Roman" w:cs="Times New Roman" w:eastAsiaTheme="minorEastAsia"/>
                      <w:color w:val="FF0000"/>
                      <w:highlight w:val="none"/>
                    </w:rPr>
                  </w:pPr>
                  <w:r>
                    <w:rPr>
                      <w:rFonts w:hint="eastAsia" w:cs="Times New Roman" w:eastAsiaTheme="minorEastAsia"/>
                      <w:color w:val="FF0000"/>
                      <w:highlight w:val="none"/>
                      <w:lang w:val="en-US" w:eastAsia="zh-CN"/>
                    </w:rPr>
                    <w:t>1</w:t>
                  </w:r>
                  <w:r>
                    <w:rPr>
                      <w:rFonts w:hint="default" w:ascii="Times New Roman" w:hAnsi="Times New Roman" w:cs="Times New Roman" w:eastAsiaTheme="minorEastAsia"/>
                      <w:color w:val="FF0000"/>
                      <w:highlight w:val="none"/>
                    </w:rPr>
                    <w:t>kg/h</w:t>
                  </w:r>
                </w:p>
                <w:p w14:paraId="7EBDB768">
                  <w:pPr>
                    <w:jc w:val="center"/>
                    <w:rPr>
                      <w:rFonts w:hint="default" w:ascii="Times New Roman" w:hAnsi="Times New Roman" w:cs="Times New Roman" w:eastAsiaTheme="minorEastAsia"/>
                      <w:color w:val="FF0000"/>
                      <w:highlight w:val="none"/>
                    </w:rPr>
                  </w:pPr>
                  <w:r>
                    <w:rPr>
                      <w:rFonts w:hint="eastAsia" w:cs="Times New Roman" w:eastAsiaTheme="minorEastAsia"/>
                      <w:color w:val="FF0000"/>
                      <w:szCs w:val="21"/>
                      <w:highlight w:val="none"/>
                      <w:lang w:val="en-US" w:eastAsia="zh-CN"/>
                    </w:rPr>
                    <w:t>17.68</w:t>
                  </w:r>
                  <w:r>
                    <w:rPr>
                      <w:rFonts w:hint="default" w:ascii="Times New Roman" w:hAnsi="Times New Roman" w:cs="Times New Roman" w:eastAsiaTheme="minorEastAsia"/>
                      <w:color w:val="FF0000"/>
                      <w:szCs w:val="21"/>
                      <w:highlight w:val="none"/>
                    </w:rPr>
                    <w:t>mg/m</w:t>
                  </w:r>
                  <w:r>
                    <w:rPr>
                      <w:rFonts w:hint="default" w:ascii="Times New Roman" w:hAnsi="Times New Roman" w:cs="Times New Roman" w:eastAsiaTheme="minorEastAsia"/>
                      <w:color w:val="FF0000"/>
                      <w:szCs w:val="21"/>
                      <w:highlight w:val="none"/>
                      <w:vertAlign w:val="superscript"/>
                    </w:rPr>
                    <w:t>3</w:t>
                  </w:r>
                </w:p>
              </w:tc>
              <w:tc>
                <w:tcPr>
                  <w:tcW w:w="795" w:type="pct"/>
                  <w:noWrap w:val="0"/>
                  <w:vAlign w:val="center"/>
                </w:tcPr>
                <w:p w14:paraId="6CAC7860">
                  <w:pPr>
                    <w:jc w:val="center"/>
                    <w:rPr>
                      <w:rFonts w:hint="default" w:ascii="Times New Roman" w:hAnsi="Times New Roman" w:cs="Times New Roman" w:eastAsiaTheme="minorEastAsia"/>
                      <w:color w:val="FF0000"/>
                      <w:highlight w:val="none"/>
                    </w:rPr>
                  </w:pPr>
                  <w:r>
                    <w:rPr>
                      <w:rFonts w:hint="eastAsia" w:cs="Times New Roman" w:eastAsiaTheme="minorEastAsia"/>
                      <w:color w:val="FF0000"/>
                      <w:highlight w:val="none"/>
                      <w:lang w:val="en-US" w:eastAsia="zh-CN"/>
                    </w:rPr>
                    <w:t>0.3</w:t>
                  </w:r>
                  <w:r>
                    <w:rPr>
                      <w:rFonts w:hint="default" w:ascii="Times New Roman" w:hAnsi="Times New Roman" w:cs="Times New Roman" w:eastAsiaTheme="minorEastAsia"/>
                      <w:color w:val="FF0000"/>
                      <w:highlight w:val="none"/>
                    </w:rPr>
                    <w:t>kg/h；</w:t>
                  </w:r>
                  <w:r>
                    <w:rPr>
                      <w:rFonts w:hint="eastAsia" w:cs="Times New Roman" w:eastAsiaTheme="minorEastAsia"/>
                      <w:color w:val="FF0000"/>
                      <w:szCs w:val="21"/>
                      <w:highlight w:val="none"/>
                      <w:lang w:val="en-US" w:eastAsia="zh-CN"/>
                    </w:rPr>
                    <w:t>5.3</w:t>
                  </w:r>
                  <w:r>
                    <w:rPr>
                      <w:rFonts w:hint="default" w:ascii="Times New Roman" w:hAnsi="Times New Roman" w:cs="Times New Roman" w:eastAsiaTheme="minorEastAsia"/>
                      <w:color w:val="FF0000"/>
                      <w:szCs w:val="21"/>
                      <w:highlight w:val="none"/>
                    </w:rPr>
                    <w:t>mg/m</w:t>
                  </w:r>
                  <w:r>
                    <w:rPr>
                      <w:rFonts w:hint="default" w:ascii="Times New Roman" w:hAnsi="Times New Roman" w:cs="Times New Roman" w:eastAsiaTheme="minorEastAsia"/>
                      <w:color w:val="FF0000"/>
                      <w:szCs w:val="21"/>
                      <w:highlight w:val="none"/>
                      <w:vertAlign w:val="superscript"/>
                    </w:rPr>
                    <w:t>3</w:t>
                  </w:r>
                </w:p>
              </w:tc>
              <w:tc>
                <w:tcPr>
                  <w:tcW w:w="1500" w:type="pct"/>
                  <w:vMerge w:val="continue"/>
                  <w:noWrap w:val="0"/>
                  <w:vAlign w:val="center"/>
                </w:tcPr>
                <w:p w14:paraId="6EDE9D83">
                  <w:pPr>
                    <w:pStyle w:val="50"/>
                    <w:jc w:val="center"/>
                    <w:rPr>
                      <w:rFonts w:hint="default" w:ascii="Times New Roman" w:hAnsi="Times New Roman" w:cs="Times New Roman" w:eastAsiaTheme="minorEastAsia"/>
                      <w:color w:val="FF0000"/>
                      <w:szCs w:val="21"/>
                      <w:highlight w:val="none"/>
                    </w:rPr>
                  </w:pPr>
                </w:p>
              </w:tc>
              <w:tc>
                <w:tcPr>
                  <w:tcW w:w="873" w:type="pct"/>
                  <w:noWrap w:val="0"/>
                  <w:vAlign w:val="center"/>
                </w:tcPr>
                <w:p w14:paraId="10932441">
                  <w:pPr>
                    <w:jc w:val="center"/>
                    <w:rPr>
                      <w:rFonts w:hint="default" w:ascii="Times New Roman" w:hAnsi="Times New Roman" w:cs="Times New Roman" w:eastAsiaTheme="minorEastAsia"/>
                      <w:color w:val="FF0000"/>
                      <w:szCs w:val="21"/>
                      <w:highlight w:val="none"/>
                    </w:rPr>
                  </w:pPr>
                  <w:r>
                    <w:rPr>
                      <w:rFonts w:hint="eastAsia" w:cs="Times New Roman" w:eastAsiaTheme="minorEastAsia"/>
                      <w:color w:val="FF0000"/>
                      <w:szCs w:val="21"/>
                      <w:highlight w:val="none"/>
                      <w:lang w:val="en-US" w:eastAsia="zh-CN"/>
                    </w:rPr>
                    <w:t>0.65</w:t>
                  </w:r>
                  <w:r>
                    <w:rPr>
                      <w:rFonts w:hint="default" w:ascii="Times New Roman" w:hAnsi="Times New Roman" w:cs="Times New Roman" w:eastAsiaTheme="minorEastAsia"/>
                      <w:color w:val="FF0000"/>
                      <w:szCs w:val="21"/>
                      <w:highlight w:val="none"/>
                    </w:rPr>
                    <w:t>kg/h</w:t>
                  </w:r>
                </w:p>
                <w:p w14:paraId="11EE15C8">
                  <w:pPr>
                    <w:jc w:val="center"/>
                    <w:rPr>
                      <w:rFonts w:hint="default" w:ascii="Times New Roman" w:hAnsi="Times New Roman" w:cs="Times New Roman" w:eastAsiaTheme="minorEastAsia"/>
                      <w:color w:val="FF0000"/>
                      <w:szCs w:val="21"/>
                      <w:highlight w:val="none"/>
                    </w:rPr>
                  </w:pPr>
                  <w:r>
                    <w:rPr>
                      <w:rFonts w:hint="eastAsia" w:cs="Times New Roman" w:eastAsiaTheme="minorEastAsia"/>
                      <w:color w:val="FF0000"/>
                      <w:szCs w:val="21"/>
                      <w:highlight w:val="none"/>
                      <w:lang w:val="en-US" w:eastAsia="zh-CN"/>
                    </w:rPr>
                    <w:t>11.49</w:t>
                  </w:r>
                  <w:r>
                    <w:rPr>
                      <w:rFonts w:hint="default" w:ascii="Times New Roman" w:hAnsi="Times New Roman" w:cs="Times New Roman" w:eastAsiaTheme="minorEastAsia"/>
                      <w:color w:val="FF0000"/>
                      <w:szCs w:val="21"/>
                      <w:highlight w:val="none"/>
                    </w:rPr>
                    <w:t>mg/m</w:t>
                  </w:r>
                  <w:r>
                    <w:rPr>
                      <w:rFonts w:hint="default" w:ascii="Times New Roman" w:hAnsi="Times New Roman" w:cs="Times New Roman" w:eastAsiaTheme="minorEastAsia"/>
                      <w:color w:val="FF0000"/>
                      <w:szCs w:val="21"/>
                      <w:highlight w:val="none"/>
                      <w:vertAlign w:val="superscript"/>
                    </w:rPr>
                    <w:t>3</w:t>
                  </w:r>
                </w:p>
              </w:tc>
            </w:tr>
          </w:tbl>
          <w:p w14:paraId="286EDD5E">
            <w:pPr>
              <w:adjustRightInd w:val="0"/>
              <w:snapToGrid w:val="0"/>
              <w:spacing w:before="158" w:beforeLines="50" w:line="360" w:lineRule="auto"/>
              <w:ind w:firstLine="480" w:firstLineChars="200"/>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rPr>
              <w:t>②非正常排放影响分析</w:t>
            </w:r>
          </w:p>
          <w:p w14:paraId="537B727A">
            <w:pPr>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经过分析，非正常情况下，主要对周边环境影响的炭化、制棒、烘干废气的烟尘浓度超标；因此在运营过程中需要加强对废气治理措施的维护和管理，避免非正常情况发生。</w:t>
            </w:r>
          </w:p>
          <w:p w14:paraId="4F5B1535">
            <w:pPr>
              <w:bidi w:val="0"/>
              <w:spacing w:line="360" w:lineRule="auto"/>
              <w:ind w:firstLine="480" w:firstLineChars="200"/>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项目24小时持续运行</w:t>
            </w:r>
            <w:r>
              <w:rPr>
                <w:rFonts w:hint="eastAsia" w:cs="Times New Roman"/>
                <w:color w:val="FF0000"/>
                <w:sz w:val="24"/>
                <w:szCs w:val="24"/>
                <w:highlight w:val="none"/>
                <w:lang w:eastAsia="zh-CN"/>
              </w:rPr>
              <w:t>，</w:t>
            </w:r>
            <w:r>
              <w:rPr>
                <w:rFonts w:hint="eastAsia" w:cs="Times New Roman"/>
                <w:color w:val="FF0000"/>
                <w:sz w:val="24"/>
                <w:szCs w:val="24"/>
                <w:highlight w:val="none"/>
                <w:lang w:val="en-US" w:eastAsia="zh-CN"/>
              </w:rPr>
              <w:t>炭化窑废气统一经一根直径350mm的不锈钢管道引入热风炉进行燃烧，管道经炭化窑引出约8m处设置1个容积21m</w:t>
            </w:r>
            <w:r>
              <w:rPr>
                <w:rFonts w:hint="eastAsia" w:cs="Times New Roman"/>
                <w:color w:val="FF0000"/>
                <w:sz w:val="24"/>
                <w:szCs w:val="24"/>
                <w:highlight w:val="none"/>
                <w:vertAlign w:val="superscript"/>
                <w:lang w:val="en-US" w:eastAsia="zh-CN"/>
              </w:rPr>
              <w:t>3</w:t>
            </w:r>
            <w:r>
              <w:rPr>
                <w:rFonts w:hint="eastAsia" w:cs="Times New Roman"/>
                <w:color w:val="FF0000"/>
                <w:sz w:val="24"/>
                <w:szCs w:val="24"/>
                <w:highlight w:val="none"/>
                <w:lang w:val="en-US" w:eastAsia="zh-CN"/>
              </w:rPr>
              <w:t>的木醋液、木焦油收集池，用于暂存多余或者非正常工况下产生的木醋液和木焦油，在热量不够的情况下经1根直径20mm的不锈钢管道泵入热风炉作为燃料补充；引出的管道裸露在空气中与管道内形成温差进行降温，并在管道中部收集池后方设置向上凸起的拱形管道，炭化废气引入热风炉燃烧，降温后形成的木醋液、木焦油从凸起的拱形管回流至木醋液、木焦油收集池；并在凸起的拱形管道后端设置1个节流阀配套设置1根直径20mm的不锈钢管道将多余未自流的木醋液木焦油截留至木醋液、木焦油收集池暂存备用。</w:t>
            </w:r>
          </w:p>
          <w:p w14:paraId="26A9E716">
            <w:pPr>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结合实际生产中停电频次、设备维修等因素，本项目除尘设备一年出现故障频次约为2～3次，每次非正常情况一般不超过60分钟，因此，</w:t>
            </w:r>
            <w:r>
              <w:rPr>
                <w:rFonts w:hint="default" w:ascii="Times New Roman" w:hAnsi="Times New Roman" w:cs="Times New Roman" w:eastAsiaTheme="minorEastAsia"/>
                <w:bCs/>
                <w:color w:val="auto"/>
                <w:sz w:val="24"/>
              </w:rPr>
              <w:t>建设单位应定期对环保设施进行检修，建立台账管理制度，保证去除效果，当出现设备故障时，应及时停止生产，并对除尘设备进行检修</w:t>
            </w:r>
            <w:r>
              <w:rPr>
                <w:rFonts w:hint="default" w:ascii="Times New Roman" w:hAnsi="Times New Roman" w:cs="Times New Roman" w:eastAsiaTheme="minorEastAsia"/>
                <w:color w:val="auto"/>
                <w:sz w:val="24"/>
              </w:rPr>
              <w:t>，待环保设施进行检修恢复正常运行后方可开展生产。</w:t>
            </w:r>
          </w:p>
          <w:p w14:paraId="039E453A">
            <w:pPr>
              <w:pStyle w:val="11"/>
              <w:spacing w:line="240" w:lineRule="auto"/>
              <w:ind w:firstLine="241" w:firstLineChars="100"/>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（6）排放口基本情况</w:t>
            </w:r>
          </w:p>
          <w:p w14:paraId="21C6CBD1">
            <w:pPr>
              <w:pStyle w:val="11"/>
              <w:spacing w:line="360" w:lineRule="auto"/>
              <w:ind w:firstLine="440" w:firstLineChars="200"/>
              <w:rPr>
                <w:rFonts w:hint="default" w:ascii="Times New Roman" w:hAnsi="Times New Roman" w:cs="Times New Roman" w:eastAsiaTheme="minorEastAsia"/>
                <w:color w:val="auto"/>
                <w:spacing w:val="-10"/>
                <w:sz w:val="24"/>
                <w:szCs w:val="24"/>
              </w:rPr>
            </w:pPr>
            <w:r>
              <w:rPr>
                <w:rFonts w:hint="default" w:ascii="Times New Roman" w:hAnsi="Times New Roman" w:cs="Times New Roman" w:eastAsiaTheme="minorEastAsia"/>
                <w:color w:val="auto"/>
                <w:spacing w:val="-10"/>
                <w:sz w:val="24"/>
                <w:szCs w:val="24"/>
              </w:rPr>
              <w:t>本项目共设置1个有组织排放口，对照《排污许可证申请与核发技术规范 林产化学品制造工业》（HJ 1103—2020），本项目排放口为主要排放口，排放口基本情况详见表4-7。</w:t>
            </w:r>
          </w:p>
          <w:p w14:paraId="2335A406">
            <w:pPr>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表4-7 排放口基本情况一览表</w:t>
            </w:r>
          </w:p>
          <w:tbl>
            <w:tblPr>
              <w:tblStyle w:val="23"/>
              <w:tblW w:w="7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3"/>
              <w:gridCol w:w="896"/>
              <w:gridCol w:w="1190"/>
              <w:gridCol w:w="825"/>
              <w:gridCol w:w="915"/>
              <w:gridCol w:w="2678"/>
            </w:tblGrid>
            <w:tr w14:paraId="4FDD3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933" w:type="pct"/>
                  <w:noWrap w:val="0"/>
                  <w:vAlign w:val="top"/>
                </w:tcPr>
                <w:p w14:paraId="2B152744">
                  <w:pPr>
                    <w:pStyle w:val="21"/>
                    <w:snapToGrid/>
                    <w:spacing w:before="0" w:after="0" w:line="240" w:lineRule="auto"/>
                    <w:ind w:right="0" w:firstLine="0" w:firstLineChars="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编号及名称</w:t>
                  </w:r>
                </w:p>
              </w:tc>
              <w:tc>
                <w:tcPr>
                  <w:tcW w:w="560" w:type="pct"/>
                  <w:noWrap w:val="0"/>
                  <w:vAlign w:val="top"/>
                </w:tcPr>
                <w:p w14:paraId="427B9263">
                  <w:pPr>
                    <w:pStyle w:val="21"/>
                    <w:snapToGrid/>
                    <w:spacing w:before="0" w:after="0" w:line="240" w:lineRule="auto"/>
                    <w:ind w:right="0" w:firstLine="0" w:firstLineChars="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排放高度/m</w:t>
                  </w:r>
                </w:p>
              </w:tc>
              <w:tc>
                <w:tcPr>
                  <w:tcW w:w="744" w:type="pct"/>
                  <w:noWrap w:val="0"/>
                  <w:vAlign w:val="top"/>
                </w:tcPr>
                <w:p w14:paraId="5634F2D5">
                  <w:pPr>
                    <w:pStyle w:val="21"/>
                    <w:snapToGrid/>
                    <w:spacing w:before="0" w:after="0" w:line="240" w:lineRule="auto"/>
                    <w:ind w:right="0" w:firstLine="0" w:firstLineChars="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排气筒内径/m</w:t>
                  </w:r>
                </w:p>
              </w:tc>
              <w:tc>
                <w:tcPr>
                  <w:tcW w:w="515" w:type="pct"/>
                  <w:noWrap w:val="0"/>
                  <w:vAlign w:val="top"/>
                </w:tcPr>
                <w:p w14:paraId="01FC0A0D">
                  <w:pPr>
                    <w:pStyle w:val="21"/>
                    <w:snapToGrid/>
                    <w:spacing w:before="0" w:after="0" w:line="240" w:lineRule="auto"/>
                    <w:ind w:right="0" w:firstLine="0" w:firstLineChars="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温度/℃</w:t>
                  </w:r>
                </w:p>
              </w:tc>
              <w:tc>
                <w:tcPr>
                  <w:tcW w:w="572" w:type="pct"/>
                  <w:noWrap w:val="0"/>
                  <w:vAlign w:val="top"/>
                </w:tcPr>
                <w:p w14:paraId="7A307A0C">
                  <w:pPr>
                    <w:pStyle w:val="21"/>
                    <w:snapToGrid/>
                    <w:spacing w:before="0" w:after="0" w:line="240" w:lineRule="auto"/>
                    <w:ind w:right="0" w:firstLine="0" w:firstLineChars="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类型</w:t>
                  </w:r>
                </w:p>
              </w:tc>
              <w:tc>
                <w:tcPr>
                  <w:tcW w:w="1674" w:type="pct"/>
                  <w:noWrap w:val="0"/>
                  <w:vAlign w:val="top"/>
                </w:tcPr>
                <w:p w14:paraId="4DAB41BA">
                  <w:pPr>
                    <w:pStyle w:val="21"/>
                    <w:snapToGrid/>
                    <w:spacing w:before="0" w:after="0" w:line="240" w:lineRule="auto"/>
                    <w:ind w:right="0" w:firstLine="0" w:firstLineChars="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地理坐标</w:t>
                  </w:r>
                </w:p>
              </w:tc>
            </w:tr>
            <w:tr w14:paraId="3E6E6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933" w:type="pct"/>
                  <w:noWrap w:val="0"/>
                  <w:vAlign w:val="center"/>
                </w:tcPr>
                <w:p w14:paraId="6B0CC598">
                  <w:pPr>
                    <w:pStyle w:val="21"/>
                    <w:snapToGrid/>
                    <w:spacing w:before="0" w:after="0" w:line="240" w:lineRule="auto"/>
                    <w:ind w:right="0" w:firstLine="0" w:firstLineChars="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烘干、制棒、炭化废气排放口（DA001）</w:t>
                  </w:r>
                </w:p>
              </w:tc>
              <w:tc>
                <w:tcPr>
                  <w:tcW w:w="560" w:type="pct"/>
                  <w:noWrap w:val="0"/>
                  <w:vAlign w:val="center"/>
                </w:tcPr>
                <w:p w14:paraId="190922DF">
                  <w:pPr>
                    <w:pStyle w:val="21"/>
                    <w:snapToGrid/>
                    <w:spacing w:before="0" w:after="0" w:line="240" w:lineRule="auto"/>
                    <w:ind w:right="0" w:firstLine="0" w:firstLineChars="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15</w:t>
                  </w:r>
                </w:p>
              </w:tc>
              <w:tc>
                <w:tcPr>
                  <w:tcW w:w="744" w:type="pct"/>
                  <w:noWrap w:val="0"/>
                  <w:vAlign w:val="center"/>
                </w:tcPr>
                <w:p w14:paraId="5AF49B69">
                  <w:pPr>
                    <w:pStyle w:val="21"/>
                    <w:snapToGrid/>
                    <w:spacing w:before="0" w:after="0" w:line="240" w:lineRule="auto"/>
                    <w:ind w:right="0" w:firstLine="0" w:firstLineChars="0"/>
                    <w:jc w:val="center"/>
                    <w:rPr>
                      <w:rFonts w:hint="eastAsia"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rPr>
                    <w:t>0.</w:t>
                  </w:r>
                  <w:r>
                    <w:rPr>
                      <w:rFonts w:hint="eastAsia" w:cs="Times New Roman" w:eastAsiaTheme="minorEastAsia"/>
                      <w:color w:val="auto"/>
                      <w:szCs w:val="21"/>
                      <w:lang w:val="en-US" w:eastAsia="zh-CN"/>
                    </w:rPr>
                    <w:t>8</w:t>
                  </w:r>
                </w:p>
              </w:tc>
              <w:tc>
                <w:tcPr>
                  <w:tcW w:w="515" w:type="pct"/>
                  <w:noWrap w:val="0"/>
                  <w:vAlign w:val="center"/>
                </w:tcPr>
                <w:p w14:paraId="052B1B8D">
                  <w:pPr>
                    <w:pStyle w:val="21"/>
                    <w:snapToGrid/>
                    <w:spacing w:before="0" w:after="0" w:line="240" w:lineRule="auto"/>
                    <w:ind w:right="0"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70</w:t>
                  </w:r>
                </w:p>
              </w:tc>
              <w:tc>
                <w:tcPr>
                  <w:tcW w:w="572" w:type="pct"/>
                  <w:noWrap w:val="0"/>
                  <w:vAlign w:val="center"/>
                </w:tcPr>
                <w:p w14:paraId="11C00C28">
                  <w:pPr>
                    <w:pStyle w:val="21"/>
                    <w:snapToGrid/>
                    <w:spacing w:before="0" w:after="0" w:line="240" w:lineRule="auto"/>
                    <w:ind w:right="0"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主要排放口</w:t>
                  </w:r>
                </w:p>
              </w:tc>
              <w:tc>
                <w:tcPr>
                  <w:tcW w:w="1674" w:type="pct"/>
                  <w:noWrap w:val="0"/>
                  <w:vAlign w:val="center"/>
                </w:tcPr>
                <w:p w14:paraId="2BF31227">
                  <w:pPr>
                    <w:pStyle w:val="21"/>
                    <w:snapToGrid/>
                    <w:spacing w:before="0" w:after="0" w:line="240" w:lineRule="auto"/>
                    <w:ind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E:98度11.53分845秒</w:t>
                  </w:r>
                </w:p>
                <w:p w14:paraId="3BC8F47C">
                  <w:pPr>
                    <w:pStyle w:val="21"/>
                    <w:snapToGrid/>
                    <w:spacing w:before="0" w:after="0" w:line="240" w:lineRule="auto"/>
                    <w:ind w:right="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N:24度18.15分159秒</w:t>
                  </w:r>
                </w:p>
              </w:tc>
            </w:tr>
          </w:tbl>
          <w:p w14:paraId="52A9CDF9">
            <w:pPr>
              <w:widowControl/>
              <w:spacing w:line="360" w:lineRule="auto"/>
              <w:ind w:firstLine="482" w:firstLineChars="200"/>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（7）排污口规范化</w:t>
            </w:r>
          </w:p>
          <w:p w14:paraId="0D192F03">
            <w:pPr>
              <w:spacing w:line="360" w:lineRule="auto"/>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lang w:val="zh-CN"/>
              </w:rPr>
              <w:t>排污口是污染物进入受纳环境的通道，做好排污口管理是实施污染物总量控制和达标排放的基础工作之一，必须实行规范化管理。建设项目所有排放口，包括水、气、声、固体废物，必须按照“便于计量监测、便于日常现场监督检查”的原则和规范化要求，设置与之相适应的环境保护图形标志牌，标明排污口分布图；</w:t>
            </w:r>
            <w:r>
              <w:rPr>
                <w:rFonts w:hint="default" w:ascii="Times New Roman" w:hAnsi="Times New Roman" w:cs="Times New Roman" w:eastAsiaTheme="minorEastAsia"/>
                <w:color w:val="auto"/>
                <w:sz w:val="24"/>
              </w:rPr>
              <w:t>环评要求</w:t>
            </w:r>
            <w:r>
              <w:rPr>
                <w:rFonts w:hint="default" w:ascii="Times New Roman" w:hAnsi="Times New Roman" w:cs="Times New Roman" w:eastAsiaTheme="minorEastAsia"/>
                <w:color w:val="auto"/>
                <w:sz w:val="24"/>
                <w:lang w:val="zh-CN"/>
              </w:rPr>
              <w:t>按照国家标准 GB15562.1-1995、B15562.2-1995 设置排污标志牌；标志牌设置位置应距污染物排放口（源)或采样点较近且醒目处，并能长久保留；设置高度一般为：标志牌上缘距离地面2m，标志规格为：60cm*40cm。</w:t>
            </w:r>
            <w:r>
              <w:rPr>
                <w:rFonts w:hint="default" w:ascii="Times New Roman" w:hAnsi="Times New Roman" w:cs="Times New Roman" w:eastAsiaTheme="minorEastAsia"/>
                <w:color w:val="auto"/>
                <w:sz w:val="24"/>
              </w:rPr>
              <w:t>建设单位应严格根据《固定污染源排气中颗粒物测定与气态污染物采样方法》(GB/T16157-1996)及《固定源废气监测技术规范》(HJ/T397-2007)要求设置废气采样平台。</w:t>
            </w:r>
          </w:p>
          <w:p w14:paraId="339CDCED">
            <w:pPr>
              <w:spacing w:line="360" w:lineRule="auto"/>
              <w:ind w:firstLine="482"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b/>
                <w:bCs/>
                <w:color w:val="auto"/>
                <w:sz w:val="24"/>
              </w:rPr>
              <w:t>（8）项目废气对敏感点影响分析</w:t>
            </w:r>
          </w:p>
          <w:p w14:paraId="3DA80A6E">
            <w:pPr>
              <w:spacing w:line="360" w:lineRule="auto"/>
              <w:ind w:firstLine="480" w:firstLineChars="200"/>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rPr>
              <w:t>本次环评重点考虑废气对周围敏感点的影响，</w:t>
            </w:r>
            <w:r>
              <w:rPr>
                <w:rFonts w:hint="default" w:ascii="Times New Roman" w:hAnsi="Times New Roman" w:cs="Times New Roman" w:eastAsiaTheme="minorEastAsia"/>
                <w:color w:val="auto"/>
                <w:sz w:val="24"/>
                <w:lang w:val="zh-CN"/>
              </w:rPr>
              <w:t>本次大气环境</w:t>
            </w:r>
            <w:r>
              <w:rPr>
                <w:rFonts w:hint="default" w:ascii="Times New Roman" w:hAnsi="Times New Roman" w:cs="Times New Roman" w:eastAsiaTheme="minorEastAsia"/>
                <w:color w:val="auto"/>
                <w:sz w:val="24"/>
              </w:rPr>
              <w:t>保护目标</w:t>
            </w:r>
            <w:r>
              <w:rPr>
                <w:rFonts w:hint="default" w:ascii="Times New Roman" w:hAnsi="Times New Roman" w:cs="Times New Roman" w:eastAsiaTheme="minorEastAsia"/>
                <w:color w:val="auto"/>
                <w:sz w:val="24"/>
                <w:lang w:val="zh-CN"/>
              </w:rPr>
              <w:t>为项目周边</w:t>
            </w:r>
            <w:r>
              <w:rPr>
                <w:rFonts w:hint="default" w:ascii="Times New Roman" w:hAnsi="Times New Roman" w:cs="Times New Roman" w:eastAsiaTheme="minorEastAsia"/>
                <w:color w:val="auto"/>
                <w:sz w:val="24"/>
              </w:rPr>
              <w:t>500m</w:t>
            </w:r>
            <w:r>
              <w:rPr>
                <w:rFonts w:hint="default" w:ascii="Times New Roman" w:hAnsi="Times New Roman" w:cs="Times New Roman" w:eastAsiaTheme="minorEastAsia"/>
                <w:color w:val="auto"/>
                <w:sz w:val="24"/>
                <w:lang w:val="zh-CN"/>
              </w:rPr>
              <w:t>范围内的敏感点。项目</w:t>
            </w:r>
            <w:r>
              <w:rPr>
                <w:rFonts w:hint="default" w:ascii="Times New Roman" w:hAnsi="Times New Roman" w:cs="Times New Roman" w:eastAsiaTheme="minorEastAsia"/>
                <w:color w:val="auto"/>
                <w:sz w:val="24"/>
                <w:lang w:val="en-US" w:eastAsia="zh-CN"/>
              </w:rPr>
              <w:t>500m范围内无自然保护区、风景名胜区、文化区和农村地区中人群较集中的区域等保护目标。</w:t>
            </w:r>
          </w:p>
          <w:p w14:paraId="0BD4EF91">
            <w:pPr>
              <w:widowControl/>
              <w:spacing w:line="360" w:lineRule="auto"/>
              <w:ind w:firstLine="482" w:firstLineChars="200"/>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（9）废气环境影响分析结论</w:t>
            </w:r>
          </w:p>
          <w:p w14:paraId="38F4B635">
            <w:pPr>
              <w:spacing w:line="360" w:lineRule="auto"/>
              <w:ind w:firstLine="480" w:firstLineChars="200"/>
              <w:rPr>
                <w:rFonts w:hint="eastAsia"/>
                <w:color w:val="auto"/>
                <w:sz w:val="24"/>
                <w:lang w:eastAsia="zh-CN"/>
              </w:rPr>
            </w:pPr>
            <w:r>
              <w:rPr>
                <w:color w:val="auto"/>
                <w:sz w:val="24"/>
                <w:lang w:val="en-GB"/>
              </w:rPr>
              <w:t>根据《</w:t>
            </w:r>
            <w:r>
              <w:rPr>
                <w:color w:val="auto"/>
                <w:sz w:val="24"/>
              </w:rPr>
              <w:t>德宏州</w:t>
            </w:r>
            <w:r>
              <w:rPr>
                <w:rFonts w:hint="eastAsia"/>
                <w:color w:val="auto"/>
                <w:sz w:val="24"/>
              </w:rPr>
              <w:t>202</w:t>
            </w:r>
            <w:r>
              <w:rPr>
                <w:rFonts w:hint="eastAsia"/>
                <w:color w:val="auto"/>
                <w:sz w:val="24"/>
                <w:lang w:val="en-US" w:eastAsia="zh-CN"/>
              </w:rPr>
              <w:t>3</w:t>
            </w:r>
            <w:r>
              <w:rPr>
                <w:color w:val="auto"/>
                <w:sz w:val="24"/>
              </w:rPr>
              <w:t>年环境质量状况公报</w:t>
            </w:r>
            <w:r>
              <w:rPr>
                <w:color w:val="auto"/>
                <w:sz w:val="24"/>
                <w:lang w:val="en-GB"/>
              </w:rPr>
              <w:t>》</w:t>
            </w:r>
            <w:r>
              <w:rPr>
                <w:rFonts w:hint="eastAsia"/>
                <w:color w:val="auto"/>
                <w:sz w:val="24"/>
              </w:rPr>
              <w:t>及</w:t>
            </w:r>
            <w:r>
              <w:rPr>
                <w:rFonts w:hint="eastAsia"/>
                <w:color w:val="auto"/>
                <w:sz w:val="24"/>
                <w:lang w:val="en-US" w:eastAsia="zh-CN"/>
              </w:rPr>
              <w:t>引用</w:t>
            </w:r>
            <w:r>
              <w:rPr>
                <w:rFonts w:hint="eastAsia"/>
                <w:color w:val="auto"/>
                <w:sz w:val="24"/>
              </w:rPr>
              <w:t>现状监测报告</w:t>
            </w:r>
            <w:r>
              <w:rPr>
                <w:color w:val="auto"/>
                <w:sz w:val="24"/>
                <w:lang w:val="en-GB"/>
              </w:rPr>
              <w:t>，项目所在区域为大气环境质量达标区域</w:t>
            </w:r>
            <w:r>
              <w:rPr>
                <w:rFonts w:hint="default" w:ascii="Times New Roman" w:hAnsi="Times New Roman" w:eastAsia="宋体" w:cs="Times New Roman"/>
                <w:bCs/>
                <w:color w:val="auto"/>
                <w:kern w:val="0"/>
                <w:sz w:val="24"/>
                <w:szCs w:val="24"/>
              </w:rPr>
              <w:t>满足《环境空气质量标准》（GB3095-2012）中的二级标准要求。</w:t>
            </w:r>
            <w:r>
              <w:rPr>
                <w:rFonts w:hint="eastAsia"/>
                <w:color w:val="auto"/>
                <w:sz w:val="24"/>
              </w:rPr>
              <w:t>烘干、制棒、炭化</w:t>
            </w:r>
            <w:r>
              <w:rPr>
                <w:color w:val="auto"/>
                <w:sz w:val="24"/>
              </w:rPr>
              <w:t>产生的烟尘、二氧化硫、氮氧化物</w:t>
            </w:r>
            <w:r>
              <w:rPr>
                <w:rFonts w:hint="eastAsia"/>
                <w:color w:val="auto"/>
                <w:sz w:val="24"/>
              </w:rPr>
              <w:t>、烟气黑度以及非甲烷总烃</w:t>
            </w:r>
            <w:r>
              <w:rPr>
                <w:color w:val="auto"/>
                <w:sz w:val="24"/>
              </w:rPr>
              <w:t>；运输车辆尾气等。通过采取生产车间三面设置围挡，车间搭建顶棚，</w:t>
            </w:r>
            <w:r>
              <w:rPr>
                <w:rFonts w:hint="eastAsia"/>
                <w:color w:val="auto"/>
                <w:sz w:val="24"/>
              </w:rPr>
              <w:t>加强管理保持车间卫生清洁；烘干机、制棒、炭化工段24小时运行，制棒、炭化废气引入热风炉燃烧后，统一经</w:t>
            </w:r>
            <w:r>
              <w:rPr>
                <w:rFonts w:hint="eastAsia"/>
                <w:color w:val="auto"/>
                <w:sz w:val="24"/>
                <w:lang w:eastAsia="zh-CN"/>
              </w:rPr>
              <w:t>“</w:t>
            </w:r>
            <w:r>
              <w:rPr>
                <w:rFonts w:hint="eastAsia"/>
                <w:color w:val="auto"/>
                <w:sz w:val="24"/>
                <w:lang w:val="en-US" w:eastAsia="zh-CN"/>
              </w:rPr>
              <w:t>1套袋式除尘装置</w:t>
            </w:r>
            <w:r>
              <w:rPr>
                <w:rFonts w:hint="eastAsia"/>
                <w:color w:val="auto"/>
                <w:sz w:val="24"/>
                <w:lang w:eastAsia="zh-CN"/>
              </w:rPr>
              <w:t>”</w:t>
            </w:r>
            <w:r>
              <w:rPr>
                <w:rFonts w:hint="eastAsia"/>
                <w:color w:val="auto"/>
                <w:sz w:val="24"/>
              </w:rPr>
              <w:t>处理后外排</w:t>
            </w:r>
            <w:r>
              <w:rPr>
                <w:rFonts w:hint="eastAsia"/>
                <w:color w:val="auto"/>
                <w:sz w:val="24"/>
                <w:lang w:eastAsia="zh-CN"/>
              </w:rPr>
              <w:t>。</w:t>
            </w:r>
          </w:p>
          <w:p w14:paraId="05184720">
            <w:pPr>
              <w:adjustRightInd w:val="0"/>
              <w:snapToGrid w:val="0"/>
              <w:spacing w:line="360" w:lineRule="auto"/>
              <w:ind w:firstLine="480" w:firstLineChars="200"/>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Cs/>
                <w:color w:val="auto"/>
                <w:kern w:val="0"/>
                <w:sz w:val="24"/>
                <w:szCs w:val="24"/>
              </w:rPr>
              <w:t>项目各工段产生的粉尘</w:t>
            </w:r>
            <w:r>
              <w:rPr>
                <w:rFonts w:hint="eastAsia" w:cs="Times New Roman"/>
                <w:bCs/>
                <w:color w:val="auto"/>
                <w:kern w:val="0"/>
                <w:sz w:val="24"/>
                <w:szCs w:val="24"/>
                <w:lang w:eastAsia="zh-CN"/>
              </w:rPr>
              <w:t>、</w:t>
            </w:r>
            <w:r>
              <w:rPr>
                <w:rFonts w:hint="default" w:ascii="Times New Roman" w:hAnsi="Times New Roman" w:eastAsia="宋体" w:cs="Times New Roman"/>
                <w:bCs/>
                <w:color w:val="auto"/>
                <w:kern w:val="0"/>
                <w:sz w:val="24"/>
                <w:szCs w:val="24"/>
              </w:rPr>
              <w:t>非甲烷总烃、SO</w:t>
            </w:r>
            <w:r>
              <w:rPr>
                <w:rFonts w:hint="default" w:ascii="Times New Roman" w:hAnsi="Times New Roman" w:eastAsia="宋体" w:cs="Times New Roman"/>
                <w:bCs/>
                <w:color w:val="auto"/>
                <w:kern w:val="0"/>
                <w:sz w:val="24"/>
                <w:szCs w:val="24"/>
                <w:vertAlign w:val="subscript"/>
              </w:rPr>
              <w:t>2</w:t>
            </w:r>
            <w:r>
              <w:rPr>
                <w:rFonts w:hint="default" w:ascii="Times New Roman" w:hAnsi="Times New Roman" w:eastAsia="宋体" w:cs="Times New Roman"/>
                <w:bCs/>
                <w:color w:val="auto"/>
                <w:kern w:val="0"/>
                <w:sz w:val="24"/>
                <w:szCs w:val="24"/>
              </w:rPr>
              <w:t>和NOx</w:t>
            </w:r>
            <w:r>
              <w:rPr>
                <w:rFonts w:hint="eastAsia" w:cs="Times New Roman"/>
                <w:bCs/>
                <w:color w:val="auto"/>
                <w:kern w:val="0"/>
                <w:sz w:val="24"/>
                <w:szCs w:val="24"/>
                <w:lang w:eastAsia="zh-CN"/>
              </w:rPr>
              <w:t>等经处理后</w:t>
            </w:r>
            <w:r>
              <w:rPr>
                <w:rFonts w:hint="default" w:ascii="Times New Roman" w:hAnsi="Times New Roman" w:eastAsia="宋体" w:cs="Times New Roman"/>
                <w:bCs/>
                <w:color w:val="auto"/>
                <w:kern w:val="0"/>
                <w:sz w:val="24"/>
                <w:szCs w:val="24"/>
              </w:rPr>
              <w:t>满足《大气污染物综合排放标准》</w:t>
            </w:r>
            <w:r>
              <w:rPr>
                <w:rFonts w:hint="default" w:ascii="Times New Roman" w:hAnsi="Times New Roman" w:eastAsia="宋体" w:cs="Times New Roman"/>
                <w:bCs/>
                <w:color w:val="auto"/>
                <w:kern w:val="0"/>
                <w:sz w:val="24"/>
                <w:szCs w:val="24"/>
                <w:lang w:eastAsia="zh-CN"/>
              </w:rPr>
              <w:t>（</w:t>
            </w:r>
            <w:r>
              <w:rPr>
                <w:rFonts w:hint="default" w:ascii="Times New Roman" w:hAnsi="Times New Roman" w:eastAsia="宋体" w:cs="Times New Roman"/>
                <w:bCs/>
                <w:color w:val="auto"/>
                <w:kern w:val="0"/>
                <w:sz w:val="24"/>
                <w:szCs w:val="24"/>
              </w:rPr>
              <w:t>GB16297-1996</w:t>
            </w:r>
            <w:r>
              <w:rPr>
                <w:rFonts w:hint="default" w:ascii="Times New Roman" w:hAnsi="Times New Roman" w:eastAsia="宋体" w:cs="Times New Roman"/>
                <w:bCs/>
                <w:color w:val="auto"/>
                <w:kern w:val="0"/>
                <w:sz w:val="24"/>
                <w:szCs w:val="24"/>
                <w:lang w:eastAsia="zh-CN"/>
              </w:rPr>
              <w:t>）</w:t>
            </w:r>
            <w:r>
              <w:rPr>
                <w:rFonts w:hint="default" w:ascii="Times New Roman" w:hAnsi="Times New Roman" w:eastAsia="宋体" w:cs="Times New Roman"/>
                <w:bCs/>
                <w:color w:val="auto"/>
                <w:kern w:val="0"/>
                <w:sz w:val="24"/>
                <w:szCs w:val="24"/>
              </w:rPr>
              <w:t>表2中的二级标准限值；烟（粉</w:t>
            </w:r>
            <w:r>
              <w:rPr>
                <w:rFonts w:hint="default" w:ascii="Times New Roman" w:hAnsi="Times New Roman" w:eastAsia="宋体" w:cs="Times New Roman"/>
                <w:bCs/>
                <w:color w:val="auto"/>
                <w:kern w:val="0"/>
                <w:sz w:val="24"/>
                <w:szCs w:val="24"/>
                <w:lang w:eastAsia="zh-CN"/>
              </w:rPr>
              <w:t>）</w:t>
            </w:r>
            <w:r>
              <w:rPr>
                <w:rFonts w:hint="default" w:ascii="Times New Roman" w:hAnsi="Times New Roman" w:eastAsia="宋体" w:cs="Times New Roman"/>
                <w:bCs/>
                <w:color w:val="auto"/>
                <w:kern w:val="0"/>
                <w:sz w:val="24"/>
                <w:szCs w:val="24"/>
              </w:rPr>
              <w:t>尘、烟气黑度（林格曼黑度）满足《工业炉窑大气污染物排放标准》</w:t>
            </w:r>
            <w:r>
              <w:rPr>
                <w:rFonts w:hint="default" w:ascii="Times New Roman" w:hAnsi="Times New Roman" w:eastAsia="宋体" w:cs="Times New Roman"/>
                <w:bCs/>
                <w:color w:val="auto"/>
                <w:kern w:val="0"/>
                <w:sz w:val="24"/>
                <w:szCs w:val="24"/>
                <w:lang w:eastAsia="zh-CN"/>
              </w:rPr>
              <w:t>（</w:t>
            </w:r>
            <w:r>
              <w:rPr>
                <w:rFonts w:hint="default" w:ascii="Times New Roman" w:hAnsi="Times New Roman" w:eastAsia="宋体" w:cs="Times New Roman"/>
                <w:bCs/>
                <w:color w:val="auto"/>
                <w:kern w:val="0"/>
                <w:sz w:val="24"/>
                <w:szCs w:val="24"/>
              </w:rPr>
              <w:t>GB9078-1996</w:t>
            </w:r>
            <w:r>
              <w:rPr>
                <w:rFonts w:hint="default" w:ascii="Times New Roman" w:hAnsi="Times New Roman" w:eastAsia="宋体" w:cs="Times New Roman"/>
                <w:bCs/>
                <w:color w:val="auto"/>
                <w:kern w:val="0"/>
                <w:sz w:val="24"/>
                <w:szCs w:val="24"/>
                <w:lang w:eastAsia="zh-CN"/>
              </w:rPr>
              <w:t>）</w:t>
            </w:r>
            <w:r>
              <w:rPr>
                <w:rFonts w:hint="default" w:ascii="Times New Roman" w:hAnsi="Times New Roman" w:eastAsia="宋体" w:cs="Times New Roman"/>
                <w:bCs/>
                <w:color w:val="auto"/>
                <w:kern w:val="0"/>
                <w:sz w:val="24"/>
                <w:szCs w:val="24"/>
              </w:rPr>
              <w:t>中“干燥炉、窑”及“其他”二级排放标准限值，对大气环境影响较小。</w:t>
            </w:r>
          </w:p>
          <w:p w14:paraId="228080BA">
            <w:pPr>
              <w:spacing w:line="360" w:lineRule="auto"/>
              <w:ind w:firstLine="480" w:firstLineChars="200"/>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color w:val="auto"/>
                <w:sz w:val="24"/>
              </w:rPr>
              <w:t>综上所述，营运期的废气经过除尘措施后，均能做到达标排放，项目运营期不会改变项目区周边环境空气质量现状，对周围环境影响较小。</w:t>
            </w:r>
            <w:r>
              <w:rPr>
                <w:rFonts w:hint="default" w:ascii="Times New Roman" w:hAnsi="Times New Roman" w:cs="Times New Roman" w:eastAsiaTheme="minorEastAsia"/>
                <w:b/>
                <w:bCs/>
                <w:color w:val="auto"/>
                <w:sz w:val="24"/>
              </w:rPr>
              <w:t xml:space="preserve"> </w:t>
            </w:r>
          </w:p>
          <w:p w14:paraId="0B7CDD90">
            <w:pPr>
              <w:pStyle w:val="2"/>
              <w:spacing w:line="360" w:lineRule="auto"/>
              <w:ind w:left="0" w:firstLine="0"/>
              <w:outlineLvl w:val="0"/>
              <w:rPr>
                <w:rFonts w:hint="default" w:ascii="Times New Roman" w:hAnsi="Times New Roman" w:cs="Times New Roman" w:eastAsiaTheme="minorEastAsia"/>
                <w:color w:val="auto"/>
                <w:sz w:val="24"/>
                <w:szCs w:val="24"/>
              </w:rPr>
            </w:pPr>
            <w:bookmarkStart w:id="13" w:name="_Toc25600"/>
            <w:r>
              <w:rPr>
                <w:rFonts w:hint="default" w:ascii="Times New Roman" w:hAnsi="Times New Roman" w:cs="Times New Roman" w:eastAsiaTheme="minorEastAsia"/>
                <w:color w:val="auto"/>
                <w:sz w:val="24"/>
                <w:szCs w:val="24"/>
              </w:rPr>
              <w:t>2、水环境影响分析</w:t>
            </w:r>
            <w:bookmarkEnd w:id="13"/>
          </w:p>
          <w:p w14:paraId="7838BC42">
            <w:pPr>
              <w:adjustRightInd w:val="0"/>
              <w:snapToGrid w:val="0"/>
              <w:spacing w:line="360" w:lineRule="auto"/>
              <w:ind w:firstLine="241" w:firstLineChars="100"/>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（1）废水产生情况</w:t>
            </w:r>
          </w:p>
          <w:p w14:paraId="45A587DF">
            <w:pPr>
              <w:autoSpaceDE w:val="0"/>
              <w:autoSpaceDN w:val="0"/>
              <w:adjustRightInd w:val="0"/>
              <w:spacing w:line="360" w:lineRule="auto"/>
              <w:ind w:firstLine="480" w:firstLineChars="200"/>
              <w:rPr>
                <w:rFonts w:hint="default" w:ascii="Times New Roman" w:hAnsi="Times New Roman" w:cs="Times New Roman" w:eastAsiaTheme="minorEastAsia"/>
                <w:b/>
                <w:color w:val="auto"/>
                <w:sz w:val="24"/>
              </w:rPr>
            </w:pPr>
            <w:r>
              <w:rPr>
                <w:rFonts w:hint="default" w:ascii="Times New Roman" w:hAnsi="Times New Roman" w:cs="Times New Roman" w:eastAsiaTheme="minorEastAsia"/>
                <w:color w:val="auto"/>
                <w:sz w:val="24"/>
              </w:rPr>
              <w:t>项目生产过程中用水工序主要为办公生活用水，总用水量及废水产生情况见表4-8。</w:t>
            </w:r>
          </w:p>
          <w:p w14:paraId="6B4EA0D5">
            <w:pPr>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b/>
                <w:color w:val="auto"/>
                <w:sz w:val="24"/>
              </w:rPr>
              <w:t>表4-8项目总用水量和废水产生量情况一览表</w:t>
            </w:r>
          </w:p>
          <w:tbl>
            <w:tblPr>
              <w:tblStyle w:val="23"/>
              <w:tblW w:w="80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47"/>
              <w:gridCol w:w="736"/>
              <w:gridCol w:w="629"/>
              <w:gridCol w:w="864"/>
              <w:gridCol w:w="984"/>
              <w:gridCol w:w="1177"/>
              <w:gridCol w:w="811"/>
              <w:gridCol w:w="700"/>
              <w:gridCol w:w="589"/>
              <w:gridCol w:w="1002"/>
            </w:tblGrid>
            <w:tr w14:paraId="2C25B6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1283" w:type="dxa"/>
                  <w:gridSpan w:val="2"/>
                  <w:vMerge w:val="restart"/>
                  <w:tcBorders>
                    <w:top w:val="single" w:color="auto" w:sz="4" w:space="0"/>
                  </w:tcBorders>
                  <w:noWrap w:val="0"/>
                  <w:vAlign w:val="center"/>
                </w:tcPr>
                <w:p w14:paraId="0926486F">
                  <w:pPr>
                    <w:jc w:val="center"/>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bCs/>
                      <w:color w:val="auto"/>
                      <w:szCs w:val="21"/>
                    </w:rPr>
                    <w:t>用水项目</w:t>
                  </w:r>
                </w:p>
              </w:tc>
              <w:tc>
                <w:tcPr>
                  <w:tcW w:w="629" w:type="dxa"/>
                  <w:vMerge w:val="restart"/>
                  <w:noWrap w:val="0"/>
                  <w:vAlign w:val="center"/>
                </w:tcPr>
                <w:p w14:paraId="1D5CE4CD">
                  <w:pPr>
                    <w:jc w:val="center"/>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规模</w:t>
                  </w:r>
                </w:p>
              </w:tc>
              <w:tc>
                <w:tcPr>
                  <w:tcW w:w="864" w:type="dxa"/>
                  <w:vMerge w:val="restart"/>
                  <w:noWrap w:val="0"/>
                  <w:vAlign w:val="center"/>
                </w:tcPr>
                <w:p w14:paraId="3D1B643E">
                  <w:pPr>
                    <w:jc w:val="center"/>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用水定额</w:t>
                  </w:r>
                </w:p>
              </w:tc>
              <w:tc>
                <w:tcPr>
                  <w:tcW w:w="984" w:type="dxa"/>
                  <w:vMerge w:val="restart"/>
                  <w:noWrap w:val="0"/>
                  <w:vAlign w:val="center"/>
                </w:tcPr>
                <w:p w14:paraId="6A1AD6AC">
                  <w:pPr>
                    <w:jc w:val="center"/>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用水天数（d）</w:t>
                  </w:r>
                </w:p>
              </w:tc>
              <w:tc>
                <w:tcPr>
                  <w:tcW w:w="1177" w:type="dxa"/>
                  <w:vMerge w:val="restart"/>
                  <w:noWrap w:val="0"/>
                  <w:vAlign w:val="center"/>
                </w:tcPr>
                <w:p w14:paraId="4B730179">
                  <w:pPr>
                    <w:jc w:val="center"/>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用水量</w:t>
                  </w:r>
                </w:p>
              </w:tc>
              <w:tc>
                <w:tcPr>
                  <w:tcW w:w="811" w:type="dxa"/>
                  <w:vMerge w:val="restart"/>
                  <w:noWrap w:val="0"/>
                  <w:vAlign w:val="center"/>
                </w:tcPr>
                <w:p w14:paraId="341DB766">
                  <w:pPr>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产污系数</w:t>
                  </w:r>
                </w:p>
              </w:tc>
              <w:tc>
                <w:tcPr>
                  <w:tcW w:w="1289" w:type="dxa"/>
                  <w:gridSpan w:val="2"/>
                  <w:noWrap w:val="0"/>
                  <w:vAlign w:val="center"/>
                </w:tcPr>
                <w:p w14:paraId="78B9CC98">
                  <w:pPr>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污水排放量</w:t>
                  </w:r>
                </w:p>
              </w:tc>
              <w:tc>
                <w:tcPr>
                  <w:tcW w:w="1002" w:type="dxa"/>
                  <w:vMerge w:val="restart"/>
                  <w:noWrap w:val="0"/>
                  <w:vAlign w:val="center"/>
                </w:tcPr>
                <w:p w14:paraId="236D285E">
                  <w:pPr>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备注</w:t>
                  </w:r>
                </w:p>
              </w:tc>
            </w:tr>
            <w:tr w14:paraId="08806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7" w:hRule="atLeast"/>
                <w:jc w:val="center"/>
              </w:trPr>
              <w:tc>
                <w:tcPr>
                  <w:tcW w:w="1283" w:type="dxa"/>
                  <w:gridSpan w:val="2"/>
                  <w:vMerge w:val="continue"/>
                  <w:noWrap w:val="0"/>
                  <w:vAlign w:val="center"/>
                </w:tcPr>
                <w:p w14:paraId="38032E80">
                  <w:pPr>
                    <w:jc w:val="center"/>
                    <w:rPr>
                      <w:rFonts w:hint="default" w:ascii="Times New Roman" w:hAnsi="Times New Roman" w:cs="Times New Roman" w:eastAsiaTheme="minorEastAsia"/>
                      <w:color w:val="auto"/>
                      <w:szCs w:val="21"/>
                    </w:rPr>
                  </w:pPr>
                </w:p>
              </w:tc>
              <w:tc>
                <w:tcPr>
                  <w:tcW w:w="629" w:type="dxa"/>
                  <w:vMerge w:val="continue"/>
                  <w:noWrap w:val="0"/>
                  <w:vAlign w:val="center"/>
                </w:tcPr>
                <w:p w14:paraId="5EC277D1">
                  <w:pPr>
                    <w:jc w:val="center"/>
                    <w:rPr>
                      <w:rFonts w:hint="default" w:ascii="Times New Roman" w:hAnsi="Times New Roman" w:cs="Times New Roman" w:eastAsiaTheme="minorEastAsia"/>
                      <w:color w:val="auto"/>
                      <w:szCs w:val="21"/>
                    </w:rPr>
                  </w:pPr>
                </w:p>
              </w:tc>
              <w:tc>
                <w:tcPr>
                  <w:tcW w:w="864" w:type="dxa"/>
                  <w:vMerge w:val="continue"/>
                  <w:noWrap w:val="0"/>
                  <w:vAlign w:val="center"/>
                </w:tcPr>
                <w:p w14:paraId="33AC0277">
                  <w:pPr>
                    <w:jc w:val="center"/>
                    <w:rPr>
                      <w:rFonts w:hint="default" w:ascii="Times New Roman" w:hAnsi="Times New Roman" w:cs="Times New Roman" w:eastAsiaTheme="minorEastAsia"/>
                      <w:color w:val="auto"/>
                      <w:szCs w:val="21"/>
                    </w:rPr>
                  </w:pPr>
                </w:p>
              </w:tc>
              <w:tc>
                <w:tcPr>
                  <w:tcW w:w="984" w:type="dxa"/>
                  <w:vMerge w:val="continue"/>
                  <w:noWrap w:val="0"/>
                  <w:vAlign w:val="center"/>
                </w:tcPr>
                <w:p w14:paraId="06E683F9">
                  <w:pPr>
                    <w:jc w:val="center"/>
                    <w:rPr>
                      <w:rFonts w:hint="default" w:ascii="Times New Roman" w:hAnsi="Times New Roman" w:cs="Times New Roman" w:eastAsiaTheme="minorEastAsia"/>
                      <w:color w:val="auto"/>
                      <w:szCs w:val="21"/>
                    </w:rPr>
                  </w:pPr>
                </w:p>
              </w:tc>
              <w:tc>
                <w:tcPr>
                  <w:tcW w:w="1177" w:type="dxa"/>
                  <w:vMerge w:val="continue"/>
                  <w:noWrap w:val="0"/>
                  <w:vAlign w:val="center"/>
                </w:tcPr>
                <w:p w14:paraId="75974524">
                  <w:pPr>
                    <w:jc w:val="center"/>
                    <w:rPr>
                      <w:rFonts w:hint="default" w:ascii="Times New Roman" w:hAnsi="Times New Roman" w:cs="Times New Roman" w:eastAsiaTheme="minorEastAsia"/>
                      <w:color w:val="auto"/>
                      <w:szCs w:val="21"/>
                    </w:rPr>
                  </w:pPr>
                </w:p>
              </w:tc>
              <w:tc>
                <w:tcPr>
                  <w:tcW w:w="811" w:type="dxa"/>
                  <w:vMerge w:val="continue"/>
                  <w:noWrap w:val="0"/>
                  <w:vAlign w:val="center"/>
                </w:tcPr>
                <w:p w14:paraId="66A12BF7">
                  <w:pPr>
                    <w:rPr>
                      <w:rFonts w:hint="default" w:ascii="Times New Roman" w:hAnsi="Times New Roman" w:cs="Times New Roman" w:eastAsiaTheme="minorEastAsia"/>
                      <w:color w:val="auto"/>
                      <w:szCs w:val="21"/>
                    </w:rPr>
                  </w:pPr>
                </w:p>
              </w:tc>
              <w:tc>
                <w:tcPr>
                  <w:tcW w:w="700" w:type="dxa"/>
                  <w:noWrap w:val="0"/>
                  <w:vAlign w:val="center"/>
                </w:tcPr>
                <w:p w14:paraId="0E5ECE73">
                  <w:pP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m</w:t>
                  </w:r>
                  <w:r>
                    <w:rPr>
                      <w:rFonts w:hint="default" w:ascii="Times New Roman" w:hAnsi="Times New Roman" w:cs="Times New Roman" w:eastAsiaTheme="minorEastAsia"/>
                      <w:b/>
                      <w:bCs/>
                      <w:color w:val="auto"/>
                      <w:szCs w:val="21"/>
                      <w:vertAlign w:val="superscript"/>
                    </w:rPr>
                    <w:t>3</w:t>
                  </w:r>
                  <w:r>
                    <w:rPr>
                      <w:rFonts w:hint="default" w:ascii="Times New Roman" w:hAnsi="Times New Roman" w:cs="Times New Roman" w:eastAsiaTheme="minorEastAsia"/>
                      <w:b/>
                      <w:bCs/>
                      <w:color w:val="auto"/>
                      <w:szCs w:val="21"/>
                    </w:rPr>
                    <w:t>/d</w:t>
                  </w:r>
                </w:p>
              </w:tc>
              <w:tc>
                <w:tcPr>
                  <w:tcW w:w="589" w:type="dxa"/>
                  <w:noWrap w:val="0"/>
                  <w:vAlign w:val="center"/>
                </w:tcPr>
                <w:p w14:paraId="367CC81D">
                  <w:pP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m</w:t>
                  </w:r>
                  <w:r>
                    <w:rPr>
                      <w:rFonts w:hint="default" w:ascii="Times New Roman" w:hAnsi="Times New Roman" w:cs="Times New Roman" w:eastAsiaTheme="minorEastAsia"/>
                      <w:b/>
                      <w:bCs/>
                      <w:color w:val="auto"/>
                      <w:szCs w:val="21"/>
                      <w:vertAlign w:val="superscript"/>
                    </w:rPr>
                    <w:t>3</w:t>
                  </w:r>
                  <w:r>
                    <w:rPr>
                      <w:rFonts w:hint="default" w:ascii="Times New Roman" w:hAnsi="Times New Roman" w:cs="Times New Roman" w:eastAsiaTheme="minorEastAsia"/>
                      <w:b/>
                      <w:bCs/>
                      <w:color w:val="auto"/>
                      <w:szCs w:val="21"/>
                    </w:rPr>
                    <w:t>/a</w:t>
                  </w:r>
                </w:p>
              </w:tc>
              <w:tc>
                <w:tcPr>
                  <w:tcW w:w="1002" w:type="dxa"/>
                  <w:vMerge w:val="continue"/>
                  <w:noWrap w:val="0"/>
                  <w:vAlign w:val="center"/>
                </w:tcPr>
                <w:p w14:paraId="0886F1E9">
                  <w:pPr>
                    <w:rPr>
                      <w:rFonts w:hint="default" w:ascii="Times New Roman" w:hAnsi="Times New Roman" w:cs="Times New Roman" w:eastAsiaTheme="minorEastAsia"/>
                      <w:b/>
                      <w:bCs/>
                      <w:color w:val="auto"/>
                      <w:szCs w:val="21"/>
                    </w:rPr>
                  </w:pPr>
                </w:p>
              </w:tc>
            </w:tr>
            <w:tr w14:paraId="4BFCE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13" w:hRule="atLeast"/>
                <w:jc w:val="center"/>
              </w:trPr>
              <w:tc>
                <w:tcPr>
                  <w:tcW w:w="547" w:type="dxa"/>
                  <w:vMerge w:val="restart"/>
                  <w:noWrap w:val="0"/>
                  <w:vAlign w:val="center"/>
                </w:tcPr>
                <w:p w14:paraId="388572E8">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生活用水</w:t>
                  </w:r>
                </w:p>
              </w:tc>
              <w:tc>
                <w:tcPr>
                  <w:tcW w:w="736" w:type="dxa"/>
                  <w:tcBorders>
                    <w:bottom w:val="single" w:color="auto" w:sz="4" w:space="0"/>
                  </w:tcBorders>
                  <w:noWrap w:val="0"/>
                  <w:vAlign w:val="center"/>
                </w:tcPr>
                <w:p w14:paraId="7FC9517A">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餐饮</w:t>
                  </w:r>
                </w:p>
              </w:tc>
              <w:tc>
                <w:tcPr>
                  <w:tcW w:w="629" w:type="dxa"/>
                  <w:noWrap w:val="0"/>
                  <w:vAlign w:val="center"/>
                </w:tcPr>
                <w:p w14:paraId="4C83C994">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lang w:val="en-US" w:eastAsia="zh-CN"/>
                    </w:rPr>
                    <w:t>45</w:t>
                  </w:r>
                  <w:r>
                    <w:rPr>
                      <w:rFonts w:hint="default" w:ascii="Times New Roman" w:hAnsi="Times New Roman" w:cs="Times New Roman" w:eastAsiaTheme="minorEastAsia"/>
                      <w:color w:val="auto"/>
                      <w:szCs w:val="21"/>
                    </w:rPr>
                    <w:t>人</w:t>
                  </w:r>
                </w:p>
              </w:tc>
              <w:tc>
                <w:tcPr>
                  <w:tcW w:w="864" w:type="dxa"/>
                  <w:tcBorders>
                    <w:top w:val="single" w:color="auto" w:sz="4" w:space="0"/>
                  </w:tcBorders>
                  <w:noWrap w:val="0"/>
                  <w:vAlign w:val="center"/>
                </w:tcPr>
                <w:p w14:paraId="62AC0E9D">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lang w:val="en-US" w:eastAsia="zh-CN"/>
                    </w:rPr>
                    <w:t>20</w:t>
                  </w:r>
                  <w:r>
                    <w:rPr>
                      <w:rFonts w:hint="default" w:ascii="Times New Roman" w:hAnsi="Times New Roman" w:cs="Times New Roman" w:eastAsiaTheme="minorEastAsia"/>
                      <w:color w:val="auto"/>
                      <w:szCs w:val="21"/>
                    </w:rPr>
                    <w:t>L/人·d</w:t>
                  </w:r>
                </w:p>
              </w:tc>
              <w:tc>
                <w:tcPr>
                  <w:tcW w:w="984" w:type="dxa"/>
                  <w:tcBorders>
                    <w:top w:val="single" w:color="auto" w:sz="4" w:space="0"/>
                  </w:tcBorders>
                  <w:noWrap w:val="0"/>
                  <w:vAlign w:val="center"/>
                </w:tcPr>
                <w:p w14:paraId="4380EBCA">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rPr>
                    <w:t>3</w:t>
                  </w:r>
                  <w:r>
                    <w:rPr>
                      <w:rFonts w:hint="default" w:ascii="Times New Roman" w:hAnsi="Times New Roman" w:cs="Times New Roman" w:eastAsiaTheme="minorEastAsia"/>
                      <w:color w:val="auto"/>
                      <w:szCs w:val="21"/>
                      <w:lang w:val="en-US" w:eastAsia="zh-CN"/>
                    </w:rPr>
                    <w:t>20</w:t>
                  </w:r>
                </w:p>
              </w:tc>
              <w:tc>
                <w:tcPr>
                  <w:tcW w:w="1177" w:type="dxa"/>
                  <w:tcBorders>
                    <w:top w:val="single" w:color="auto" w:sz="4" w:space="0"/>
                  </w:tcBorders>
                  <w:noWrap w:val="0"/>
                  <w:vAlign w:val="center"/>
                </w:tcPr>
                <w:p w14:paraId="598D4370">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 w:val="21"/>
                      <w:szCs w:val="21"/>
                      <w:lang w:val="en-US" w:eastAsia="zh-CN"/>
                    </w:rPr>
                    <w:t>288</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Cs w:val="21"/>
                    </w:rPr>
                    <w:t>/a，0.</w:t>
                  </w:r>
                  <w:r>
                    <w:rPr>
                      <w:rFonts w:hint="default" w:ascii="Times New Roman" w:hAnsi="Times New Roman" w:cs="Times New Roman" w:eastAsiaTheme="minorEastAsia"/>
                      <w:color w:val="auto"/>
                      <w:szCs w:val="21"/>
                      <w:lang w:val="en-US" w:eastAsia="zh-CN"/>
                    </w:rPr>
                    <w:t>9</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Cs w:val="21"/>
                    </w:rPr>
                    <w:t>/d；</w:t>
                  </w:r>
                </w:p>
              </w:tc>
              <w:tc>
                <w:tcPr>
                  <w:tcW w:w="811" w:type="dxa"/>
                  <w:tcBorders>
                    <w:top w:val="single" w:color="auto" w:sz="4" w:space="0"/>
                  </w:tcBorders>
                  <w:noWrap w:val="0"/>
                  <w:vAlign w:val="center"/>
                </w:tcPr>
                <w:p w14:paraId="2756AAB9">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rPr>
                    <w:t>0.</w:t>
                  </w:r>
                  <w:r>
                    <w:rPr>
                      <w:rFonts w:hint="default" w:ascii="Times New Roman" w:hAnsi="Times New Roman" w:cs="Times New Roman" w:eastAsiaTheme="minorEastAsia"/>
                      <w:color w:val="auto"/>
                      <w:szCs w:val="21"/>
                      <w:lang w:val="en-US" w:eastAsia="zh-CN"/>
                    </w:rPr>
                    <w:t>8</w:t>
                  </w:r>
                </w:p>
              </w:tc>
              <w:tc>
                <w:tcPr>
                  <w:tcW w:w="700" w:type="dxa"/>
                  <w:tcBorders>
                    <w:top w:val="single" w:color="auto" w:sz="4" w:space="0"/>
                  </w:tcBorders>
                  <w:noWrap w:val="0"/>
                  <w:vAlign w:val="center"/>
                </w:tcPr>
                <w:p w14:paraId="4B68B29A">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rPr>
                    <w:t>0.</w:t>
                  </w:r>
                  <w:r>
                    <w:rPr>
                      <w:rFonts w:hint="default" w:ascii="Times New Roman" w:hAnsi="Times New Roman" w:cs="Times New Roman" w:eastAsiaTheme="minorEastAsia"/>
                      <w:color w:val="auto"/>
                      <w:szCs w:val="21"/>
                      <w:lang w:val="en-US" w:eastAsia="zh-CN"/>
                    </w:rPr>
                    <w:t>72</w:t>
                  </w:r>
                </w:p>
              </w:tc>
              <w:tc>
                <w:tcPr>
                  <w:tcW w:w="589" w:type="dxa"/>
                  <w:tcBorders>
                    <w:top w:val="single" w:color="auto" w:sz="4" w:space="0"/>
                  </w:tcBorders>
                  <w:noWrap w:val="0"/>
                  <w:vAlign w:val="center"/>
                </w:tcPr>
                <w:p w14:paraId="713DF19F">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230</w:t>
                  </w:r>
                </w:p>
              </w:tc>
              <w:tc>
                <w:tcPr>
                  <w:tcW w:w="1002" w:type="dxa"/>
                  <w:tcBorders>
                    <w:top w:val="single" w:color="auto" w:sz="4" w:space="0"/>
                  </w:tcBorders>
                  <w:noWrap w:val="0"/>
                  <w:vAlign w:val="center"/>
                </w:tcPr>
                <w:p w14:paraId="16646568">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隔油池三级化粪池</w:t>
                  </w:r>
                </w:p>
              </w:tc>
            </w:tr>
            <w:tr w14:paraId="7456BB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0" w:hRule="atLeast"/>
                <w:jc w:val="center"/>
              </w:trPr>
              <w:tc>
                <w:tcPr>
                  <w:tcW w:w="547" w:type="dxa"/>
                  <w:vMerge w:val="continue"/>
                  <w:tcBorders>
                    <w:bottom w:val="single" w:color="auto" w:sz="4" w:space="0"/>
                  </w:tcBorders>
                  <w:noWrap w:val="0"/>
                  <w:vAlign w:val="center"/>
                </w:tcPr>
                <w:p w14:paraId="20FBC820">
                  <w:pPr>
                    <w:jc w:val="center"/>
                    <w:rPr>
                      <w:rFonts w:hint="default" w:ascii="Times New Roman" w:hAnsi="Times New Roman" w:cs="Times New Roman" w:eastAsiaTheme="minorEastAsia"/>
                      <w:color w:val="auto"/>
                      <w:szCs w:val="21"/>
                    </w:rPr>
                  </w:pPr>
                </w:p>
              </w:tc>
              <w:tc>
                <w:tcPr>
                  <w:tcW w:w="736" w:type="dxa"/>
                  <w:tcBorders>
                    <w:bottom w:val="single" w:color="auto" w:sz="4" w:space="0"/>
                  </w:tcBorders>
                  <w:noWrap w:val="0"/>
                  <w:vAlign w:val="center"/>
                </w:tcPr>
                <w:p w14:paraId="7667454A">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办公生活</w:t>
                  </w:r>
                </w:p>
              </w:tc>
              <w:tc>
                <w:tcPr>
                  <w:tcW w:w="629" w:type="dxa"/>
                  <w:noWrap w:val="0"/>
                  <w:vAlign w:val="center"/>
                </w:tcPr>
                <w:p w14:paraId="4032E5D1">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lang w:val="en-US" w:eastAsia="zh-CN"/>
                    </w:rPr>
                    <w:t>45</w:t>
                  </w:r>
                  <w:r>
                    <w:rPr>
                      <w:rFonts w:hint="default" w:ascii="Times New Roman" w:hAnsi="Times New Roman" w:cs="Times New Roman" w:eastAsiaTheme="minorEastAsia"/>
                      <w:color w:val="auto"/>
                      <w:szCs w:val="21"/>
                    </w:rPr>
                    <w:t>人</w:t>
                  </w:r>
                </w:p>
              </w:tc>
              <w:tc>
                <w:tcPr>
                  <w:tcW w:w="864" w:type="dxa"/>
                  <w:tcBorders>
                    <w:top w:val="single" w:color="auto" w:sz="4" w:space="0"/>
                  </w:tcBorders>
                  <w:noWrap w:val="0"/>
                  <w:vAlign w:val="center"/>
                </w:tcPr>
                <w:p w14:paraId="1BF6EF0F">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lang w:val="en-US" w:eastAsia="zh-CN"/>
                    </w:rPr>
                    <w:t>60</w:t>
                  </w:r>
                  <w:r>
                    <w:rPr>
                      <w:rFonts w:hint="default" w:ascii="Times New Roman" w:hAnsi="Times New Roman" w:cs="Times New Roman" w:eastAsiaTheme="minorEastAsia"/>
                      <w:color w:val="auto"/>
                      <w:szCs w:val="21"/>
                    </w:rPr>
                    <w:t>L/人·d</w:t>
                  </w:r>
                </w:p>
              </w:tc>
              <w:tc>
                <w:tcPr>
                  <w:tcW w:w="984" w:type="dxa"/>
                  <w:tcBorders>
                    <w:top w:val="single" w:color="auto" w:sz="4" w:space="0"/>
                  </w:tcBorders>
                  <w:noWrap w:val="0"/>
                  <w:vAlign w:val="center"/>
                </w:tcPr>
                <w:p w14:paraId="0C458CB1">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rPr>
                    <w:t>3</w:t>
                  </w:r>
                  <w:r>
                    <w:rPr>
                      <w:rFonts w:hint="default" w:ascii="Times New Roman" w:hAnsi="Times New Roman" w:cs="Times New Roman" w:eastAsiaTheme="minorEastAsia"/>
                      <w:color w:val="auto"/>
                      <w:szCs w:val="21"/>
                      <w:lang w:val="en-US" w:eastAsia="zh-CN"/>
                    </w:rPr>
                    <w:t>20</w:t>
                  </w:r>
                </w:p>
              </w:tc>
              <w:tc>
                <w:tcPr>
                  <w:tcW w:w="1177" w:type="dxa"/>
                  <w:tcBorders>
                    <w:top w:val="single" w:color="auto" w:sz="4" w:space="0"/>
                  </w:tcBorders>
                  <w:noWrap w:val="0"/>
                  <w:vAlign w:val="center"/>
                </w:tcPr>
                <w:p w14:paraId="396B3623">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lang w:val="en-US" w:eastAsia="zh-CN"/>
                    </w:rPr>
                    <w:t>864</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Cs w:val="21"/>
                    </w:rPr>
                    <w:t>/a，</w:t>
                  </w:r>
                  <w:r>
                    <w:rPr>
                      <w:rFonts w:hint="default" w:ascii="Times New Roman" w:hAnsi="Times New Roman" w:cs="Times New Roman" w:eastAsiaTheme="minorEastAsia"/>
                      <w:color w:val="auto"/>
                      <w:szCs w:val="21"/>
                      <w:lang w:val="en-US" w:eastAsia="zh-CN"/>
                    </w:rPr>
                    <w:t>2.7</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Cs w:val="21"/>
                    </w:rPr>
                    <w:t>/d；</w:t>
                  </w:r>
                </w:p>
              </w:tc>
              <w:tc>
                <w:tcPr>
                  <w:tcW w:w="811" w:type="dxa"/>
                  <w:tcBorders>
                    <w:top w:val="single" w:color="auto" w:sz="4" w:space="0"/>
                  </w:tcBorders>
                  <w:noWrap w:val="0"/>
                  <w:vAlign w:val="center"/>
                </w:tcPr>
                <w:p w14:paraId="52847813">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0.8</w:t>
                  </w:r>
                </w:p>
              </w:tc>
              <w:tc>
                <w:tcPr>
                  <w:tcW w:w="700" w:type="dxa"/>
                  <w:tcBorders>
                    <w:top w:val="single" w:color="auto" w:sz="4" w:space="0"/>
                  </w:tcBorders>
                  <w:noWrap w:val="0"/>
                  <w:vAlign w:val="center"/>
                </w:tcPr>
                <w:p w14:paraId="74EF5D58">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2.16</w:t>
                  </w:r>
                </w:p>
              </w:tc>
              <w:tc>
                <w:tcPr>
                  <w:tcW w:w="589" w:type="dxa"/>
                  <w:tcBorders>
                    <w:top w:val="single" w:color="auto" w:sz="4" w:space="0"/>
                  </w:tcBorders>
                  <w:noWrap w:val="0"/>
                  <w:vAlign w:val="center"/>
                </w:tcPr>
                <w:p w14:paraId="2BE696C9">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691</w:t>
                  </w:r>
                </w:p>
              </w:tc>
              <w:tc>
                <w:tcPr>
                  <w:tcW w:w="1002" w:type="dxa"/>
                  <w:tcBorders>
                    <w:top w:val="single" w:color="auto" w:sz="4" w:space="0"/>
                  </w:tcBorders>
                  <w:noWrap w:val="0"/>
                  <w:vAlign w:val="center"/>
                </w:tcPr>
                <w:p w14:paraId="4446F906">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三级化粪池、污水收集池</w:t>
                  </w:r>
                </w:p>
              </w:tc>
            </w:tr>
            <w:tr w14:paraId="0ED3E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1283" w:type="dxa"/>
                  <w:gridSpan w:val="2"/>
                  <w:noWrap w:val="0"/>
                  <w:vAlign w:val="center"/>
                </w:tcPr>
                <w:p w14:paraId="3C9AF2BE">
                  <w:pPr>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合计</w:t>
                  </w:r>
                </w:p>
              </w:tc>
              <w:tc>
                <w:tcPr>
                  <w:tcW w:w="629" w:type="dxa"/>
                  <w:noWrap w:val="0"/>
                  <w:vAlign w:val="center"/>
                </w:tcPr>
                <w:p w14:paraId="4B261077">
                  <w:pPr>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w:t>
                  </w:r>
                </w:p>
              </w:tc>
              <w:tc>
                <w:tcPr>
                  <w:tcW w:w="864" w:type="dxa"/>
                  <w:tcBorders>
                    <w:top w:val="single" w:color="auto" w:sz="4" w:space="0"/>
                    <w:bottom w:val="single" w:color="auto" w:sz="4" w:space="0"/>
                  </w:tcBorders>
                  <w:noWrap w:val="0"/>
                  <w:vAlign w:val="center"/>
                </w:tcPr>
                <w:p w14:paraId="4402BC87">
                  <w:pPr>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color w:val="auto"/>
                      <w:szCs w:val="21"/>
                    </w:rPr>
                    <w:t>/</w:t>
                  </w:r>
                </w:p>
              </w:tc>
              <w:tc>
                <w:tcPr>
                  <w:tcW w:w="984" w:type="dxa"/>
                  <w:tcBorders>
                    <w:top w:val="single" w:color="auto" w:sz="4" w:space="0"/>
                    <w:bottom w:val="single" w:color="auto" w:sz="4" w:space="0"/>
                  </w:tcBorders>
                  <w:noWrap w:val="0"/>
                  <w:vAlign w:val="center"/>
                </w:tcPr>
                <w:p w14:paraId="4EB55061">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w:t>
                  </w:r>
                </w:p>
              </w:tc>
              <w:tc>
                <w:tcPr>
                  <w:tcW w:w="1177" w:type="dxa"/>
                  <w:tcBorders>
                    <w:top w:val="single" w:color="auto" w:sz="4" w:space="0"/>
                    <w:bottom w:val="single" w:color="auto" w:sz="4" w:space="0"/>
                  </w:tcBorders>
                  <w:noWrap w:val="0"/>
                  <w:vAlign w:val="center"/>
                </w:tcPr>
                <w:p w14:paraId="489D91C5">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lang w:val="en-US" w:eastAsia="zh-CN"/>
                    </w:rPr>
                    <w:t>1152</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Cs w:val="21"/>
                    </w:rPr>
                    <w:t>/a，</w:t>
                  </w:r>
                  <w:r>
                    <w:rPr>
                      <w:rFonts w:hint="default" w:ascii="Times New Roman" w:hAnsi="Times New Roman" w:cs="Times New Roman" w:eastAsiaTheme="minorEastAsia"/>
                      <w:color w:val="auto"/>
                      <w:szCs w:val="21"/>
                      <w:lang w:val="en-US" w:eastAsia="zh-CN"/>
                    </w:rPr>
                    <w:t>3.6</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Cs w:val="21"/>
                    </w:rPr>
                    <w:t>/d</w:t>
                  </w:r>
                </w:p>
              </w:tc>
              <w:tc>
                <w:tcPr>
                  <w:tcW w:w="811" w:type="dxa"/>
                  <w:tcBorders>
                    <w:top w:val="single" w:color="auto" w:sz="4" w:space="0"/>
                    <w:bottom w:val="single" w:color="auto" w:sz="4" w:space="0"/>
                  </w:tcBorders>
                  <w:noWrap w:val="0"/>
                  <w:vAlign w:val="center"/>
                </w:tcPr>
                <w:p w14:paraId="0A5E04E6">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0.8</w:t>
                  </w:r>
                </w:p>
              </w:tc>
              <w:tc>
                <w:tcPr>
                  <w:tcW w:w="700" w:type="dxa"/>
                  <w:tcBorders>
                    <w:top w:val="single" w:color="auto" w:sz="4" w:space="0"/>
                    <w:bottom w:val="single" w:color="auto" w:sz="4" w:space="0"/>
                  </w:tcBorders>
                  <w:noWrap w:val="0"/>
                  <w:vAlign w:val="center"/>
                </w:tcPr>
                <w:p w14:paraId="04254F68">
                  <w:pP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2.88</w:t>
                  </w:r>
                </w:p>
              </w:tc>
              <w:tc>
                <w:tcPr>
                  <w:tcW w:w="589" w:type="dxa"/>
                  <w:tcBorders>
                    <w:top w:val="single" w:color="auto" w:sz="4" w:space="0"/>
                    <w:bottom w:val="single" w:color="auto" w:sz="4" w:space="0"/>
                  </w:tcBorders>
                  <w:noWrap w:val="0"/>
                  <w:vAlign w:val="center"/>
                </w:tcPr>
                <w:p w14:paraId="68C78228">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921</w:t>
                  </w:r>
                </w:p>
              </w:tc>
              <w:tc>
                <w:tcPr>
                  <w:tcW w:w="1002" w:type="dxa"/>
                  <w:tcBorders>
                    <w:top w:val="single" w:color="auto" w:sz="4" w:space="0"/>
                    <w:bottom w:val="single" w:color="auto" w:sz="4" w:space="0"/>
                  </w:tcBorders>
                  <w:noWrap w:val="0"/>
                  <w:vAlign w:val="center"/>
                </w:tcPr>
                <w:p w14:paraId="4344A180">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w:t>
                  </w:r>
                </w:p>
              </w:tc>
            </w:tr>
            <w:tr w14:paraId="131FD9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547" w:type="dxa"/>
                  <w:tcBorders>
                    <w:right w:val="single" w:color="auto" w:sz="4" w:space="0"/>
                  </w:tcBorders>
                  <w:noWrap w:val="0"/>
                  <w:vAlign w:val="center"/>
                </w:tcPr>
                <w:p w14:paraId="592C35CE">
                  <w:pPr>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color w:val="auto"/>
                      <w:szCs w:val="21"/>
                    </w:rPr>
                    <w:t>生产用水</w:t>
                  </w:r>
                </w:p>
              </w:tc>
              <w:tc>
                <w:tcPr>
                  <w:tcW w:w="736" w:type="dxa"/>
                  <w:tcBorders>
                    <w:left w:val="single" w:color="auto" w:sz="4" w:space="0"/>
                  </w:tcBorders>
                  <w:noWrap w:val="0"/>
                  <w:vAlign w:val="center"/>
                </w:tcPr>
                <w:p w14:paraId="7C3EF820">
                  <w:pP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闭火、降温用水</w:t>
                  </w:r>
                </w:p>
              </w:tc>
              <w:tc>
                <w:tcPr>
                  <w:tcW w:w="629" w:type="dxa"/>
                  <w:noWrap w:val="0"/>
                  <w:vAlign w:val="center"/>
                </w:tcPr>
                <w:p w14:paraId="70258350">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lang w:val="en-US" w:eastAsia="zh-CN"/>
                    </w:rPr>
                    <w:t>9600</w:t>
                  </w:r>
                  <w:r>
                    <w:rPr>
                      <w:rFonts w:hint="default" w:ascii="Times New Roman" w:hAnsi="Times New Roman" w:cs="Times New Roman" w:eastAsiaTheme="minorEastAsia"/>
                      <w:color w:val="auto"/>
                      <w:szCs w:val="21"/>
                    </w:rPr>
                    <w:t>t/a</w:t>
                  </w:r>
                </w:p>
              </w:tc>
              <w:tc>
                <w:tcPr>
                  <w:tcW w:w="864" w:type="dxa"/>
                  <w:tcBorders>
                    <w:top w:val="single" w:color="auto" w:sz="4" w:space="0"/>
                    <w:bottom w:val="single" w:color="auto" w:sz="4" w:space="0"/>
                  </w:tcBorders>
                  <w:noWrap w:val="0"/>
                  <w:vAlign w:val="center"/>
                </w:tcPr>
                <w:p w14:paraId="46AD5ECB">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200L/t产品</w:t>
                  </w:r>
                </w:p>
              </w:tc>
              <w:tc>
                <w:tcPr>
                  <w:tcW w:w="984" w:type="dxa"/>
                  <w:tcBorders>
                    <w:top w:val="single" w:color="auto" w:sz="4" w:space="0"/>
                    <w:bottom w:val="single" w:color="auto" w:sz="4" w:space="0"/>
                  </w:tcBorders>
                  <w:noWrap w:val="0"/>
                  <w:vAlign w:val="center"/>
                </w:tcPr>
                <w:p w14:paraId="062C3572">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320</w:t>
                  </w:r>
                </w:p>
              </w:tc>
              <w:tc>
                <w:tcPr>
                  <w:tcW w:w="1177" w:type="dxa"/>
                  <w:tcBorders>
                    <w:top w:val="single" w:color="auto" w:sz="4" w:space="0"/>
                    <w:bottom w:val="single" w:color="auto" w:sz="4" w:space="0"/>
                  </w:tcBorders>
                  <w:noWrap w:val="0"/>
                  <w:vAlign w:val="center"/>
                </w:tcPr>
                <w:p w14:paraId="2E406456">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lang w:val="en-US" w:eastAsia="zh-CN"/>
                    </w:rPr>
                    <w:t>1920</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Cs w:val="21"/>
                    </w:rPr>
                    <w:t>/a，</w:t>
                  </w:r>
                  <w:r>
                    <w:rPr>
                      <w:rFonts w:hint="default" w:ascii="Times New Roman" w:hAnsi="Times New Roman" w:cs="Times New Roman" w:eastAsiaTheme="minorEastAsia"/>
                      <w:color w:val="auto"/>
                      <w:szCs w:val="21"/>
                      <w:lang w:val="en-US" w:eastAsia="zh-CN"/>
                    </w:rPr>
                    <w:t>6</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Cs w:val="21"/>
                    </w:rPr>
                    <w:t>/d</w:t>
                  </w:r>
                </w:p>
              </w:tc>
              <w:tc>
                <w:tcPr>
                  <w:tcW w:w="3102" w:type="dxa"/>
                  <w:gridSpan w:val="4"/>
                  <w:tcBorders>
                    <w:top w:val="single" w:color="auto" w:sz="4" w:space="0"/>
                    <w:bottom w:val="single" w:color="auto" w:sz="4" w:space="0"/>
                  </w:tcBorders>
                  <w:noWrap w:val="0"/>
                  <w:vAlign w:val="center"/>
                </w:tcPr>
                <w:p w14:paraId="2B84BE89">
                  <w:pP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自然蒸发不外排</w:t>
                  </w:r>
                </w:p>
              </w:tc>
            </w:tr>
          </w:tbl>
          <w:p w14:paraId="2CC01E27">
            <w:pPr>
              <w:adjustRightInd w:val="0"/>
              <w:snapToGrid w:val="0"/>
              <w:spacing w:line="360" w:lineRule="auto"/>
              <w:rPr>
                <w:rFonts w:hint="default" w:ascii="Times New Roman" w:hAnsi="Times New Roman" w:cs="Times New Roman" w:eastAsiaTheme="minorEastAsia"/>
                <w:b/>
                <w:bCs/>
                <w:color w:val="auto"/>
                <w:sz w:val="24"/>
              </w:rPr>
            </w:pPr>
          </w:p>
          <w:p w14:paraId="024DA214">
            <w:pPr>
              <w:adjustRightInd w:val="0"/>
              <w:snapToGrid w:val="0"/>
              <w:spacing w:line="360" w:lineRule="auto"/>
              <w:ind w:firstLine="241" w:firstLineChars="100"/>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（2）废水产生情况简述</w:t>
            </w:r>
          </w:p>
          <w:p w14:paraId="27F0B121">
            <w:pPr>
              <w:adjustRightInd w:val="0"/>
              <w:snapToGrid w:val="0"/>
              <w:spacing w:line="360" w:lineRule="auto"/>
              <w:ind w:firstLine="480" w:firstLineChars="200"/>
              <w:rPr>
                <w:rFonts w:hint="default" w:ascii="Times New Roman" w:hAnsi="Times New Roman" w:cs="Times New Roman" w:eastAsiaTheme="minorEastAsia"/>
                <w:bCs/>
                <w:color w:val="auto"/>
                <w:sz w:val="24"/>
              </w:rPr>
            </w:pPr>
            <w:r>
              <w:rPr>
                <w:rFonts w:hint="default" w:ascii="Times New Roman" w:hAnsi="Times New Roman" w:cs="Times New Roman" w:eastAsiaTheme="minorEastAsia"/>
                <w:color w:val="auto"/>
                <w:sz w:val="24"/>
              </w:rPr>
              <w:t>①餐饮</w:t>
            </w:r>
            <w:r>
              <w:rPr>
                <w:rFonts w:hint="default" w:ascii="Times New Roman" w:hAnsi="Times New Roman" w:cs="Times New Roman" w:eastAsiaTheme="minorEastAsia"/>
                <w:bCs/>
                <w:color w:val="auto"/>
                <w:sz w:val="24"/>
              </w:rPr>
              <w:t>废水</w:t>
            </w:r>
          </w:p>
          <w:p w14:paraId="7D76CB9F">
            <w:pPr>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根据《云南省地方用水定额标准》（DB53/T168-2019），本项目营运期水量按</w:t>
            </w:r>
            <w:r>
              <w:rPr>
                <w:rFonts w:hint="default" w:ascii="Times New Roman" w:hAnsi="Times New Roman" w:cs="Times New Roman" w:eastAsiaTheme="minorEastAsia"/>
                <w:color w:val="auto"/>
                <w:sz w:val="24"/>
                <w:lang w:val="en-US" w:eastAsia="zh-CN"/>
              </w:rPr>
              <w:t>20</w:t>
            </w:r>
            <w:r>
              <w:rPr>
                <w:rFonts w:hint="default" w:ascii="Times New Roman" w:hAnsi="Times New Roman" w:cs="Times New Roman" w:eastAsiaTheme="minorEastAsia"/>
                <w:color w:val="auto"/>
                <w:sz w:val="24"/>
              </w:rPr>
              <w:t>L/人·d计，产污系数按0.8计。则本项目厨房用水量为0.</w:t>
            </w:r>
            <w:r>
              <w:rPr>
                <w:rFonts w:hint="default" w:ascii="Times New Roman" w:hAnsi="Times New Roman" w:cs="Times New Roman" w:eastAsiaTheme="minorEastAsia"/>
                <w:color w:val="auto"/>
                <w:sz w:val="24"/>
                <w:lang w:val="en-US" w:eastAsia="zh-CN"/>
              </w:rPr>
              <w:t>9</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/d，</w:t>
            </w:r>
            <w:r>
              <w:rPr>
                <w:rFonts w:hint="default" w:ascii="Times New Roman" w:hAnsi="Times New Roman" w:cs="Times New Roman" w:eastAsiaTheme="minorEastAsia"/>
                <w:color w:val="auto"/>
                <w:sz w:val="24"/>
                <w:lang w:val="en-US" w:eastAsia="zh-CN"/>
              </w:rPr>
              <w:t>288</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/a，废水产生量为0.</w:t>
            </w:r>
            <w:r>
              <w:rPr>
                <w:rFonts w:hint="default" w:ascii="Times New Roman" w:hAnsi="Times New Roman" w:cs="Times New Roman" w:eastAsiaTheme="minorEastAsia"/>
                <w:color w:val="auto"/>
                <w:sz w:val="24"/>
                <w:lang w:val="en-US" w:eastAsia="zh-CN"/>
              </w:rPr>
              <w:t>72</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/d，</w:t>
            </w:r>
            <w:r>
              <w:rPr>
                <w:rFonts w:hint="default" w:ascii="Times New Roman" w:hAnsi="Times New Roman" w:cs="Times New Roman" w:eastAsiaTheme="minorEastAsia"/>
                <w:color w:val="auto"/>
                <w:sz w:val="24"/>
                <w:lang w:val="en-US" w:eastAsia="zh-CN"/>
              </w:rPr>
              <w:t>230</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/a；厨房废水主要污染因子为COD、BOD</w:t>
            </w:r>
            <w:r>
              <w:rPr>
                <w:rFonts w:hint="default" w:ascii="Times New Roman" w:hAnsi="Times New Roman" w:cs="Times New Roman" w:eastAsiaTheme="minorEastAsia"/>
                <w:color w:val="auto"/>
                <w:sz w:val="24"/>
                <w:vertAlign w:val="subscript"/>
              </w:rPr>
              <w:t>5</w:t>
            </w:r>
            <w:r>
              <w:rPr>
                <w:rFonts w:hint="default" w:ascii="Times New Roman" w:hAnsi="Times New Roman" w:cs="Times New Roman" w:eastAsiaTheme="minorEastAsia"/>
                <w:color w:val="auto"/>
                <w:sz w:val="24"/>
              </w:rPr>
              <w:t>、总磷、氨氮、动植物油类等。</w:t>
            </w:r>
          </w:p>
          <w:p w14:paraId="121C0DD1">
            <w:pPr>
              <w:adjustRightInd w:val="0"/>
              <w:snapToGrid w:val="0"/>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③办公生活废水</w:t>
            </w:r>
          </w:p>
          <w:p w14:paraId="10A6DE0D">
            <w:pPr>
              <w:adjustRightInd w:val="0"/>
              <w:snapToGrid w:val="0"/>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根据《云南省地方用水定额标准》（DB53/T168-2019），水量以</w:t>
            </w:r>
            <w:r>
              <w:rPr>
                <w:rFonts w:hint="default" w:ascii="Times New Roman" w:hAnsi="Times New Roman" w:cs="Times New Roman" w:eastAsiaTheme="minorEastAsia"/>
                <w:color w:val="auto"/>
                <w:sz w:val="24"/>
                <w:lang w:val="en-US" w:eastAsia="zh-CN"/>
              </w:rPr>
              <w:t>6</w:t>
            </w:r>
            <w:r>
              <w:rPr>
                <w:rFonts w:hint="default" w:ascii="Times New Roman" w:hAnsi="Times New Roman" w:cs="Times New Roman" w:eastAsiaTheme="minorEastAsia"/>
                <w:color w:val="auto"/>
                <w:sz w:val="24"/>
              </w:rPr>
              <w:t>0L/(d·人)计，排放系数按0.8计算。则员工办公生活用水量约为</w:t>
            </w:r>
            <w:r>
              <w:rPr>
                <w:rFonts w:hint="default" w:ascii="Times New Roman" w:hAnsi="Times New Roman" w:cs="Times New Roman" w:eastAsiaTheme="minorEastAsia"/>
                <w:color w:val="auto"/>
                <w:sz w:val="24"/>
                <w:lang w:val="en-US" w:eastAsia="zh-CN"/>
              </w:rPr>
              <w:t>2.7</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/d，</w:t>
            </w:r>
            <w:r>
              <w:rPr>
                <w:rFonts w:hint="default" w:ascii="Times New Roman" w:hAnsi="Times New Roman" w:cs="Times New Roman" w:eastAsiaTheme="minorEastAsia"/>
                <w:color w:val="auto"/>
                <w:sz w:val="24"/>
                <w:lang w:val="en-US" w:eastAsia="zh-CN"/>
              </w:rPr>
              <w:t>864</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/a，生活污水产生量约为</w:t>
            </w:r>
            <w:r>
              <w:rPr>
                <w:rFonts w:hint="default" w:ascii="Times New Roman" w:hAnsi="Times New Roman" w:cs="Times New Roman" w:eastAsiaTheme="minorEastAsia"/>
                <w:color w:val="auto"/>
                <w:sz w:val="24"/>
                <w:lang w:val="en-US" w:eastAsia="zh-CN"/>
              </w:rPr>
              <w:t>2.16</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/d，</w:t>
            </w:r>
            <w:r>
              <w:rPr>
                <w:rFonts w:hint="default" w:ascii="Times New Roman" w:hAnsi="Times New Roman" w:cs="Times New Roman" w:eastAsiaTheme="minorEastAsia"/>
                <w:color w:val="auto"/>
                <w:sz w:val="24"/>
                <w:lang w:val="en-US" w:eastAsia="zh-CN"/>
              </w:rPr>
              <w:t>691</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/a。该部分废水中主要污染物为COD、SS、氨氮和磷酸盐。</w:t>
            </w:r>
          </w:p>
          <w:p w14:paraId="464A092A">
            <w:pPr>
              <w:adjustRightInd w:val="0"/>
              <w:snapToGrid w:val="0"/>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生活污水中污染因子为COD、总氮、NH</w:t>
            </w:r>
            <w:r>
              <w:rPr>
                <w:rFonts w:hint="default" w:ascii="Times New Roman" w:hAnsi="Times New Roman" w:cs="Times New Roman" w:eastAsiaTheme="minorEastAsia"/>
                <w:color w:val="auto"/>
                <w:sz w:val="24"/>
                <w:vertAlign w:val="subscript"/>
              </w:rPr>
              <w:t>3</w:t>
            </w:r>
            <w:r>
              <w:rPr>
                <w:rFonts w:hint="default" w:ascii="Times New Roman" w:hAnsi="Times New Roman" w:cs="Times New Roman" w:eastAsiaTheme="minorEastAsia"/>
                <w:color w:val="auto"/>
                <w:sz w:val="24"/>
              </w:rPr>
              <w:t>-N、SS、TP、动植物油等。根据《农村生活污水治理技术指南》（DB53/T1163-2023）中表2农村生活污水水质参考取值表，本次环取中间值COD：200mg/L、总氮：40mg/L、NH</w:t>
            </w:r>
            <w:r>
              <w:rPr>
                <w:rFonts w:hint="default" w:ascii="Times New Roman" w:hAnsi="Times New Roman" w:cs="Times New Roman" w:eastAsiaTheme="minorEastAsia"/>
                <w:color w:val="auto"/>
                <w:sz w:val="24"/>
                <w:vertAlign w:val="subscript"/>
              </w:rPr>
              <w:t>3</w:t>
            </w:r>
            <w:r>
              <w:rPr>
                <w:rFonts w:hint="default" w:ascii="Times New Roman" w:hAnsi="Times New Roman" w:cs="Times New Roman" w:eastAsiaTheme="minorEastAsia"/>
                <w:color w:val="auto"/>
                <w:sz w:val="24"/>
              </w:rPr>
              <w:t>-N：35mg/L、SS：140mg/L、总磷4.0mg/L、动植物油20mg/L。</w:t>
            </w:r>
          </w:p>
          <w:p w14:paraId="7F9654CF">
            <w:pPr>
              <w:autoSpaceDE w:val="0"/>
              <w:autoSpaceDN w:val="0"/>
              <w:adjustRightInd w:val="0"/>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③闭火降温用水</w:t>
            </w:r>
          </w:p>
          <w:p w14:paraId="36018531">
            <w:pPr>
              <w:tabs>
                <w:tab w:val="left" w:pos="4680"/>
              </w:tabs>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根据生产工艺要求，产品满足炭化时间后，采用行吊将装有产品的铁箱调出暂放于闭火区进行闭火，闭火区地面设置10cm水面，并对取出的产品进行洒水降温；根据建设单位生产经营闭火降温用水量为200L/t产品，项目年产</w:t>
            </w:r>
            <w:r>
              <w:rPr>
                <w:rFonts w:hint="default" w:ascii="Times New Roman" w:hAnsi="Times New Roman" w:cs="Times New Roman" w:eastAsiaTheme="minorEastAsia"/>
                <w:color w:val="auto"/>
                <w:sz w:val="24"/>
                <w:lang w:val="en-US" w:eastAsia="zh-CN"/>
              </w:rPr>
              <w:t>9600</w:t>
            </w:r>
            <w:r>
              <w:rPr>
                <w:rFonts w:hint="default" w:ascii="Times New Roman" w:hAnsi="Times New Roman" w:cs="Times New Roman" w:eastAsiaTheme="minorEastAsia"/>
                <w:color w:val="auto"/>
                <w:sz w:val="24"/>
              </w:rPr>
              <w:t>吨机制炭，则闭降温用水为</w:t>
            </w:r>
            <w:r>
              <w:rPr>
                <w:rFonts w:hint="default" w:ascii="Times New Roman" w:hAnsi="Times New Roman" w:cs="Times New Roman" w:eastAsiaTheme="minorEastAsia"/>
                <w:color w:val="auto"/>
                <w:sz w:val="24"/>
                <w:lang w:val="en-US" w:eastAsia="zh-CN"/>
              </w:rPr>
              <w:t>6</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/d，</w:t>
            </w:r>
            <w:r>
              <w:rPr>
                <w:rFonts w:hint="default" w:ascii="Times New Roman" w:hAnsi="Times New Roman" w:cs="Times New Roman" w:eastAsiaTheme="minorEastAsia"/>
                <w:color w:val="auto"/>
                <w:sz w:val="24"/>
                <w:lang w:val="en-US" w:eastAsia="zh-CN"/>
              </w:rPr>
              <w:t>1920</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/a，闭火降温用水自然蒸发不外排。</w:t>
            </w:r>
          </w:p>
          <w:p w14:paraId="022CF4DE">
            <w:pPr>
              <w:adjustRightInd w:val="0"/>
              <w:snapToGrid w:val="0"/>
              <w:spacing w:line="360" w:lineRule="auto"/>
              <w:ind w:firstLine="241" w:firstLineChars="100"/>
              <w:jc w:val="left"/>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（3）地表水环境影响及措施可行性分析</w:t>
            </w:r>
          </w:p>
          <w:p w14:paraId="4C2D97F2">
            <w:pPr>
              <w:adjustRightInd w:val="0"/>
              <w:snapToGrid w:val="0"/>
              <w:spacing w:line="360" w:lineRule="auto"/>
              <w:ind w:firstLine="480" w:firstLineChars="200"/>
              <w:rPr>
                <w:rFonts w:hint="eastAsia" w:cs="Times New Roman" w:eastAsiaTheme="minorEastAsia"/>
                <w:color w:val="auto"/>
                <w:sz w:val="24"/>
                <w:highlight w:val="none"/>
                <w:lang w:eastAsia="zh-CN"/>
              </w:rPr>
            </w:pPr>
            <w:r>
              <w:rPr>
                <w:rFonts w:hint="default" w:ascii="Times New Roman" w:hAnsi="Times New Roman" w:cs="Times New Roman" w:eastAsiaTheme="minorEastAsia"/>
                <w:color w:val="auto"/>
                <w:sz w:val="24"/>
                <w:highlight w:val="none"/>
              </w:rPr>
              <w:t>项目</w:t>
            </w:r>
            <w:r>
              <w:rPr>
                <w:rFonts w:hint="eastAsia" w:cs="Times New Roman" w:eastAsiaTheme="minorEastAsia"/>
                <w:color w:val="auto"/>
                <w:sz w:val="24"/>
                <w:highlight w:val="none"/>
                <w:lang w:eastAsia="zh-CN"/>
              </w:rPr>
              <w:t>生产区废水主要为冷却降温用水，自然蒸发不排外；</w:t>
            </w:r>
          </w:p>
          <w:p w14:paraId="1B0596D9">
            <w:pPr>
              <w:adjustRightInd w:val="0"/>
              <w:snapToGrid w:val="0"/>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highlight w:val="none"/>
              </w:rPr>
              <w:t>职工生活</w:t>
            </w:r>
            <w:r>
              <w:rPr>
                <w:rFonts w:hint="eastAsia" w:cs="Times New Roman" w:eastAsiaTheme="minorEastAsia"/>
                <w:color w:val="auto"/>
                <w:sz w:val="24"/>
                <w:highlight w:val="none"/>
                <w:lang w:eastAsia="zh-CN"/>
              </w:rPr>
              <w:t>依托附近民房原有</w:t>
            </w:r>
            <w:r>
              <w:rPr>
                <w:rFonts w:hint="default" w:ascii="Times New Roman" w:hAnsi="Times New Roman" w:cs="Times New Roman" w:eastAsiaTheme="minorEastAsia"/>
                <w:color w:val="auto"/>
                <w:sz w:val="24"/>
                <w:highlight w:val="none"/>
              </w:rPr>
              <w:t>隔油池处理后排入卫浴间三级化粪池处理后于农田、果园等</w:t>
            </w:r>
            <w:r>
              <w:rPr>
                <w:rFonts w:hint="eastAsia" w:cs="Times New Roman" w:eastAsiaTheme="minorEastAsia"/>
                <w:color w:val="auto"/>
                <w:sz w:val="24"/>
                <w:highlight w:val="none"/>
                <w:lang w:eastAsia="zh-CN"/>
              </w:rPr>
              <w:t>做农肥。</w:t>
            </w:r>
          </w:p>
          <w:p w14:paraId="1BCC6AD4">
            <w:pPr>
              <w:adjustRightInd w:val="0"/>
              <w:snapToGrid w:val="0"/>
              <w:spacing w:line="360" w:lineRule="auto"/>
              <w:jc w:val="left"/>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（4）水环境影响评价结论</w:t>
            </w:r>
          </w:p>
          <w:p w14:paraId="7D945912">
            <w:pPr>
              <w:tabs>
                <w:tab w:val="left" w:pos="6482"/>
              </w:tabs>
              <w:adjustRightInd w:val="0"/>
              <w:snapToGrid w:val="0"/>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项目区雨污分流，雨水经初期雨水收集池收集后用于洒水降尘，后期清净雨水排入周边水体；餐饮废水、办公生活污水经隔油池、三级化粪池处理</w:t>
            </w:r>
            <w:r>
              <w:rPr>
                <w:rFonts w:hint="default" w:ascii="Times New Roman" w:hAnsi="Times New Roman" w:cs="Times New Roman" w:eastAsiaTheme="minorEastAsia"/>
                <w:color w:val="auto"/>
                <w:sz w:val="24"/>
                <w:highlight w:val="none"/>
              </w:rPr>
              <w:t>后</w:t>
            </w:r>
            <w:r>
              <w:rPr>
                <w:rFonts w:hint="eastAsia" w:cs="Times New Roman" w:eastAsiaTheme="minorEastAsia"/>
                <w:color w:val="auto"/>
                <w:sz w:val="24"/>
                <w:highlight w:val="none"/>
                <w:lang w:eastAsia="zh-CN"/>
              </w:rPr>
              <w:t>用</w:t>
            </w:r>
            <w:r>
              <w:rPr>
                <w:rFonts w:hint="default" w:ascii="Times New Roman" w:hAnsi="Times New Roman" w:cs="Times New Roman" w:eastAsiaTheme="minorEastAsia"/>
                <w:color w:val="auto"/>
                <w:sz w:val="24"/>
                <w:highlight w:val="none"/>
              </w:rPr>
              <w:t>于农田、果园等</w:t>
            </w:r>
            <w:r>
              <w:rPr>
                <w:rFonts w:hint="eastAsia" w:cs="Times New Roman" w:eastAsiaTheme="minorEastAsia"/>
                <w:color w:val="auto"/>
                <w:sz w:val="24"/>
                <w:highlight w:val="none"/>
                <w:lang w:eastAsia="zh-CN"/>
              </w:rPr>
              <w:t>做农肥。</w:t>
            </w:r>
          </w:p>
          <w:p w14:paraId="5EE6CA71">
            <w:pPr>
              <w:spacing w:line="360" w:lineRule="auto"/>
              <w:ind w:firstLine="57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综上，项目生活污水</w:t>
            </w:r>
            <w:r>
              <w:rPr>
                <w:rFonts w:hint="eastAsia" w:cs="Times New Roman" w:eastAsiaTheme="minorEastAsia"/>
                <w:color w:val="auto"/>
                <w:sz w:val="24"/>
                <w:lang w:eastAsia="zh-CN"/>
              </w:rPr>
              <w:t>可</w:t>
            </w:r>
            <w:r>
              <w:rPr>
                <w:rFonts w:hint="default" w:ascii="Times New Roman" w:hAnsi="Times New Roman" w:cs="Times New Roman" w:eastAsiaTheme="minorEastAsia"/>
                <w:color w:val="auto"/>
                <w:sz w:val="24"/>
              </w:rPr>
              <w:t>以得到妥善处置，因此，项目废水不会对地表水造成环境影响。</w:t>
            </w:r>
          </w:p>
          <w:p w14:paraId="7C859F31">
            <w:pPr>
              <w:adjustRightInd w:val="0"/>
              <w:snapToGrid w:val="0"/>
              <w:spacing w:line="360" w:lineRule="auto"/>
              <w:ind w:firstLine="482" w:firstLineChars="200"/>
              <w:jc w:val="left"/>
              <w:rPr>
                <w:rFonts w:hint="default" w:ascii="Times New Roman" w:hAnsi="Times New Roman" w:cs="Times New Roman" w:eastAsiaTheme="minorEastAsia"/>
                <w:color w:val="auto"/>
                <w:sz w:val="24"/>
              </w:rPr>
            </w:pPr>
            <w:r>
              <w:rPr>
                <w:rFonts w:hint="default" w:ascii="Times New Roman" w:hAnsi="Times New Roman" w:cs="Times New Roman" w:eastAsiaTheme="minorEastAsia"/>
                <w:b/>
                <w:bCs/>
                <w:color w:val="auto"/>
                <w:sz w:val="24"/>
              </w:rPr>
              <w:t>3、噪声环境影响分析</w:t>
            </w:r>
          </w:p>
          <w:p w14:paraId="63F7EF19">
            <w:pPr>
              <w:autoSpaceDE w:val="0"/>
              <w:autoSpaceDN w:val="0"/>
              <w:adjustRightInd w:val="0"/>
              <w:spacing w:line="360" w:lineRule="auto"/>
              <w:ind w:firstLine="241" w:firstLineChars="100"/>
              <w:jc w:val="left"/>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（1）噪声源强分析</w:t>
            </w:r>
          </w:p>
          <w:p w14:paraId="13362DD1">
            <w:pPr>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①交通噪声影响及措施分析</w:t>
            </w:r>
          </w:p>
          <w:p w14:paraId="00ED10D9">
            <w:pPr>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本项目运输车辆交通噪声级约为 60~75dB(A)，主要声源为原料、产品运输车辆、装载机转运等，为了避免对沿线居民点造成交通噪声影响，鉴于此，运输车辆出入厂区的时间，应充分考虑到村民的出工劳作和收工作息的时间规律及特点，错开午间和夜间运输，车辆在沿线行驶遇敏感保护目标时应采取禁止鸣笛、限制车速等措施，降低噪声对沿线保护目标的影响。</w:t>
            </w:r>
          </w:p>
          <w:p w14:paraId="091413F3">
            <w:pPr>
              <w:pStyle w:val="12"/>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②设备噪声影响及措施分析</w:t>
            </w:r>
          </w:p>
          <w:p w14:paraId="7C0EC020">
            <w:pPr>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项目运营期设备噪声源主要为绞笼、滚筒筛、制棒机、烘干机、水泵、风机等设备运行产生的噪声；由于林产化学产品制造业、工业炉窑污染源源强核算技术指南尚未发布，本次环评通过类比同类型企业《盈江县宏臻公司塑料颗粒、机制炭加工项目》及《污染源源强核算技术指南 锅炉》（HJ991-2018）附录中给出的相关设备噪声源强及常见的降噪隔声措施，其噪声级一般在70～90dB（A）之间。</w:t>
            </w:r>
          </w:p>
          <w:p w14:paraId="4E785D8A">
            <w:pPr>
              <w:adjustRightInd w:val="0"/>
              <w:snapToGrid w:val="0"/>
              <w:spacing w:line="360" w:lineRule="auto"/>
              <w:ind w:firstLine="48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2"/>
              </w:rPr>
              <w:t>通过设备选型尽可能选用低噪声、振动小的设备，对产噪设备安装橡胶减震垫，风机进出口采用软连接，以减少风管</w:t>
            </w:r>
            <w:r>
              <w:rPr>
                <w:rFonts w:hint="eastAsia" w:cs="Times New Roman" w:eastAsiaTheme="minorEastAsia"/>
                <w:color w:val="auto"/>
                <w:sz w:val="24"/>
                <w:szCs w:val="22"/>
                <w:lang w:eastAsia="zh-CN"/>
              </w:rPr>
              <w:t>振动</w:t>
            </w:r>
            <w:r>
              <w:rPr>
                <w:rFonts w:hint="default" w:ascii="Times New Roman" w:hAnsi="Times New Roman" w:cs="Times New Roman" w:eastAsiaTheme="minorEastAsia"/>
                <w:color w:val="auto"/>
                <w:sz w:val="24"/>
                <w:szCs w:val="22"/>
              </w:rPr>
              <w:t>，降低噪声；合理布局，充分利用建筑物隔声、距离衰减减低噪声。落实以上降噪、隔声治理措施后，可降噪15-25dB(A)。本次环评按照同时运行最大数量来进行预测，降噪后的噪声源强及距各厂界的距离见表</w:t>
            </w:r>
            <w:r>
              <w:rPr>
                <w:rFonts w:hint="default" w:ascii="Times New Roman" w:hAnsi="Times New Roman" w:cs="Times New Roman" w:eastAsiaTheme="minorEastAsia"/>
                <w:color w:val="auto"/>
                <w:sz w:val="24"/>
              </w:rPr>
              <w:t xml:space="preserve">4-10。      </w:t>
            </w:r>
          </w:p>
        </w:tc>
      </w:tr>
    </w:tbl>
    <w:p w14:paraId="6085FC66">
      <w:pPr>
        <w:pStyle w:val="20"/>
        <w:numPr>
          <w:ilvl w:val="0"/>
          <w:numId w:val="0"/>
        </w:numPr>
        <w:spacing w:before="0" w:beforeAutospacing="0" w:after="0" w:afterAutospacing="0"/>
        <w:ind w:leftChars="300"/>
        <w:jc w:val="both"/>
        <w:outlineLvl w:val="0"/>
        <w:rPr>
          <w:rFonts w:hint="eastAsia" w:ascii="黑体" w:hAnsi="黑体" w:eastAsia="黑体"/>
          <w:snapToGrid w:val="0"/>
          <w:sz w:val="30"/>
          <w:szCs w:val="30"/>
        </w:rPr>
        <w:sectPr>
          <w:pgSz w:w="11906" w:h="16838"/>
          <w:pgMar w:top="1440" w:right="1800" w:bottom="1440" w:left="1800" w:header="851" w:footer="992" w:gutter="0"/>
          <w:pgNumType w:fmt="decimal"/>
          <w:cols w:space="425" w:num="1"/>
          <w:docGrid w:type="lines" w:linePitch="312"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13679"/>
      </w:tblGrid>
      <w:tr w14:paraId="50AD5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2" w:hRule="atLeast"/>
        </w:trPr>
        <w:tc>
          <w:tcPr>
            <w:tcW w:w="495" w:type="dxa"/>
            <w:noWrap w:val="0"/>
            <w:vAlign w:val="top"/>
          </w:tcPr>
          <w:p w14:paraId="0668F169">
            <w:pPr>
              <w:adjustRightInd w:val="0"/>
              <w:snapToGrid w:val="0"/>
              <w:jc w:val="center"/>
              <w:rPr>
                <w:rFonts w:hint="eastAsia" w:ascii="宋体" w:hAnsi="宋体" w:cs="宋体"/>
                <w:b/>
                <w:sz w:val="24"/>
              </w:rPr>
            </w:pPr>
            <w:r>
              <w:rPr>
                <w:rFonts w:hint="eastAsia" w:ascii="宋体" w:hAnsi="宋体" w:cs="宋体"/>
                <w:b/>
                <w:sz w:val="24"/>
              </w:rPr>
              <w:t>运营</w:t>
            </w:r>
          </w:p>
          <w:p w14:paraId="1CE1B7FF">
            <w:pPr>
              <w:adjustRightInd w:val="0"/>
              <w:snapToGrid w:val="0"/>
              <w:jc w:val="center"/>
              <w:rPr>
                <w:rFonts w:hint="eastAsia" w:ascii="宋体" w:hAnsi="宋体" w:cs="宋体"/>
                <w:b/>
                <w:sz w:val="24"/>
              </w:rPr>
            </w:pPr>
            <w:r>
              <w:rPr>
                <w:rFonts w:hint="eastAsia" w:ascii="宋体" w:hAnsi="宋体" w:cs="宋体"/>
                <w:b/>
                <w:sz w:val="24"/>
              </w:rPr>
              <w:t>期环</w:t>
            </w:r>
          </w:p>
          <w:p w14:paraId="16E710EB">
            <w:pPr>
              <w:adjustRightInd w:val="0"/>
              <w:snapToGrid w:val="0"/>
              <w:jc w:val="center"/>
              <w:rPr>
                <w:rFonts w:hint="eastAsia" w:ascii="宋体" w:hAnsi="宋体" w:cs="宋体"/>
                <w:b/>
                <w:sz w:val="24"/>
              </w:rPr>
            </w:pPr>
            <w:r>
              <w:rPr>
                <w:rFonts w:hint="eastAsia" w:ascii="宋体" w:hAnsi="宋体" w:cs="宋体"/>
                <w:b/>
                <w:sz w:val="24"/>
              </w:rPr>
              <w:t>境影</w:t>
            </w:r>
          </w:p>
          <w:p w14:paraId="52DDA508">
            <w:pPr>
              <w:adjustRightInd w:val="0"/>
              <w:snapToGrid w:val="0"/>
              <w:jc w:val="center"/>
              <w:rPr>
                <w:rFonts w:hint="eastAsia" w:ascii="宋体" w:hAnsi="宋体" w:cs="宋体"/>
                <w:b/>
                <w:sz w:val="24"/>
              </w:rPr>
            </w:pPr>
            <w:r>
              <w:rPr>
                <w:rFonts w:hint="eastAsia" w:ascii="宋体" w:hAnsi="宋体" w:cs="宋体"/>
                <w:b/>
                <w:sz w:val="24"/>
              </w:rPr>
              <w:t>响和</w:t>
            </w:r>
          </w:p>
          <w:p w14:paraId="5E3CF94F">
            <w:pPr>
              <w:adjustRightInd w:val="0"/>
              <w:snapToGrid w:val="0"/>
              <w:jc w:val="center"/>
              <w:rPr>
                <w:rFonts w:hint="eastAsia" w:ascii="宋体" w:hAnsi="宋体" w:cs="宋体"/>
                <w:b/>
                <w:sz w:val="24"/>
              </w:rPr>
            </w:pPr>
            <w:r>
              <w:rPr>
                <w:rFonts w:hint="eastAsia" w:ascii="宋体" w:hAnsi="宋体" w:cs="宋体"/>
                <w:b/>
                <w:sz w:val="24"/>
              </w:rPr>
              <w:t>保护</w:t>
            </w:r>
          </w:p>
          <w:p w14:paraId="017DAB1C">
            <w:pPr>
              <w:pStyle w:val="12"/>
              <w:rPr>
                <w:rFonts w:hint="eastAsia"/>
              </w:rPr>
            </w:pPr>
            <w:r>
              <w:rPr>
                <w:rFonts w:hint="eastAsia" w:hAnsi="宋体" w:cs="宋体"/>
                <w:b/>
                <w:sz w:val="24"/>
                <w:szCs w:val="24"/>
              </w:rPr>
              <w:t>措施</w:t>
            </w:r>
          </w:p>
        </w:tc>
        <w:tc>
          <w:tcPr>
            <w:tcW w:w="13679" w:type="dxa"/>
            <w:noWrap w:val="0"/>
            <w:vAlign w:val="top"/>
          </w:tcPr>
          <w:p w14:paraId="073AE6DF">
            <w:pPr>
              <w:pStyle w:val="55"/>
              <w:ind w:firstLine="482" w:firstLineChars="200"/>
              <w:jc w:val="center"/>
              <w:rPr>
                <w:b/>
                <w:bCs/>
                <w:sz w:val="24"/>
              </w:rPr>
            </w:pPr>
          </w:p>
          <w:p w14:paraId="76F1A829">
            <w:pPr>
              <w:pStyle w:val="55"/>
              <w:ind w:firstLine="482" w:firstLineChars="200"/>
              <w:jc w:val="center"/>
              <w:rPr>
                <w:b/>
                <w:bCs/>
                <w:sz w:val="24"/>
              </w:rPr>
            </w:pPr>
            <w:r>
              <w:rPr>
                <w:b/>
                <w:bCs/>
                <w:sz w:val="24"/>
              </w:rPr>
              <w:t>表4-</w:t>
            </w:r>
            <w:r>
              <w:rPr>
                <w:rFonts w:hint="eastAsia"/>
                <w:b/>
                <w:bCs/>
                <w:sz w:val="24"/>
              </w:rPr>
              <w:t>10</w:t>
            </w:r>
            <w:r>
              <w:rPr>
                <w:b/>
                <w:bCs/>
                <w:sz w:val="24"/>
              </w:rPr>
              <w:t>主要设备噪声源强及治理措施距各厂界的距离情况表</w:t>
            </w:r>
          </w:p>
          <w:tbl>
            <w:tblPr>
              <w:tblStyle w:val="23"/>
              <w:tblpPr w:leftFromText="180" w:rightFromText="180" w:vertAnchor="text" w:horzAnchor="page" w:tblpX="109" w:tblpY="184"/>
              <w:tblOverlap w:val="never"/>
              <w:tblW w:w="487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465"/>
              <w:gridCol w:w="465"/>
              <w:gridCol w:w="465"/>
              <w:gridCol w:w="841"/>
              <w:gridCol w:w="4765"/>
              <w:gridCol w:w="854"/>
              <w:gridCol w:w="913"/>
              <w:gridCol w:w="777"/>
              <w:gridCol w:w="777"/>
              <w:gridCol w:w="777"/>
              <w:gridCol w:w="788"/>
              <w:gridCol w:w="763"/>
            </w:tblGrid>
            <w:tr w14:paraId="0FA49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177" w:type="pct"/>
                  <w:vMerge w:val="restart"/>
                  <w:noWrap w:val="0"/>
                  <w:vAlign w:val="center"/>
                </w:tcPr>
                <w:p w14:paraId="205441F2">
                  <w:pPr>
                    <w:jc w:val="center"/>
                    <w:rPr>
                      <w:b/>
                      <w:bCs/>
                      <w:color w:val="auto"/>
                    </w:rPr>
                  </w:pPr>
                  <w:r>
                    <w:rPr>
                      <w:b/>
                      <w:bCs/>
                      <w:color w:val="auto"/>
                    </w:rPr>
                    <w:t>序号</w:t>
                  </w:r>
                </w:p>
              </w:tc>
              <w:tc>
                <w:tcPr>
                  <w:tcW w:w="177" w:type="pct"/>
                  <w:vMerge w:val="restart"/>
                  <w:noWrap w:val="0"/>
                  <w:vAlign w:val="center"/>
                </w:tcPr>
                <w:p w14:paraId="60CDD23D">
                  <w:pPr>
                    <w:rPr>
                      <w:b/>
                      <w:bCs/>
                      <w:color w:val="auto"/>
                    </w:rPr>
                  </w:pPr>
                  <w:r>
                    <w:rPr>
                      <w:b/>
                      <w:bCs/>
                      <w:color w:val="auto"/>
                    </w:rPr>
                    <w:t>建筑物名称</w:t>
                  </w:r>
                </w:p>
              </w:tc>
              <w:tc>
                <w:tcPr>
                  <w:tcW w:w="177" w:type="pct"/>
                  <w:vMerge w:val="restart"/>
                  <w:noWrap w:val="0"/>
                  <w:vAlign w:val="center"/>
                </w:tcPr>
                <w:p w14:paraId="65868415">
                  <w:pPr>
                    <w:jc w:val="center"/>
                    <w:rPr>
                      <w:b/>
                      <w:bCs/>
                      <w:color w:val="auto"/>
                    </w:rPr>
                  </w:pPr>
                  <w:r>
                    <w:rPr>
                      <w:b/>
                      <w:bCs/>
                      <w:color w:val="auto"/>
                    </w:rPr>
                    <w:t>声源</w:t>
                  </w:r>
                </w:p>
              </w:tc>
              <w:tc>
                <w:tcPr>
                  <w:tcW w:w="177" w:type="pct"/>
                  <w:vMerge w:val="restart"/>
                  <w:noWrap w:val="0"/>
                  <w:vAlign w:val="center"/>
                </w:tcPr>
                <w:p w14:paraId="49CC6564">
                  <w:pPr>
                    <w:jc w:val="center"/>
                    <w:rPr>
                      <w:b/>
                      <w:bCs/>
                      <w:color w:val="auto"/>
                    </w:rPr>
                  </w:pPr>
                  <w:r>
                    <w:rPr>
                      <w:b/>
                      <w:bCs/>
                      <w:color w:val="auto"/>
                    </w:rPr>
                    <w:t>同时运行数量</w:t>
                  </w:r>
                </w:p>
              </w:tc>
              <w:tc>
                <w:tcPr>
                  <w:tcW w:w="320" w:type="pct"/>
                  <w:vMerge w:val="restart"/>
                  <w:noWrap w:val="0"/>
                  <w:vAlign w:val="center"/>
                </w:tcPr>
                <w:p w14:paraId="76586B72">
                  <w:pPr>
                    <w:jc w:val="center"/>
                    <w:rPr>
                      <w:b/>
                      <w:bCs/>
                      <w:color w:val="auto"/>
                    </w:rPr>
                  </w:pPr>
                  <w:r>
                    <w:rPr>
                      <w:b/>
                      <w:bCs/>
                      <w:color w:val="auto"/>
                    </w:rPr>
                    <w:t>声功率等级dB(A</w:t>
                  </w:r>
                  <w:r>
                    <w:rPr>
                      <w:rFonts w:hint="eastAsia"/>
                      <w:b/>
                      <w:bCs/>
                      <w:color w:val="auto"/>
                    </w:rPr>
                    <w:t>)</w:t>
                  </w:r>
                </w:p>
              </w:tc>
              <w:tc>
                <w:tcPr>
                  <w:tcW w:w="1816" w:type="pct"/>
                  <w:vMerge w:val="restart"/>
                  <w:noWrap w:val="0"/>
                  <w:vAlign w:val="center"/>
                </w:tcPr>
                <w:p w14:paraId="35BD25B9">
                  <w:pPr>
                    <w:jc w:val="center"/>
                    <w:rPr>
                      <w:b/>
                      <w:bCs/>
                      <w:color w:val="auto"/>
                    </w:rPr>
                  </w:pPr>
                  <w:r>
                    <w:rPr>
                      <w:rFonts w:hint="eastAsia"/>
                      <w:b/>
                      <w:bCs/>
                      <w:color w:val="auto"/>
                    </w:rPr>
                    <w:t>隔声、</w:t>
                  </w:r>
                  <w:r>
                    <w:rPr>
                      <w:b/>
                      <w:bCs/>
                      <w:color w:val="auto"/>
                    </w:rPr>
                    <w:t>降噪措施</w:t>
                  </w:r>
                </w:p>
              </w:tc>
              <w:tc>
                <w:tcPr>
                  <w:tcW w:w="325" w:type="pct"/>
                  <w:vMerge w:val="restart"/>
                  <w:noWrap w:val="0"/>
                  <w:vAlign w:val="center"/>
                </w:tcPr>
                <w:p w14:paraId="7285773C">
                  <w:pPr>
                    <w:jc w:val="center"/>
                    <w:rPr>
                      <w:b/>
                      <w:bCs/>
                      <w:color w:val="auto"/>
                    </w:rPr>
                  </w:pPr>
                  <w:r>
                    <w:rPr>
                      <w:b/>
                      <w:bCs/>
                      <w:color w:val="auto"/>
                    </w:rPr>
                    <w:t>建筑物插入损失（dB(A)）</w:t>
                  </w:r>
                </w:p>
              </w:tc>
              <w:tc>
                <w:tcPr>
                  <w:tcW w:w="348" w:type="pct"/>
                  <w:vMerge w:val="restart"/>
                  <w:noWrap w:val="0"/>
                  <w:vAlign w:val="center"/>
                </w:tcPr>
                <w:p w14:paraId="0CD46C28">
                  <w:pPr>
                    <w:jc w:val="center"/>
                    <w:rPr>
                      <w:rFonts w:hint="eastAsia"/>
                      <w:b/>
                      <w:bCs/>
                      <w:color w:val="auto"/>
                    </w:rPr>
                  </w:pPr>
                  <w:r>
                    <w:rPr>
                      <w:rFonts w:hint="eastAsia"/>
                      <w:b/>
                      <w:bCs/>
                      <w:color w:val="auto"/>
                      <w:szCs w:val="21"/>
                    </w:rPr>
                    <w:t>建筑物外噪声声压级（dB(A)）</w:t>
                  </w:r>
                </w:p>
              </w:tc>
              <w:tc>
                <w:tcPr>
                  <w:tcW w:w="1189" w:type="pct"/>
                  <w:gridSpan w:val="4"/>
                  <w:noWrap w:val="0"/>
                  <w:vAlign w:val="center"/>
                </w:tcPr>
                <w:p w14:paraId="4FD435CC">
                  <w:pPr>
                    <w:jc w:val="center"/>
                    <w:rPr>
                      <w:b/>
                      <w:bCs/>
                      <w:color w:val="auto"/>
                    </w:rPr>
                  </w:pPr>
                  <w:r>
                    <w:rPr>
                      <w:b/>
                      <w:bCs/>
                      <w:color w:val="auto"/>
                    </w:rPr>
                    <w:t>到厂界的最近距离（m）</w:t>
                  </w:r>
                </w:p>
              </w:tc>
              <w:tc>
                <w:tcPr>
                  <w:tcW w:w="290" w:type="pct"/>
                  <w:vMerge w:val="restart"/>
                  <w:noWrap w:val="0"/>
                  <w:vAlign w:val="center"/>
                </w:tcPr>
                <w:p w14:paraId="3526D093">
                  <w:pPr>
                    <w:rPr>
                      <w:color w:val="auto"/>
                    </w:rPr>
                  </w:pPr>
                  <w:r>
                    <w:rPr>
                      <w:b/>
                      <w:bCs/>
                      <w:color w:val="auto"/>
                    </w:rPr>
                    <w:t>持续时间</w:t>
                  </w:r>
                </w:p>
              </w:tc>
            </w:tr>
            <w:tr w14:paraId="098CB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8" w:hRule="atLeast"/>
              </w:trPr>
              <w:tc>
                <w:tcPr>
                  <w:tcW w:w="177" w:type="pct"/>
                  <w:vMerge w:val="continue"/>
                  <w:noWrap w:val="0"/>
                  <w:vAlign w:val="center"/>
                </w:tcPr>
                <w:p w14:paraId="6C784D53">
                  <w:pPr>
                    <w:jc w:val="center"/>
                    <w:rPr>
                      <w:b/>
                      <w:bCs/>
                      <w:color w:val="auto"/>
                    </w:rPr>
                  </w:pPr>
                </w:p>
              </w:tc>
              <w:tc>
                <w:tcPr>
                  <w:tcW w:w="177" w:type="pct"/>
                  <w:vMerge w:val="continue"/>
                  <w:noWrap w:val="0"/>
                  <w:vAlign w:val="center"/>
                </w:tcPr>
                <w:p w14:paraId="0F3B63C9">
                  <w:pPr>
                    <w:jc w:val="center"/>
                    <w:rPr>
                      <w:b/>
                      <w:bCs/>
                      <w:color w:val="auto"/>
                    </w:rPr>
                  </w:pPr>
                </w:p>
              </w:tc>
              <w:tc>
                <w:tcPr>
                  <w:tcW w:w="177" w:type="pct"/>
                  <w:vMerge w:val="continue"/>
                  <w:noWrap w:val="0"/>
                  <w:vAlign w:val="center"/>
                </w:tcPr>
                <w:p w14:paraId="49AEFAD9">
                  <w:pPr>
                    <w:jc w:val="center"/>
                    <w:rPr>
                      <w:b/>
                      <w:bCs/>
                      <w:color w:val="auto"/>
                    </w:rPr>
                  </w:pPr>
                </w:p>
              </w:tc>
              <w:tc>
                <w:tcPr>
                  <w:tcW w:w="177" w:type="pct"/>
                  <w:vMerge w:val="continue"/>
                  <w:noWrap w:val="0"/>
                  <w:vAlign w:val="center"/>
                </w:tcPr>
                <w:p w14:paraId="57DF7880">
                  <w:pPr>
                    <w:jc w:val="center"/>
                    <w:rPr>
                      <w:b/>
                      <w:bCs/>
                      <w:color w:val="auto"/>
                    </w:rPr>
                  </w:pPr>
                </w:p>
              </w:tc>
              <w:tc>
                <w:tcPr>
                  <w:tcW w:w="320" w:type="pct"/>
                  <w:vMerge w:val="continue"/>
                  <w:noWrap w:val="0"/>
                  <w:vAlign w:val="center"/>
                </w:tcPr>
                <w:p w14:paraId="2F01BBDE">
                  <w:pPr>
                    <w:jc w:val="center"/>
                    <w:rPr>
                      <w:b/>
                      <w:bCs/>
                      <w:color w:val="auto"/>
                    </w:rPr>
                  </w:pPr>
                </w:p>
              </w:tc>
              <w:tc>
                <w:tcPr>
                  <w:tcW w:w="1816" w:type="pct"/>
                  <w:vMerge w:val="continue"/>
                  <w:noWrap w:val="0"/>
                  <w:vAlign w:val="center"/>
                </w:tcPr>
                <w:p w14:paraId="6F5BBA78">
                  <w:pPr>
                    <w:jc w:val="center"/>
                    <w:rPr>
                      <w:b/>
                      <w:bCs/>
                      <w:color w:val="auto"/>
                    </w:rPr>
                  </w:pPr>
                </w:p>
              </w:tc>
              <w:tc>
                <w:tcPr>
                  <w:tcW w:w="325" w:type="pct"/>
                  <w:vMerge w:val="continue"/>
                  <w:noWrap w:val="0"/>
                  <w:vAlign w:val="center"/>
                </w:tcPr>
                <w:p w14:paraId="407847CC">
                  <w:pPr>
                    <w:jc w:val="center"/>
                    <w:rPr>
                      <w:b/>
                      <w:bCs/>
                      <w:color w:val="auto"/>
                    </w:rPr>
                  </w:pPr>
                </w:p>
              </w:tc>
              <w:tc>
                <w:tcPr>
                  <w:tcW w:w="348" w:type="pct"/>
                  <w:vMerge w:val="continue"/>
                  <w:noWrap w:val="0"/>
                  <w:vAlign w:val="center"/>
                </w:tcPr>
                <w:p w14:paraId="5B5DD8EC">
                  <w:pPr>
                    <w:jc w:val="center"/>
                    <w:rPr>
                      <w:b/>
                      <w:bCs/>
                      <w:color w:val="auto"/>
                    </w:rPr>
                  </w:pPr>
                </w:p>
              </w:tc>
              <w:tc>
                <w:tcPr>
                  <w:tcW w:w="296" w:type="pct"/>
                  <w:noWrap w:val="0"/>
                  <w:vAlign w:val="center"/>
                </w:tcPr>
                <w:p w14:paraId="414BFD2A">
                  <w:pPr>
                    <w:jc w:val="center"/>
                    <w:rPr>
                      <w:b/>
                      <w:bCs/>
                      <w:color w:val="auto"/>
                    </w:rPr>
                  </w:pPr>
                  <w:r>
                    <w:rPr>
                      <w:b/>
                      <w:bCs/>
                      <w:color w:val="auto"/>
                    </w:rPr>
                    <w:t>东</w:t>
                  </w:r>
                </w:p>
              </w:tc>
              <w:tc>
                <w:tcPr>
                  <w:tcW w:w="296" w:type="pct"/>
                  <w:noWrap w:val="0"/>
                  <w:vAlign w:val="center"/>
                </w:tcPr>
                <w:p w14:paraId="5E254051">
                  <w:pPr>
                    <w:jc w:val="center"/>
                    <w:rPr>
                      <w:b/>
                      <w:bCs/>
                      <w:color w:val="auto"/>
                    </w:rPr>
                  </w:pPr>
                  <w:r>
                    <w:rPr>
                      <w:b/>
                      <w:bCs/>
                      <w:color w:val="auto"/>
                    </w:rPr>
                    <w:t>西</w:t>
                  </w:r>
                </w:p>
              </w:tc>
              <w:tc>
                <w:tcPr>
                  <w:tcW w:w="296" w:type="pct"/>
                  <w:noWrap w:val="0"/>
                  <w:vAlign w:val="center"/>
                </w:tcPr>
                <w:p w14:paraId="4802F955">
                  <w:pPr>
                    <w:jc w:val="center"/>
                    <w:rPr>
                      <w:b/>
                      <w:bCs/>
                      <w:color w:val="auto"/>
                    </w:rPr>
                  </w:pPr>
                  <w:r>
                    <w:rPr>
                      <w:b/>
                      <w:bCs/>
                      <w:color w:val="auto"/>
                    </w:rPr>
                    <w:t>南</w:t>
                  </w:r>
                </w:p>
              </w:tc>
              <w:tc>
                <w:tcPr>
                  <w:tcW w:w="300" w:type="pct"/>
                  <w:noWrap w:val="0"/>
                  <w:vAlign w:val="center"/>
                </w:tcPr>
                <w:p w14:paraId="26F2CFE3">
                  <w:pPr>
                    <w:jc w:val="center"/>
                    <w:rPr>
                      <w:b/>
                      <w:bCs/>
                      <w:color w:val="auto"/>
                    </w:rPr>
                  </w:pPr>
                  <w:r>
                    <w:rPr>
                      <w:b/>
                      <w:bCs/>
                      <w:color w:val="auto"/>
                    </w:rPr>
                    <w:t>北</w:t>
                  </w:r>
                </w:p>
              </w:tc>
              <w:tc>
                <w:tcPr>
                  <w:tcW w:w="290" w:type="pct"/>
                  <w:vMerge w:val="continue"/>
                  <w:noWrap w:val="0"/>
                  <w:vAlign w:val="center"/>
                </w:tcPr>
                <w:p w14:paraId="3880B4A8">
                  <w:pPr>
                    <w:jc w:val="center"/>
                    <w:rPr>
                      <w:color w:val="auto"/>
                    </w:rPr>
                  </w:pPr>
                </w:p>
              </w:tc>
            </w:tr>
            <w:tr w14:paraId="022F8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5" w:hRule="atLeast"/>
              </w:trPr>
              <w:tc>
                <w:tcPr>
                  <w:tcW w:w="177" w:type="pct"/>
                  <w:noWrap w:val="0"/>
                  <w:vAlign w:val="center"/>
                </w:tcPr>
                <w:p w14:paraId="5DB9C378">
                  <w:pPr>
                    <w:jc w:val="center"/>
                    <w:rPr>
                      <w:color w:val="auto"/>
                    </w:rPr>
                  </w:pPr>
                  <w:r>
                    <w:rPr>
                      <w:color w:val="auto"/>
                    </w:rPr>
                    <w:t>1</w:t>
                  </w:r>
                </w:p>
              </w:tc>
              <w:tc>
                <w:tcPr>
                  <w:tcW w:w="177" w:type="pct"/>
                  <w:noWrap w:val="0"/>
                  <w:vAlign w:val="center"/>
                </w:tcPr>
                <w:p w14:paraId="54753503">
                  <w:pPr>
                    <w:widowControl/>
                    <w:jc w:val="center"/>
                    <w:rPr>
                      <w:color w:val="auto"/>
                    </w:rPr>
                  </w:pPr>
                  <w:r>
                    <w:rPr>
                      <w:rFonts w:hint="eastAsia"/>
                      <w:color w:val="auto"/>
                    </w:rPr>
                    <w:t>生产车间</w:t>
                  </w:r>
                </w:p>
              </w:tc>
              <w:tc>
                <w:tcPr>
                  <w:tcW w:w="177" w:type="pct"/>
                  <w:noWrap w:val="0"/>
                  <w:vAlign w:val="center"/>
                </w:tcPr>
                <w:p w14:paraId="68B3F43B">
                  <w:pPr>
                    <w:widowControl/>
                    <w:jc w:val="center"/>
                    <w:rPr>
                      <w:rFonts w:hint="eastAsia" w:eastAsia="宋体"/>
                      <w:color w:val="auto"/>
                      <w:lang w:eastAsia="zh-CN"/>
                    </w:rPr>
                  </w:pPr>
                  <w:r>
                    <w:rPr>
                      <w:rFonts w:hint="eastAsia"/>
                      <w:color w:val="auto"/>
                      <w:lang w:eastAsia="zh-CN"/>
                    </w:rPr>
                    <w:t>烘干筒</w:t>
                  </w:r>
                </w:p>
              </w:tc>
              <w:tc>
                <w:tcPr>
                  <w:tcW w:w="177" w:type="pct"/>
                  <w:noWrap w:val="0"/>
                  <w:vAlign w:val="center"/>
                </w:tcPr>
                <w:p w14:paraId="47D06E19">
                  <w:pPr>
                    <w:autoSpaceDE w:val="0"/>
                    <w:autoSpaceDN w:val="0"/>
                    <w:jc w:val="center"/>
                    <w:rPr>
                      <w:rFonts w:hint="eastAsia" w:eastAsia="宋体"/>
                      <w:color w:val="auto"/>
                      <w:lang w:val="en-US" w:eastAsia="zh-CN"/>
                    </w:rPr>
                  </w:pPr>
                  <w:r>
                    <w:rPr>
                      <w:rFonts w:hint="eastAsia"/>
                      <w:color w:val="auto"/>
                      <w:lang w:val="en-US" w:eastAsia="zh-CN"/>
                    </w:rPr>
                    <w:t>1</w:t>
                  </w:r>
                </w:p>
              </w:tc>
              <w:tc>
                <w:tcPr>
                  <w:tcW w:w="320" w:type="pct"/>
                  <w:noWrap w:val="0"/>
                  <w:vAlign w:val="center"/>
                </w:tcPr>
                <w:p w14:paraId="19D3E623">
                  <w:pPr>
                    <w:jc w:val="center"/>
                    <w:rPr>
                      <w:rFonts w:hint="default" w:eastAsia="宋体"/>
                      <w:color w:val="auto"/>
                      <w:lang w:val="en-US" w:eastAsia="zh-CN"/>
                    </w:rPr>
                  </w:pPr>
                  <w:r>
                    <w:rPr>
                      <w:rFonts w:hint="eastAsia"/>
                      <w:color w:val="auto"/>
                      <w:lang w:val="en-US" w:eastAsia="zh-CN"/>
                    </w:rPr>
                    <w:t>85</w:t>
                  </w:r>
                </w:p>
              </w:tc>
              <w:tc>
                <w:tcPr>
                  <w:tcW w:w="1816" w:type="pct"/>
                  <w:noWrap w:val="0"/>
                  <w:vAlign w:val="center"/>
                </w:tcPr>
                <w:p w14:paraId="29A66987">
                  <w:pPr>
                    <w:jc w:val="center"/>
                    <w:rPr>
                      <w:color w:val="auto"/>
                    </w:rPr>
                  </w:pPr>
                  <w:r>
                    <w:rPr>
                      <w:rFonts w:hint="eastAsia"/>
                      <w:color w:val="auto"/>
                    </w:rPr>
                    <w:t>优选生产设备，设置半封闭生产车间，设备固定、减震，定期进行维修保养，避免故障运行，距离衰减等</w:t>
                  </w:r>
                </w:p>
              </w:tc>
              <w:tc>
                <w:tcPr>
                  <w:tcW w:w="325" w:type="pct"/>
                  <w:noWrap w:val="0"/>
                  <w:vAlign w:val="center"/>
                </w:tcPr>
                <w:p w14:paraId="1FDB5A4A">
                  <w:pPr>
                    <w:jc w:val="center"/>
                    <w:rPr>
                      <w:color w:val="auto"/>
                    </w:rPr>
                  </w:pPr>
                  <w:r>
                    <w:rPr>
                      <w:rFonts w:hint="eastAsia"/>
                      <w:color w:val="auto"/>
                    </w:rPr>
                    <w:t>20</w:t>
                  </w:r>
                </w:p>
              </w:tc>
              <w:tc>
                <w:tcPr>
                  <w:tcW w:w="348" w:type="pct"/>
                  <w:noWrap w:val="0"/>
                  <w:vAlign w:val="center"/>
                </w:tcPr>
                <w:p w14:paraId="6C44EE0D">
                  <w:pPr>
                    <w:jc w:val="center"/>
                    <w:rPr>
                      <w:rFonts w:hint="default" w:eastAsia="宋体"/>
                      <w:color w:val="auto"/>
                      <w:lang w:val="en-US" w:eastAsia="zh-CN"/>
                    </w:rPr>
                  </w:pPr>
                  <w:r>
                    <w:rPr>
                      <w:rFonts w:hint="eastAsia"/>
                      <w:color w:val="auto"/>
                      <w:lang w:val="en-US" w:eastAsia="zh-CN"/>
                    </w:rPr>
                    <w:t>82</w:t>
                  </w:r>
                </w:p>
              </w:tc>
              <w:tc>
                <w:tcPr>
                  <w:tcW w:w="296" w:type="pct"/>
                  <w:noWrap w:val="0"/>
                  <w:vAlign w:val="center"/>
                </w:tcPr>
                <w:p w14:paraId="329D554E">
                  <w:pPr>
                    <w:jc w:val="center"/>
                    <w:rPr>
                      <w:rFonts w:hint="default" w:eastAsia="宋体"/>
                      <w:color w:val="auto"/>
                      <w:lang w:val="en-US" w:eastAsia="zh-CN"/>
                    </w:rPr>
                  </w:pPr>
                  <w:r>
                    <w:rPr>
                      <w:rFonts w:hint="eastAsia"/>
                      <w:color w:val="auto"/>
                      <w:lang w:val="en-US" w:eastAsia="zh-CN"/>
                    </w:rPr>
                    <w:t>40</w:t>
                  </w:r>
                </w:p>
              </w:tc>
              <w:tc>
                <w:tcPr>
                  <w:tcW w:w="296" w:type="pct"/>
                  <w:noWrap w:val="0"/>
                  <w:vAlign w:val="center"/>
                </w:tcPr>
                <w:p w14:paraId="4A84FE52">
                  <w:pPr>
                    <w:jc w:val="center"/>
                    <w:rPr>
                      <w:rFonts w:hint="default" w:eastAsia="宋体"/>
                      <w:color w:val="auto"/>
                      <w:lang w:val="en-US" w:eastAsia="zh-CN"/>
                    </w:rPr>
                  </w:pPr>
                  <w:r>
                    <w:rPr>
                      <w:rFonts w:hint="eastAsia"/>
                      <w:color w:val="auto"/>
                      <w:lang w:val="en-US" w:eastAsia="zh-CN"/>
                    </w:rPr>
                    <w:t>30</w:t>
                  </w:r>
                </w:p>
              </w:tc>
              <w:tc>
                <w:tcPr>
                  <w:tcW w:w="296" w:type="pct"/>
                  <w:noWrap w:val="0"/>
                  <w:vAlign w:val="center"/>
                </w:tcPr>
                <w:p w14:paraId="0F093A7D">
                  <w:pPr>
                    <w:jc w:val="center"/>
                    <w:rPr>
                      <w:rFonts w:hint="default" w:eastAsia="宋体"/>
                      <w:color w:val="auto"/>
                      <w:lang w:val="en-US" w:eastAsia="zh-CN"/>
                    </w:rPr>
                  </w:pPr>
                  <w:r>
                    <w:rPr>
                      <w:rFonts w:hint="eastAsia"/>
                      <w:color w:val="auto"/>
                      <w:lang w:val="en-US" w:eastAsia="zh-CN"/>
                    </w:rPr>
                    <w:t>17</w:t>
                  </w:r>
                </w:p>
              </w:tc>
              <w:tc>
                <w:tcPr>
                  <w:tcW w:w="300" w:type="pct"/>
                  <w:noWrap w:val="0"/>
                  <w:vAlign w:val="center"/>
                </w:tcPr>
                <w:p w14:paraId="48F8B908">
                  <w:pPr>
                    <w:jc w:val="center"/>
                    <w:rPr>
                      <w:color w:val="auto"/>
                    </w:rPr>
                  </w:pPr>
                  <w:r>
                    <w:rPr>
                      <w:rFonts w:hint="eastAsia"/>
                      <w:color w:val="auto"/>
                    </w:rPr>
                    <w:t>15-47</w:t>
                  </w:r>
                </w:p>
              </w:tc>
              <w:tc>
                <w:tcPr>
                  <w:tcW w:w="290" w:type="pct"/>
                  <w:noWrap w:val="0"/>
                  <w:vAlign w:val="center"/>
                </w:tcPr>
                <w:p w14:paraId="1009F135">
                  <w:pPr>
                    <w:jc w:val="center"/>
                    <w:rPr>
                      <w:color w:val="auto"/>
                    </w:rPr>
                  </w:pPr>
                  <w:r>
                    <w:rPr>
                      <w:rFonts w:hint="eastAsia"/>
                      <w:color w:val="auto"/>
                    </w:rPr>
                    <w:t>24</w:t>
                  </w:r>
                  <w:r>
                    <w:rPr>
                      <w:color w:val="auto"/>
                    </w:rPr>
                    <w:t>h</w:t>
                  </w:r>
                  <w:r>
                    <w:rPr>
                      <w:rFonts w:hint="eastAsia"/>
                      <w:color w:val="auto"/>
                    </w:rPr>
                    <w:t>/d</w:t>
                  </w:r>
                </w:p>
              </w:tc>
            </w:tr>
            <w:tr w14:paraId="37403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5" w:hRule="atLeast"/>
              </w:trPr>
              <w:tc>
                <w:tcPr>
                  <w:tcW w:w="177" w:type="pct"/>
                  <w:noWrap w:val="0"/>
                  <w:vAlign w:val="center"/>
                </w:tcPr>
                <w:p w14:paraId="41CCB7B7">
                  <w:pPr>
                    <w:jc w:val="center"/>
                    <w:rPr>
                      <w:rFonts w:hint="default" w:eastAsia="宋体"/>
                      <w:color w:val="auto"/>
                      <w:lang w:val="en-US" w:eastAsia="zh-CN"/>
                    </w:rPr>
                  </w:pPr>
                  <w:r>
                    <w:rPr>
                      <w:rFonts w:hint="eastAsia"/>
                      <w:color w:val="auto"/>
                      <w:lang w:val="en-US" w:eastAsia="zh-CN"/>
                    </w:rPr>
                    <w:t>2</w:t>
                  </w:r>
                </w:p>
              </w:tc>
              <w:tc>
                <w:tcPr>
                  <w:tcW w:w="177" w:type="pct"/>
                  <w:noWrap w:val="0"/>
                  <w:vAlign w:val="center"/>
                </w:tcPr>
                <w:p w14:paraId="0B73DCDC">
                  <w:pPr>
                    <w:jc w:val="center"/>
                    <w:rPr>
                      <w:rFonts w:hint="eastAsia"/>
                      <w:color w:val="auto"/>
                    </w:rPr>
                  </w:pPr>
                  <w:r>
                    <w:rPr>
                      <w:rFonts w:hint="eastAsia"/>
                      <w:color w:val="auto"/>
                    </w:rPr>
                    <w:t>生产车间</w:t>
                  </w:r>
                </w:p>
              </w:tc>
              <w:tc>
                <w:tcPr>
                  <w:tcW w:w="177" w:type="pct"/>
                  <w:noWrap w:val="0"/>
                  <w:vAlign w:val="center"/>
                </w:tcPr>
                <w:p w14:paraId="2CB3E8C5">
                  <w:pPr>
                    <w:rPr>
                      <w:color w:val="auto"/>
                    </w:rPr>
                  </w:pPr>
                  <w:r>
                    <w:rPr>
                      <w:rFonts w:hint="eastAsia"/>
                      <w:color w:val="auto"/>
                    </w:rPr>
                    <w:t>制棒机</w:t>
                  </w:r>
                </w:p>
              </w:tc>
              <w:tc>
                <w:tcPr>
                  <w:tcW w:w="177" w:type="pct"/>
                  <w:noWrap w:val="0"/>
                  <w:vAlign w:val="center"/>
                </w:tcPr>
                <w:p w14:paraId="7C231E81">
                  <w:pPr>
                    <w:autoSpaceDE w:val="0"/>
                    <w:autoSpaceDN w:val="0"/>
                    <w:jc w:val="center"/>
                    <w:rPr>
                      <w:rFonts w:hint="eastAsia" w:eastAsia="宋体"/>
                      <w:color w:val="auto"/>
                      <w:lang w:val="en-US" w:eastAsia="zh-CN"/>
                    </w:rPr>
                  </w:pPr>
                  <w:r>
                    <w:rPr>
                      <w:rFonts w:hint="eastAsia"/>
                      <w:color w:val="auto"/>
                    </w:rPr>
                    <w:t>1</w:t>
                  </w:r>
                  <w:r>
                    <w:rPr>
                      <w:rFonts w:hint="eastAsia"/>
                      <w:color w:val="auto"/>
                      <w:lang w:val="en-US" w:eastAsia="zh-CN"/>
                    </w:rPr>
                    <w:t>3</w:t>
                  </w:r>
                </w:p>
              </w:tc>
              <w:tc>
                <w:tcPr>
                  <w:tcW w:w="320" w:type="pct"/>
                  <w:noWrap w:val="0"/>
                  <w:vAlign w:val="center"/>
                </w:tcPr>
                <w:p w14:paraId="4B3DC3BB">
                  <w:pPr>
                    <w:jc w:val="center"/>
                    <w:rPr>
                      <w:color w:val="auto"/>
                    </w:rPr>
                  </w:pPr>
                  <w:r>
                    <w:rPr>
                      <w:rFonts w:hint="eastAsia"/>
                      <w:color w:val="auto"/>
                    </w:rPr>
                    <w:t>60</w:t>
                  </w:r>
                </w:p>
              </w:tc>
              <w:tc>
                <w:tcPr>
                  <w:tcW w:w="1816" w:type="pct"/>
                  <w:noWrap w:val="0"/>
                  <w:vAlign w:val="center"/>
                </w:tcPr>
                <w:p w14:paraId="1548C4A4">
                  <w:pPr>
                    <w:jc w:val="center"/>
                    <w:rPr>
                      <w:color w:val="auto"/>
                    </w:rPr>
                  </w:pPr>
                  <w:r>
                    <w:rPr>
                      <w:rFonts w:hint="eastAsia"/>
                      <w:color w:val="auto"/>
                    </w:rPr>
                    <w:t>优选设备，设置在封闭生产车间内，优先低噪声、定期进行维修保养，避免故障运行距离衰减。</w:t>
                  </w:r>
                </w:p>
              </w:tc>
              <w:tc>
                <w:tcPr>
                  <w:tcW w:w="325" w:type="pct"/>
                  <w:noWrap w:val="0"/>
                  <w:vAlign w:val="center"/>
                </w:tcPr>
                <w:p w14:paraId="72B819C6">
                  <w:pPr>
                    <w:jc w:val="center"/>
                    <w:rPr>
                      <w:color w:val="auto"/>
                    </w:rPr>
                  </w:pPr>
                  <w:r>
                    <w:rPr>
                      <w:rFonts w:hint="eastAsia"/>
                      <w:color w:val="auto"/>
                    </w:rPr>
                    <w:t>20</w:t>
                  </w:r>
                </w:p>
              </w:tc>
              <w:tc>
                <w:tcPr>
                  <w:tcW w:w="348" w:type="pct"/>
                  <w:noWrap w:val="0"/>
                  <w:vAlign w:val="center"/>
                </w:tcPr>
                <w:p w14:paraId="21A9C2B1">
                  <w:pPr>
                    <w:jc w:val="center"/>
                    <w:rPr>
                      <w:color w:val="auto"/>
                    </w:rPr>
                  </w:pPr>
                  <w:r>
                    <w:rPr>
                      <w:rFonts w:hint="eastAsia"/>
                      <w:color w:val="auto"/>
                    </w:rPr>
                    <w:t>61.14</w:t>
                  </w:r>
                </w:p>
              </w:tc>
              <w:tc>
                <w:tcPr>
                  <w:tcW w:w="296" w:type="pct"/>
                  <w:noWrap w:val="0"/>
                  <w:vAlign w:val="center"/>
                </w:tcPr>
                <w:p w14:paraId="0F9FA013">
                  <w:pPr>
                    <w:jc w:val="center"/>
                    <w:rPr>
                      <w:rFonts w:hint="default" w:eastAsia="宋体"/>
                      <w:color w:val="auto"/>
                      <w:lang w:val="en-US" w:eastAsia="zh-CN"/>
                    </w:rPr>
                  </w:pPr>
                  <w:r>
                    <w:rPr>
                      <w:rFonts w:hint="eastAsia"/>
                      <w:color w:val="auto"/>
                      <w:lang w:val="en-US" w:eastAsia="zh-CN"/>
                    </w:rPr>
                    <w:t>60-80</w:t>
                  </w:r>
                </w:p>
              </w:tc>
              <w:tc>
                <w:tcPr>
                  <w:tcW w:w="296" w:type="pct"/>
                  <w:noWrap w:val="0"/>
                  <w:vAlign w:val="center"/>
                </w:tcPr>
                <w:p w14:paraId="6ABCE5BB">
                  <w:pPr>
                    <w:jc w:val="center"/>
                    <w:rPr>
                      <w:rFonts w:hint="default" w:eastAsia="宋体"/>
                      <w:color w:val="auto"/>
                      <w:lang w:val="en-US" w:eastAsia="zh-CN"/>
                    </w:rPr>
                  </w:pPr>
                  <w:r>
                    <w:rPr>
                      <w:rFonts w:hint="eastAsia"/>
                      <w:color w:val="auto"/>
                      <w:lang w:val="en-US" w:eastAsia="zh-CN"/>
                    </w:rPr>
                    <w:t>10</w:t>
                  </w:r>
                </w:p>
              </w:tc>
              <w:tc>
                <w:tcPr>
                  <w:tcW w:w="296" w:type="pct"/>
                  <w:noWrap w:val="0"/>
                  <w:vAlign w:val="center"/>
                </w:tcPr>
                <w:p w14:paraId="5C26CF50">
                  <w:pPr>
                    <w:jc w:val="center"/>
                    <w:rPr>
                      <w:rFonts w:hint="default" w:eastAsia="宋体"/>
                      <w:color w:val="auto"/>
                      <w:lang w:val="en-US" w:eastAsia="zh-CN"/>
                    </w:rPr>
                  </w:pPr>
                  <w:r>
                    <w:rPr>
                      <w:rFonts w:hint="eastAsia"/>
                      <w:color w:val="auto"/>
                      <w:lang w:val="en-US" w:eastAsia="zh-CN"/>
                    </w:rPr>
                    <w:t>20-35</w:t>
                  </w:r>
                </w:p>
              </w:tc>
              <w:tc>
                <w:tcPr>
                  <w:tcW w:w="300" w:type="pct"/>
                  <w:noWrap w:val="0"/>
                  <w:vAlign w:val="center"/>
                </w:tcPr>
                <w:p w14:paraId="3784E4D5">
                  <w:pPr>
                    <w:jc w:val="center"/>
                    <w:rPr>
                      <w:rFonts w:hint="default" w:eastAsia="宋体"/>
                      <w:color w:val="auto"/>
                      <w:lang w:val="en-US" w:eastAsia="zh-CN"/>
                    </w:rPr>
                  </w:pPr>
                  <w:r>
                    <w:rPr>
                      <w:rFonts w:hint="eastAsia"/>
                      <w:color w:val="auto"/>
                    </w:rPr>
                    <w:t>35-</w:t>
                  </w:r>
                  <w:r>
                    <w:rPr>
                      <w:rFonts w:hint="eastAsia"/>
                      <w:color w:val="auto"/>
                      <w:lang w:val="en-US" w:eastAsia="zh-CN"/>
                    </w:rPr>
                    <w:t>60</w:t>
                  </w:r>
                </w:p>
              </w:tc>
              <w:tc>
                <w:tcPr>
                  <w:tcW w:w="290" w:type="pct"/>
                  <w:noWrap w:val="0"/>
                  <w:vAlign w:val="center"/>
                </w:tcPr>
                <w:p w14:paraId="405917E7">
                  <w:pPr>
                    <w:jc w:val="center"/>
                    <w:rPr>
                      <w:rFonts w:hint="eastAsia"/>
                      <w:color w:val="auto"/>
                    </w:rPr>
                  </w:pPr>
                  <w:r>
                    <w:rPr>
                      <w:rFonts w:hint="eastAsia"/>
                      <w:color w:val="auto"/>
                    </w:rPr>
                    <w:t>24</w:t>
                  </w:r>
                  <w:r>
                    <w:rPr>
                      <w:color w:val="auto"/>
                    </w:rPr>
                    <w:t>h</w:t>
                  </w:r>
                  <w:r>
                    <w:rPr>
                      <w:rFonts w:hint="eastAsia"/>
                      <w:color w:val="auto"/>
                    </w:rPr>
                    <w:t>/d</w:t>
                  </w:r>
                </w:p>
              </w:tc>
            </w:tr>
            <w:tr w14:paraId="6D0E1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5" w:hRule="atLeast"/>
              </w:trPr>
              <w:tc>
                <w:tcPr>
                  <w:tcW w:w="177" w:type="pct"/>
                  <w:noWrap w:val="0"/>
                  <w:vAlign w:val="center"/>
                </w:tcPr>
                <w:p w14:paraId="328F57FF">
                  <w:pPr>
                    <w:jc w:val="center"/>
                    <w:rPr>
                      <w:rFonts w:hint="default" w:eastAsia="宋体"/>
                      <w:color w:val="auto"/>
                      <w:lang w:val="en-US" w:eastAsia="zh-CN"/>
                    </w:rPr>
                  </w:pPr>
                  <w:r>
                    <w:rPr>
                      <w:rFonts w:hint="eastAsia"/>
                      <w:color w:val="auto"/>
                      <w:lang w:val="en-US" w:eastAsia="zh-CN"/>
                    </w:rPr>
                    <w:t>3</w:t>
                  </w:r>
                </w:p>
              </w:tc>
              <w:tc>
                <w:tcPr>
                  <w:tcW w:w="177" w:type="pct"/>
                  <w:noWrap w:val="0"/>
                  <w:vAlign w:val="center"/>
                </w:tcPr>
                <w:p w14:paraId="2F8336DA">
                  <w:pPr>
                    <w:jc w:val="center"/>
                    <w:rPr>
                      <w:rFonts w:hint="eastAsia"/>
                      <w:color w:val="auto"/>
                    </w:rPr>
                  </w:pPr>
                  <w:r>
                    <w:rPr>
                      <w:rFonts w:hint="eastAsia"/>
                      <w:color w:val="auto"/>
                    </w:rPr>
                    <w:t>生产车间</w:t>
                  </w:r>
                </w:p>
              </w:tc>
              <w:tc>
                <w:tcPr>
                  <w:tcW w:w="177" w:type="pct"/>
                  <w:noWrap w:val="0"/>
                  <w:vAlign w:val="center"/>
                </w:tcPr>
                <w:p w14:paraId="612D421E">
                  <w:pPr>
                    <w:jc w:val="center"/>
                    <w:rPr>
                      <w:rFonts w:hint="eastAsia"/>
                      <w:color w:val="auto"/>
                    </w:rPr>
                  </w:pPr>
                  <w:r>
                    <w:rPr>
                      <w:rFonts w:hint="eastAsia"/>
                      <w:color w:val="auto"/>
                    </w:rPr>
                    <w:t>水泵</w:t>
                  </w:r>
                </w:p>
              </w:tc>
              <w:tc>
                <w:tcPr>
                  <w:tcW w:w="177" w:type="pct"/>
                  <w:noWrap w:val="0"/>
                  <w:vAlign w:val="center"/>
                </w:tcPr>
                <w:p w14:paraId="7DF2CFC7">
                  <w:pPr>
                    <w:autoSpaceDE w:val="0"/>
                    <w:autoSpaceDN w:val="0"/>
                    <w:jc w:val="center"/>
                    <w:rPr>
                      <w:color w:val="auto"/>
                    </w:rPr>
                  </w:pPr>
                  <w:r>
                    <w:rPr>
                      <w:rFonts w:hint="eastAsia"/>
                      <w:color w:val="auto"/>
                    </w:rPr>
                    <w:t>2</w:t>
                  </w:r>
                </w:p>
              </w:tc>
              <w:tc>
                <w:tcPr>
                  <w:tcW w:w="320" w:type="pct"/>
                  <w:noWrap w:val="0"/>
                  <w:vAlign w:val="center"/>
                </w:tcPr>
                <w:p w14:paraId="6E93FDB2">
                  <w:pPr>
                    <w:jc w:val="center"/>
                    <w:rPr>
                      <w:rFonts w:hint="eastAsia"/>
                      <w:color w:val="auto"/>
                    </w:rPr>
                  </w:pPr>
                  <w:r>
                    <w:rPr>
                      <w:rFonts w:hint="eastAsia"/>
                      <w:color w:val="auto"/>
                    </w:rPr>
                    <w:t>85</w:t>
                  </w:r>
                </w:p>
              </w:tc>
              <w:tc>
                <w:tcPr>
                  <w:tcW w:w="1816" w:type="pct"/>
                  <w:noWrap w:val="0"/>
                  <w:vAlign w:val="center"/>
                </w:tcPr>
                <w:p w14:paraId="5A65EC15">
                  <w:pPr>
                    <w:jc w:val="center"/>
                    <w:rPr>
                      <w:color w:val="auto"/>
                    </w:rPr>
                  </w:pPr>
                  <w:r>
                    <w:rPr>
                      <w:rFonts w:hint="eastAsia"/>
                      <w:color w:val="auto"/>
                    </w:rPr>
                    <w:t>优先设备，设置在封闭生产车间内，设备固定、减震、定期进行维修保养，避免故障运行，距离衰减等</w:t>
                  </w:r>
                </w:p>
              </w:tc>
              <w:tc>
                <w:tcPr>
                  <w:tcW w:w="325" w:type="pct"/>
                  <w:noWrap w:val="0"/>
                  <w:vAlign w:val="center"/>
                </w:tcPr>
                <w:p w14:paraId="15911F48">
                  <w:pPr>
                    <w:jc w:val="center"/>
                    <w:rPr>
                      <w:color w:val="auto"/>
                    </w:rPr>
                  </w:pPr>
                  <w:r>
                    <w:rPr>
                      <w:rFonts w:hint="eastAsia"/>
                      <w:color w:val="auto"/>
                    </w:rPr>
                    <w:t>20</w:t>
                  </w:r>
                </w:p>
              </w:tc>
              <w:tc>
                <w:tcPr>
                  <w:tcW w:w="348" w:type="pct"/>
                  <w:noWrap w:val="0"/>
                  <w:vAlign w:val="center"/>
                </w:tcPr>
                <w:p w14:paraId="5824D3FD">
                  <w:pPr>
                    <w:jc w:val="center"/>
                    <w:rPr>
                      <w:color w:val="auto"/>
                    </w:rPr>
                  </w:pPr>
                  <w:r>
                    <w:rPr>
                      <w:rFonts w:hint="eastAsia"/>
                      <w:color w:val="auto"/>
                    </w:rPr>
                    <w:t>78.01</w:t>
                  </w:r>
                </w:p>
              </w:tc>
              <w:tc>
                <w:tcPr>
                  <w:tcW w:w="296" w:type="pct"/>
                  <w:noWrap w:val="0"/>
                  <w:vAlign w:val="center"/>
                </w:tcPr>
                <w:p w14:paraId="73D274C9">
                  <w:pPr>
                    <w:jc w:val="center"/>
                    <w:rPr>
                      <w:rFonts w:hint="default" w:eastAsia="宋体"/>
                      <w:color w:val="auto"/>
                      <w:lang w:val="en-US" w:eastAsia="zh-CN"/>
                    </w:rPr>
                  </w:pPr>
                  <w:r>
                    <w:rPr>
                      <w:rFonts w:hint="eastAsia"/>
                      <w:color w:val="auto"/>
                      <w:lang w:val="en-US" w:eastAsia="zh-CN"/>
                    </w:rPr>
                    <w:t>60-80</w:t>
                  </w:r>
                </w:p>
              </w:tc>
              <w:tc>
                <w:tcPr>
                  <w:tcW w:w="296" w:type="pct"/>
                  <w:noWrap w:val="0"/>
                  <w:vAlign w:val="center"/>
                </w:tcPr>
                <w:p w14:paraId="3BEAD346">
                  <w:pPr>
                    <w:jc w:val="center"/>
                    <w:rPr>
                      <w:rFonts w:hint="default" w:eastAsia="宋体"/>
                      <w:color w:val="auto"/>
                      <w:lang w:val="en-US" w:eastAsia="zh-CN"/>
                    </w:rPr>
                  </w:pPr>
                  <w:r>
                    <w:rPr>
                      <w:rFonts w:hint="eastAsia"/>
                      <w:color w:val="auto"/>
                      <w:lang w:val="en-US" w:eastAsia="zh-CN"/>
                    </w:rPr>
                    <w:t>15</w:t>
                  </w:r>
                </w:p>
              </w:tc>
              <w:tc>
                <w:tcPr>
                  <w:tcW w:w="296" w:type="pct"/>
                  <w:noWrap w:val="0"/>
                  <w:vAlign w:val="center"/>
                </w:tcPr>
                <w:p w14:paraId="5A7E574B">
                  <w:pPr>
                    <w:jc w:val="center"/>
                    <w:rPr>
                      <w:rFonts w:hint="default" w:eastAsia="宋体"/>
                      <w:color w:val="auto"/>
                      <w:lang w:val="en-US" w:eastAsia="zh-CN"/>
                    </w:rPr>
                  </w:pPr>
                  <w:r>
                    <w:rPr>
                      <w:rFonts w:hint="eastAsia"/>
                      <w:color w:val="auto"/>
                      <w:lang w:val="en-US" w:eastAsia="zh-CN"/>
                    </w:rPr>
                    <w:t>40-50</w:t>
                  </w:r>
                </w:p>
              </w:tc>
              <w:tc>
                <w:tcPr>
                  <w:tcW w:w="300" w:type="pct"/>
                  <w:noWrap w:val="0"/>
                  <w:vAlign w:val="center"/>
                </w:tcPr>
                <w:p w14:paraId="1098DA97">
                  <w:pPr>
                    <w:jc w:val="center"/>
                    <w:rPr>
                      <w:rFonts w:hint="default" w:eastAsia="宋体"/>
                      <w:color w:val="auto"/>
                      <w:lang w:val="en-US" w:eastAsia="zh-CN"/>
                    </w:rPr>
                  </w:pPr>
                  <w:r>
                    <w:rPr>
                      <w:rFonts w:hint="eastAsia"/>
                      <w:color w:val="auto"/>
                      <w:lang w:val="en-US" w:eastAsia="zh-CN"/>
                    </w:rPr>
                    <w:t>15-40</w:t>
                  </w:r>
                </w:p>
              </w:tc>
              <w:tc>
                <w:tcPr>
                  <w:tcW w:w="290" w:type="pct"/>
                  <w:noWrap w:val="0"/>
                  <w:vAlign w:val="center"/>
                </w:tcPr>
                <w:p w14:paraId="3148F84A">
                  <w:pPr>
                    <w:jc w:val="center"/>
                    <w:rPr>
                      <w:color w:val="auto"/>
                    </w:rPr>
                  </w:pPr>
                  <w:r>
                    <w:rPr>
                      <w:rFonts w:hint="eastAsia"/>
                      <w:color w:val="auto"/>
                    </w:rPr>
                    <w:t>24</w:t>
                  </w:r>
                  <w:r>
                    <w:rPr>
                      <w:color w:val="auto"/>
                    </w:rPr>
                    <w:t>h</w:t>
                  </w:r>
                  <w:r>
                    <w:rPr>
                      <w:rFonts w:hint="eastAsia"/>
                      <w:color w:val="auto"/>
                    </w:rPr>
                    <w:t>/d</w:t>
                  </w:r>
                </w:p>
              </w:tc>
            </w:tr>
            <w:tr w14:paraId="48E3D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5" w:hRule="atLeast"/>
              </w:trPr>
              <w:tc>
                <w:tcPr>
                  <w:tcW w:w="177" w:type="pct"/>
                  <w:noWrap w:val="0"/>
                  <w:vAlign w:val="center"/>
                </w:tcPr>
                <w:p w14:paraId="78389DD9">
                  <w:pPr>
                    <w:jc w:val="center"/>
                    <w:rPr>
                      <w:rFonts w:hint="default" w:eastAsia="宋体"/>
                      <w:color w:val="auto"/>
                      <w:lang w:val="en-US" w:eastAsia="zh-CN"/>
                    </w:rPr>
                  </w:pPr>
                  <w:r>
                    <w:rPr>
                      <w:rFonts w:hint="eastAsia"/>
                      <w:color w:val="auto"/>
                      <w:lang w:val="en-US" w:eastAsia="zh-CN"/>
                    </w:rPr>
                    <w:t>4</w:t>
                  </w:r>
                </w:p>
              </w:tc>
              <w:tc>
                <w:tcPr>
                  <w:tcW w:w="177" w:type="pct"/>
                  <w:noWrap w:val="0"/>
                  <w:vAlign w:val="center"/>
                </w:tcPr>
                <w:p w14:paraId="6A86D51A">
                  <w:pPr>
                    <w:rPr>
                      <w:rFonts w:hint="eastAsia"/>
                      <w:color w:val="auto"/>
                    </w:rPr>
                  </w:pPr>
                  <w:r>
                    <w:rPr>
                      <w:rFonts w:hint="eastAsia"/>
                      <w:color w:val="auto"/>
                    </w:rPr>
                    <w:t>生产车间</w:t>
                  </w:r>
                </w:p>
              </w:tc>
              <w:tc>
                <w:tcPr>
                  <w:tcW w:w="177" w:type="pct"/>
                  <w:noWrap w:val="0"/>
                  <w:vAlign w:val="center"/>
                </w:tcPr>
                <w:p w14:paraId="69DE19F1">
                  <w:pPr>
                    <w:rPr>
                      <w:color w:val="auto"/>
                    </w:rPr>
                  </w:pPr>
                  <w:r>
                    <w:rPr>
                      <w:rFonts w:hint="eastAsia"/>
                      <w:color w:val="auto"/>
                    </w:rPr>
                    <w:t>风机</w:t>
                  </w:r>
                </w:p>
              </w:tc>
              <w:tc>
                <w:tcPr>
                  <w:tcW w:w="177" w:type="pct"/>
                  <w:noWrap w:val="0"/>
                  <w:vAlign w:val="center"/>
                </w:tcPr>
                <w:p w14:paraId="6753DFF8">
                  <w:pPr>
                    <w:autoSpaceDE w:val="0"/>
                    <w:autoSpaceDN w:val="0"/>
                    <w:jc w:val="center"/>
                    <w:rPr>
                      <w:rFonts w:hint="eastAsia" w:eastAsia="宋体"/>
                      <w:color w:val="auto"/>
                      <w:lang w:val="en-US" w:eastAsia="zh-CN"/>
                    </w:rPr>
                  </w:pPr>
                  <w:r>
                    <w:rPr>
                      <w:rFonts w:hint="eastAsia"/>
                      <w:color w:val="auto"/>
                      <w:lang w:val="en-US" w:eastAsia="zh-CN"/>
                    </w:rPr>
                    <w:t>3</w:t>
                  </w:r>
                </w:p>
              </w:tc>
              <w:tc>
                <w:tcPr>
                  <w:tcW w:w="320" w:type="pct"/>
                  <w:noWrap w:val="0"/>
                  <w:vAlign w:val="center"/>
                </w:tcPr>
                <w:p w14:paraId="535C592D">
                  <w:pPr>
                    <w:jc w:val="center"/>
                    <w:rPr>
                      <w:rFonts w:hint="eastAsia"/>
                      <w:color w:val="auto"/>
                    </w:rPr>
                  </w:pPr>
                  <w:r>
                    <w:rPr>
                      <w:rFonts w:hint="eastAsia"/>
                      <w:color w:val="auto"/>
                    </w:rPr>
                    <w:t>90</w:t>
                  </w:r>
                </w:p>
              </w:tc>
              <w:tc>
                <w:tcPr>
                  <w:tcW w:w="1816" w:type="pct"/>
                  <w:noWrap w:val="0"/>
                  <w:vAlign w:val="center"/>
                </w:tcPr>
                <w:p w14:paraId="3C02494F">
                  <w:pPr>
                    <w:jc w:val="center"/>
                    <w:rPr>
                      <w:rFonts w:hint="eastAsia"/>
                      <w:color w:val="auto"/>
                    </w:rPr>
                  </w:pPr>
                  <w:r>
                    <w:rPr>
                      <w:rFonts w:hint="eastAsia"/>
                      <w:color w:val="auto"/>
                    </w:rPr>
                    <w:t>优选低噪声、</w:t>
                  </w:r>
                  <w:r>
                    <w:rPr>
                      <w:color w:val="auto"/>
                    </w:rPr>
                    <w:t>振动小</w:t>
                  </w:r>
                  <w:r>
                    <w:rPr>
                      <w:rFonts w:hint="eastAsia"/>
                      <w:color w:val="auto"/>
                    </w:rPr>
                    <w:t>生产设备，设备底座设置</w:t>
                  </w:r>
                  <w:r>
                    <w:rPr>
                      <w:color w:val="auto"/>
                    </w:rPr>
                    <w:t>橡胶减震垫；风</w:t>
                  </w:r>
                  <w:r>
                    <w:rPr>
                      <w:rFonts w:hint="eastAsia"/>
                      <w:color w:val="auto"/>
                    </w:rPr>
                    <w:t>机进出口采用软连接，定期进行维修保养，避免故障运行，距离衰减等。</w:t>
                  </w:r>
                </w:p>
              </w:tc>
              <w:tc>
                <w:tcPr>
                  <w:tcW w:w="325" w:type="pct"/>
                  <w:noWrap w:val="0"/>
                  <w:vAlign w:val="center"/>
                </w:tcPr>
                <w:p w14:paraId="13B0FAA4">
                  <w:pPr>
                    <w:jc w:val="center"/>
                    <w:rPr>
                      <w:color w:val="auto"/>
                    </w:rPr>
                  </w:pPr>
                  <w:r>
                    <w:rPr>
                      <w:rFonts w:hint="eastAsia"/>
                      <w:color w:val="auto"/>
                    </w:rPr>
                    <w:t>20</w:t>
                  </w:r>
                </w:p>
              </w:tc>
              <w:tc>
                <w:tcPr>
                  <w:tcW w:w="348" w:type="pct"/>
                  <w:noWrap w:val="0"/>
                  <w:vAlign w:val="center"/>
                </w:tcPr>
                <w:p w14:paraId="4560214C">
                  <w:pPr>
                    <w:jc w:val="center"/>
                    <w:rPr>
                      <w:color w:val="auto"/>
                    </w:rPr>
                  </w:pPr>
                  <w:r>
                    <w:rPr>
                      <w:rFonts w:hint="eastAsia"/>
                      <w:color w:val="auto"/>
                    </w:rPr>
                    <w:t>87.54</w:t>
                  </w:r>
                </w:p>
              </w:tc>
              <w:tc>
                <w:tcPr>
                  <w:tcW w:w="296" w:type="pct"/>
                  <w:noWrap w:val="0"/>
                  <w:vAlign w:val="center"/>
                </w:tcPr>
                <w:p w14:paraId="41F100FC">
                  <w:pPr>
                    <w:jc w:val="center"/>
                    <w:rPr>
                      <w:rFonts w:hint="default" w:eastAsia="宋体"/>
                      <w:color w:val="auto"/>
                      <w:lang w:val="en-US" w:eastAsia="zh-CN"/>
                    </w:rPr>
                  </w:pPr>
                  <w:r>
                    <w:rPr>
                      <w:rFonts w:hint="eastAsia"/>
                      <w:color w:val="auto"/>
                      <w:lang w:val="en-US" w:eastAsia="zh-CN"/>
                    </w:rPr>
                    <w:t>40-60</w:t>
                  </w:r>
                </w:p>
              </w:tc>
              <w:tc>
                <w:tcPr>
                  <w:tcW w:w="296" w:type="pct"/>
                  <w:noWrap w:val="0"/>
                  <w:vAlign w:val="center"/>
                </w:tcPr>
                <w:p w14:paraId="10C5770F">
                  <w:pPr>
                    <w:jc w:val="center"/>
                    <w:rPr>
                      <w:rFonts w:hint="default" w:eastAsia="宋体"/>
                      <w:color w:val="auto"/>
                      <w:lang w:val="en-US" w:eastAsia="zh-CN"/>
                    </w:rPr>
                  </w:pPr>
                  <w:r>
                    <w:rPr>
                      <w:rFonts w:hint="eastAsia"/>
                      <w:color w:val="auto"/>
                      <w:lang w:val="en-US" w:eastAsia="zh-CN"/>
                    </w:rPr>
                    <w:t>25-35</w:t>
                  </w:r>
                </w:p>
              </w:tc>
              <w:tc>
                <w:tcPr>
                  <w:tcW w:w="296" w:type="pct"/>
                  <w:noWrap w:val="0"/>
                  <w:vAlign w:val="center"/>
                </w:tcPr>
                <w:p w14:paraId="7FCB26F1">
                  <w:pPr>
                    <w:jc w:val="center"/>
                    <w:rPr>
                      <w:rFonts w:hint="default" w:eastAsia="宋体"/>
                      <w:color w:val="auto"/>
                      <w:lang w:val="en-US" w:eastAsia="zh-CN"/>
                    </w:rPr>
                  </w:pPr>
                  <w:r>
                    <w:rPr>
                      <w:rFonts w:hint="eastAsia"/>
                      <w:color w:val="auto"/>
                      <w:lang w:val="en-US" w:eastAsia="zh-CN"/>
                    </w:rPr>
                    <w:t>45-55</w:t>
                  </w:r>
                </w:p>
              </w:tc>
              <w:tc>
                <w:tcPr>
                  <w:tcW w:w="300" w:type="pct"/>
                  <w:noWrap w:val="0"/>
                  <w:vAlign w:val="center"/>
                </w:tcPr>
                <w:p w14:paraId="73B69246">
                  <w:pPr>
                    <w:jc w:val="center"/>
                    <w:rPr>
                      <w:rFonts w:hint="default" w:eastAsia="宋体"/>
                      <w:color w:val="auto"/>
                      <w:lang w:val="en-US" w:eastAsia="zh-CN"/>
                    </w:rPr>
                  </w:pPr>
                  <w:r>
                    <w:rPr>
                      <w:rFonts w:hint="eastAsia"/>
                      <w:color w:val="auto"/>
                      <w:lang w:val="en-US" w:eastAsia="zh-CN"/>
                    </w:rPr>
                    <w:t>10-35</w:t>
                  </w:r>
                </w:p>
              </w:tc>
              <w:tc>
                <w:tcPr>
                  <w:tcW w:w="290" w:type="pct"/>
                  <w:noWrap w:val="0"/>
                  <w:vAlign w:val="center"/>
                </w:tcPr>
                <w:p w14:paraId="57A8AF77">
                  <w:pPr>
                    <w:jc w:val="center"/>
                    <w:rPr>
                      <w:rFonts w:hint="eastAsia"/>
                      <w:color w:val="auto"/>
                    </w:rPr>
                  </w:pPr>
                  <w:r>
                    <w:rPr>
                      <w:rFonts w:hint="eastAsia"/>
                      <w:color w:val="auto"/>
                    </w:rPr>
                    <w:t>24</w:t>
                  </w:r>
                  <w:r>
                    <w:rPr>
                      <w:color w:val="auto"/>
                    </w:rPr>
                    <w:t>h</w:t>
                  </w:r>
                  <w:r>
                    <w:rPr>
                      <w:rFonts w:hint="eastAsia"/>
                      <w:color w:val="auto"/>
                    </w:rPr>
                    <w:t>/d</w:t>
                  </w:r>
                </w:p>
              </w:tc>
            </w:tr>
          </w:tbl>
          <w:p w14:paraId="30FABEFA">
            <w:pPr>
              <w:pStyle w:val="1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rPr>
            </w:pPr>
          </w:p>
          <w:p w14:paraId="2C34F3C8">
            <w:pPr>
              <w:pStyle w:val="1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③</w:t>
            </w:r>
            <w:r>
              <w:rPr>
                <w:rFonts w:hint="default" w:ascii="Times New Roman" w:hAnsi="Times New Roman" w:eastAsia="宋体" w:cs="Times New Roman"/>
                <w:color w:val="auto"/>
                <w:sz w:val="24"/>
                <w:szCs w:val="24"/>
              </w:rPr>
              <w:t>预测模式</w:t>
            </w:r>
          </w:p>
          <w:p w14:paraId="4767A328">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bookmarkStart w:id="14" w:name="_Toc184481523"/>
            <w:bookmarkStart w:id="15" w:name="_Toc184482080"/>
            <w:r>
              <w:rPr>
                <w:rFonts w:ascii="Times New Roman" w:hAnsi="Times New Roman" w:eastAsia="宋体" w:cs="Times New Roman"/>
                <w:color w:val="auto"/>
                <w:kern w:val="2"/>
                <w:sz w:val="24"/>
                <w:szCs w:val="24"/>
                <w:lang w:val="zh-CN" w:eastAsia="zh-CN" w:bidi="ar-SA"/>
              </w:rPr>
              <w:t>本次环评的噪声预测根据项目特点，按《环境影响评价技术导则声环境》(HJ2.4-2021</w:t>
            </w:r>
            <w:r>
              <w:rPr>
                <w:rFonts w:hint="eastAsia" w:ascii="Times New Roman" w:hAnsi="Times New Roman" w:cs="Times New Roman"/>
                <w:color w:val="auto"/>
                <w:kern w:val="2"/>
                <w:sz w:val="24"/>
                <w:szCs w:val="24"/>
                <w:lang w:val="zh-CN" w:eastAsia="zh-CN" w:bidi="ar-SA"/>
              </w:rPr>
              <w:t>）</w:t>
            </w:r>
            <w:r>
              <w:rPr>
                <w:rFonts w:ascii="Times New Roman" w:hAnsi="Times New Roman" w:eastAsia="宋体" w:cs="Times New Roman"/>
                <w:color w:val="auto"/>
                <w:kern w:val="2"/>
                <w:sz w:val="24"/>
                <w:szCs w:val="24"/>
                <w:lang w:val="zh-CN" w:eastAsia="zh-CN" w:bidi="ar-SA"/>
              </w:rPr>
              <w:t>中的工业噪声预测计算模式。</w:t>
            </w:r>
          </w:p>
          <w:p w14:paraId="10923D42">
            <w:pPr>
              <w:pStyle w:val="54"/>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cs="Times New Roman"/>
                <w:b/>
                <w:bCs/>
                <w:color w:val="auto"/>
                <w:kern w:val="2"/>
                <w:sz w:val="24"/>
                <w:szCs w:val="24"/>
                <w:lang w:val="zh-CN" w:eastAsia="zh-CN" w:bidi="ar-SA"/>
              </w:rPr>
            </w:pPr>
            <w:r>
              <w:rPr>
                <w:rFonts w:hint="eastAsia" w:ascii="Times New Roman" w:hAnsi="Times New Roman" w:eastAsia="宋体" w:cs="Times New Roman"/>
                <w:b/>
                <w:bCs/>
                <w:color w:val="auto"/>
                <w:kern w:val="2"/>
                <w:sz w:val="24"/>
                <w:szCs w:val="24"/>
                <w:lang w:val="en-US" w:eastAsia="zh-CN" w:bidi="ar-SA"/>
              </w:rPr>
              <w:t>A.</w:t>
            </w:r>
            <w:r>
              <w:rPr>
                <w:rFonts w:ascii="Times New Roman" w:hAnsi="Times New Roman" w:eastAsia="宋体" w:cs="Times New Roman"/>
                <w:b/>
                <w:bCs/>
                <w:color w:val="auto"/>
                <w:kern w:val="2"/>
                <w:sz w:val="24"/>
                <w:szCs w:val="24"/>
                <w:lang w:val="zh-CN" w:eastAsia="zh-CN" w:bidi="ar-SA"/>
              </w:rPr>
              <w:t>首先计算出某个声源室内靠近围护结构处的等效声压级</w:t>
            </w:r>
          </w:p>
          <w:p w14:paraId="1C58167F">
            <w:pPr>
              <w:spacing w:before="133" w:line="840" w:lineRule="exact"/>
              <w:ind w:firstLine="2523"/>
              <w:rPr>
                <w:color w:val="auto"/>
              </w:rPr>
            </w:pPr>
            <w:r>
              <w:rPr>
                <w:color w:val="auto"/>
                <w:position w:val="-16"/>
              </w:rPr>
              <w:drawing>
                <wp:inline distT="0" distB="0" distL="114300" distR="114300">
                  <wp:extent cx="3171190" cy="532765"/>
                  <wp:effectExtent l="0" t="0" r="10160" b="635"/>
                  <wp:docPr id="75" name="图片 10"/>
                  <wp:cNvGraphicFramePr/>
                  <a:graphic xmlns:a="http://schemas.openxmlformats.org/drawingml/2006/main">
                    <a:graphicData uri="http://schemas.openxmlformats.org/drawingml/2006/picture">
                      <pic:pic xmlns:pic="http://schemas.openxmlformats.org/drawingml/2006/picture">
                        <pic:nvPicPr>
                          <pic:cNvPr id="75" name="图片 10"/>
                          <pic:cNvPicPr/>
                        </pic:nvPicPr>
                        <pic:blipFill>
                          <a:blip r:embed="rId19"/>
                          <a:stretch>
                            <a:fillRect/>
                          </a:stretch>
                        </pic:blipFill>
                        <pic:spPr>
                          <a:xfrm>
                            <a:off x="0" y="0"/>
                            <a:ext cx="3171190" cy="532765"/>
                          </a:xfrm>
                          <a:prstGeom prst="rect">
                            <a:avLst/>
                          </a:prstGeom>
                          <a:noFill/>
                          <a:ln>
                            <a:noFill/>
                          </a:ln>
                        </pic:spPr>
                      </pic:pic>
                    </a:graphicData>
                  </a:graphic>
                </wp:inline>
              </w:drawing>
            </w:r>
          </w:p>
          <w:p w14:paraId="13FB5F96">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式中：</w:t>
            </w:r>
          </w:p>
          <w:p w14:paraId="7377CB50">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Lp1—靠近开口处（或窗户）室内某倍频带的声压级或 A 声级，dB；</w:t>
            </w:r>
          </w:p>
          <w:p w14:paraId="6E53AB08">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Lw— 点声源声功率级（A 计权或倍频带），dB；</w:t>
            </w:r>
          </w:p>
          <w:p w14:paraId="65FDA474">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Q—指向性因数；通常对无指向性声源，当声源放在房间中心时，Q=1；当放在一面墙的中心时</w:t>
            </w:r>
            <w:r>
              <w:rPr>
                <w:rFonts w:hint="eastAsia" w:ascii="Times New Roman" w:hAnsi="Times New Roman" w:eastAsia="宋体" w:cs="Times New Roman"/>
                <w:color w:val="auto"/>
                <w:kern w:val="2"/>
                <w:sz w:val="24"/>
                <w:szCs w:val="24"/>
                <w:lang w:val="zh-CN" w:eastAsia="zh-CN" w:bidi="ar-SA"/>
              </w:rPr>
              <w:t>，</w:t>
            </w:r>
            <w:r>
              <w:rPr>
                <w:rFonts w:ascii="Times New Roman" w:hAnsi="Times New Roman" w:eastAsia="宋体" w:cs="Times New Roman"/>
                <w:color w:val="auto"/>
                <w:kern w:val="2"/>
                <w:sz w:val="24"/>
                <w:szCs w:val="24"/>
                <w:lang w:val="zh-CN" w:eastAsia="zh-CN" w:bidi="ar-SA"/>
              </w:rPr>
              <w:t xml:space="preserve"> Q=2；当放在两面墙夹角处时，Q=4；当放在三面墙夹角处时，Q=8；本次Q取 2。</w:t>
            </w:r>
          </w:p>
          <w:p w14:paraId="47ADCF78">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R—房间常数；R=Sa/（1-a ），S 为房间内表面面积，m</w:t>
            </w:r>
            <w:r>
              <w:rPr>
                <w:rFonts w:ascii="Times New Roman" w:hAnsi="Times New Roman" w:eastAsia="宋体" w:cs="Times New Roman"/>
                <w:color w:val="auto"/>
                <w:kern w:val="2"/>
                <w:sz w:val="24"/>
                <w:szCs w:val="24"/>
                <w:vertAlign w:val="superscript"/>
                <w:lang w:val="zh-CN" w:eastAsia="zh-CN" w:bidi="ar-SA"/>
              </w:rPr>
              <w:t>2</w:t>
            </w:r>
            <w:r>
              <w:rPr>
                <w:rFonts w:ascii="Times New Roman" w:hAnsi="Times New Roman" w:eastAsia="宋体" w:cs="Times New Roman"/>
                <w:color w:val="auto"/>
                <w:kern w:val="2"/>
                <w:sz w:val="24"/>
                <w:szCs w:val="24"/>
                <w:lang w:val="zh-CN" w:eastAsia="zh-CN" w:bidi="ar-SA"/>
              </w:rPr>
              <w:t xml:space="preserve"> ；α为平均吸声系数取0.0</w:t>
            </w:r>
            <w:r>
              <w:rPr>
                <w:rFonts w:hint="eastAsia" w:ascii="Times New Roman" w:hAnsi="Times New Roman" w:eastAsia="宋体" w:cs="Times New Roman"/>
                <w:color w:val="auto"/>
                <w:kern w:val="2"/>
                <w:sz w:val="24"/>
                <w:szCs w:val="24"/>
                <w:lang w:val="en-US" w:eastAsia="zh-CN" w:bidi="ar-SA"/>
              </w:rPr>
              <w:t>1</w:t>
            </w:r>
            <w:r>
              <w:rPr>
                <w:rFonts w:ascii="Times New Roman" w:hAnsi="Times New Roman" w:eastAsia="宋体" w:cs="Times New Roman"/>
                <w:color w:val="auto"/>
                <w:kern w:val="2"/>
                <w:sz w:val="24"/>
                <w:szCs w:val="24"/>
                <w:lang w:val="zh-CN" w:eastAsia="zh-CN" w:bidi="ar-SA"/>
              </w:rPr>
              <w:t>；</w:t>
            </w:r>
          </w:p>
          <w:p w14:paraId="6E021915">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r— 声源到靠近围护结构某点处的距离，m</w:t>
            </w:r>
          </w:p>
          <w:p w14:paraId="3F533071">
            <w:pPr>
              <w:pStyle w:val="54"/>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cs="Times New Roman"/>
                <w:b/>
                <w:bCs/>
                <w:color w:val="auto"/>
                <w:kern w:val="2"/>
                <w:sz w:val="24"/>
                <w:szCs w:val="24"/>
                <w:lang w:val="zh-CN" w:eastAsia="zh-CN" w:bidi="ar-SA"/>
              </w:rPr>
            </w:pPr>
            <w:r>
              <w:rPr>
                <w:rFonts w:hint="eastAsia" w:ascii="Times New Roman" w:hAnsi="Times New Roman" w:eastAsia="宋体" w:cs="Times New Roman"/>
                <w:b/>
                <w:bCs/>
                <w:color w:val="auto"/>
                <w:kern w:val="2"/>
                <w:sz w:val="24"/>
                <w:szCs w:val="24"/>
                <w:lang w:val="en-US" w:eastAsia="zh-CN" w:bidi="ar-SA"/>
              </w:rPr>
              <w:t>B.</w:t>
            </w:r>
            <w:r>
              <w:rPr>
                <w:rFonts w:ascii="Times New Roman" w:hAnsi="Times New Roman" w:eastAsia="宋体" w:cs="Times New Roman"/>
                <w:b/>
                <w:bCs/>
                <w:color w:val="auto"/>
                <w:kern w:val="2"/>
                <w:sz w:val="24"/>
                <w:szCs w:val="24"/>
                <w:lang w:val="zh-CN" w:eastAsia="zh-CN" w:bidi="ar-SA"/>
              </w:rPr>
              <w:t>计算出所有室内声源在靠近围护结构处产生的总声压级</w:t>
            </w:r>
          </w:p>
          <w:p w14:paraId="3E38A026">
            <w:pPr>
              <w:spacing w:before="133" w:line="795" w:lineRule="exact"/>
              <w:ind w:firstLine="2816"/>
              <w:rPr>
                <w:color w:val="auto"/>
              </w:rPr>
            </w:pPr>
            <w:r>
              <w:rPr>
                <w:color w:val="auto"/>
                <w:position w:val="-15"/>
              </w:rPr>
              <w:drawing>
                <wp:inline distT="0" distB="0" distL="114300" distR="114300">
                  <wp:extent cx="2800985" cy="504190"/>
                  <wp:effectExtent l="0" t="0" r="18415" b="10160"/>
                  <wp:docPr id="76" name="图片 11"/>
                  <wp:cNvGraphicFramePr/>
                  <a:graphic xmlns:a="http://schemas.openxmlformats.org/drawingml/2006/main">
                    <a:graphicData uri="http://schemas.openxmlformats.org/drawingml/2006/picture">
                      <pic:pic xmlns:pic="http://schemas.openxmlformats.org/drawingml/2006/picture">
                        <pic:nvPicPr>
                          <pic:cNvPr id="76" name="图片 11"/>
                          <pic:cNvPicPr/>
                        </pic:nvPicPr>
                        <pic:blipFill>
                          <a:blip r:embed="rId20"/>
                          <a:stretch>
                            <a:fillRect/>
                          </a:stretch>
                        </pic:blipFill>
                        <pic:spPr>
                          <a:xfrm>
                            <a:off x="0" y="0"/>
                            <a:ext cx="2800985" cy="504190"/>
                          </a:xfrm>
                          <a:prstGeom prst="rect">
                            <a:avLst/>
                          </a:prstGeom>
                          <a:noFill/>
                          <a:ln>
                            <a:noFill/>
                          </a:ln>
                        </pic:spPr>
                      </pic:pic>
                    </a:graphicData>
                  </a:graphic>
                </wp:inline>
              </w:drawing>
            </w:r>
          </w:p>
          <w:p w14:paraId="608A4961">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Lp1i（T）——靠近围护结构处室内 N 个声源 i 倍频带的叠加声压级，dB；</w:t>
            </w:r>
          </w:p>
          <w:p w14:paraId="097D9721">
            <w:pPr>
              <w:keepNext w:val="0"/>
              <w:keepLines w:val="0"/>
              <w:pageBreakBefore w:val="0"/>
              <w:widowControl w:val="0"/>
              <w:kinsoku/>
              <w:wordWrap/>
              <w:overflowPunct/>
              <w:topLinePunct w:val="0"/>
              <w:autoSpaceDE/>
              <w:autoSpaceDN/>
              <w:bidi w:val="0"/>
              <w:adjustRightInd w:val="0"/>
              <w:snapToGrid w:val="0"/>
              <w:spacing w:line="360" w:lineRule="auto"/>
              <w:ind w:firstLine="1440" w:firstLineChars="6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Lp1ij——室内j 声源 i 倍频带的声压级，dB；</w:t>
            </w:r>
          </w:p>
          <w:p w14:paraId="3272017E">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N——室内声源总数。</w:t>
            </w:r>
          </w:p>
          <w:p w14:paraId="5C39D9DD">
            <w:pPr>
              <w:pStyle w:val="54"/>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cs="Times New Roman"/>
                <w:b/>
                <w:bCs/>
                <w:color w:val="auto"/>
                <w:kern w:val="2"/>
                <w:sz w:val="24"/>
                <w:szCs w:val="24"/>
                <w:lang w:val="zh-CN" w:eastAsia="zh-CN" w:bidi="ar-SA"/>
              </w:rPr>
            </w:pPr>
            <w:r>
              <w:rPr>
                <w:rFonts w:hint="eastAsia" w:ascii="Times New Roman" w:hAnsi="Times New Roman" w:eastAsia="宋体" w:cs="Times New Roman"/>
                <w:b/>
                <w:bCs/>
                <w:color w:val="auto"/>
                <w:kern w:val="2"/>
                <w:sz w:val="24"/>
                <w:szCs w:val="24"/>
                <w:lang w:val="en-US" w:eastAsia="zh-CN" w:bidi="ar-SA"/>
              </w:rPr>
              <w:t>C.</w:t>
            </w:r>
            <w:r>
              <w:rPr>
                <w:rFonts w:ascii="Times New Roman" w:hAnsi="Times New Roman" w:eastAsia="宋体" w:cs="Times New Roman"/>
                <w:b/>
                <w:bCs/>
                <w:color w:val="auto"/>
                <w:kern w:val="2"/>
                <w:sz w:val="24"/>
                <w:szCs w:val="24"/>
                <w:lang w:val="zh-CN" w:eastAsia="zh-CN" w:bidi="ar-SA"/>
              </w:rPr>
              <w:t>计算出室外靠近围护结构处的声压级</w:t>
            </w:r>
          </w:p>
          <w:p w14:paraId="0438EA17">
            <w:pPr>
              <w:pStyle w:val="54"/>
              <w:keepNext w:val="0"/>
              <w:keepLines w:val="0"/>
              <w:pageBreakBefore w:val="0"/>
              <w:widowControl w:val="0"/>
              <w:kinsoku/>
              <w:wordWrap/>
              <w:overflowPunct/>
              <w:topLinePunct w:val="0"/>
              <w:autoSpaceDE/>
              <w:autoSpaceDN/>
              <w:bidi w:val="0"/>
              <w:adjustRightInd w:val="0"/>
              <w:snapToGrid w:val="0"/>
              <w:spacing w:line="360" w:lineRule="auto"/>
              <w:ind w:firstLine="1920" w:firstLineChars="8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Lp2i（T）=Lp1i（T）-(TLi+6)</w:t>
            </w:r>
          </w:p>
          <w:p w14:paraId="581DF5B1">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式中：</w:t>
            </w:r>
          </w:p>
          <w:p w14:paraId="2D08B3DB">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Lp2i（T）—靠近围护结构处室外 N 个声源 i 倍频带的叠加声压级，dB；</w:t>
            </w:r>
          </w:p>
          <w:p w14:paraId="5F05C636">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Lp1i（T）—靠近围护结构处室内 N 个声源 i 倍频带的叠加声压级，dB；</w:t>
            </w:r>
          </w:p>
          <w:p w14:paraId="74420B23">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TLi—— 围护结构 i 倍频带的隔声量，dB。</w:t>
            </w:r>
          </w:p>
          <w:p w14:paraId="3FC3D539">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highlight w:val="none"/>
                <w:lang w:val="zh-CN" w:eastAsia="zh-CN" w:bidi="ar-SA"/>
              </w:rPr>
            </w:pPr>
            <w:r>
              <w:rPr>
                <w:rFonts w:ascii="Times New Roman" w:hAnsi="Times New Roman" w:eastAsia="宋体" w:cs="Times New Roman"/>
                <w:color w:val="auto"/>
                <w:kern w:val="2"/>
                <w:sz w:val="24"/>
                <w:szCs w:val="24"/>
                <w:lang w:val="zh-CN" w:eastAsia="zh-CN" w:bidi="ar-SA"/>
              </w:rPr>
              <w:t>根据《噪声污染控制工程》（高等教育出版社，洪</w:t>
            </w:r>
            <w:r>
              <w:rPr>
                <w:rFonts w:ascii="Times New Roman" w:hAnsi="Times New Roman" w:eastAsia="宋体" w:cs="Times New Roman"/>
                <w:color w:val="auto"/>
                <w:kern w:val="2"/>
                <w:sz w:val="24"/>
                <w:szCs w:val="24"/>
                <w:highlight w:val="none"/>
                <w:lang w:val="zh-CN" w:eastAsia="zh-CN" w:bidi="ar-SA"/>
              </w:rPr>
              <w:t>宗辉）中资料，本项目为</w:t>
            </w:r>
            <w:r>
              <w:rPr>
                <w:rFonts w:hint="eastAsia" w:ascii="Times New Roman" w:hAnsi="Times New Roman" w:cs="Times New Roman"/>
                <w:color w:val="auto"/>
                <w:kern w:val="2"/>
                <w:sz w:val="24"/>
                <w:szCs w:val="24"/>
                <w:highlight w:val="none"/>
                <w:lang w:val="en-US" w:eastAsia="zh-CN" w:bidi="ar-SA"/>
              </w:rPr>
              <w:t>24cm</w:t>
            </w:r>
            <w:r>
              <w:rPr>
                <w:rFonts w:ascii="Times New Roman" w:hAnsi="Times New Roman" w:eastAsia="宋体" w:cs="Times New Roman"/>
                <w:color w:val="auto"/>
                <w:kern w:val="2"/>
                <w:sz w:val="24"/>
                <w:szCs w:val="24"/>
                <w:highlight w:val="none"/>
                <w:lang w:val="zh-CN" w:eastAsia="zh-CN" w:bidi="ar-SA"/>
              </w:rPr>
              <w:t xml:space="preserve">墙体， </w:t>
            </w:r>
            <w:r>
              <w:rPr>
                <w:rFonts w:hint="eastAsia" w:ascii="Times New Roman" w:hAnsi="Times New Roman" w:cs="Times New Roman"/>
                <w:color w:val="auto"/>
                <w:kern w:val="2"/>
                <w:sz w:val="24"/>
                <w:szCs w:val="24"/>
                <w:highlight w:val="none"/>
                <w:lang w:val="zh-CN" w:eastAsia="zh-CN" w:bidi="ar-SA"/>
              </w:rPr>
              <w:t>理论</w:t>
            </w:r>
            <w:r>
              <w:rPr>
                <w:rFonts w:ascii="Times New Roman" w:hAnsi="Times New Roman" w:eastAsia="宋体" w:cs="Times New Roman"/>
                <w:color w:val="auto"/>
                <w:kern w:val="2"/>
                <w:sz w:val="24"/>
                <w:szCs w:val="24"/>
                <w:highlight w:val="none"/>
                <w:lang w:val="zh-CN" w:eastAsia="zh-CN" w:bidi="ar-SA"/>
              </w:rPr>
              <w:t>隔声量为</w:t>
            </w:r>
            <w:r>
              <w:rPr>
                <w:rFonts w:hint="eastAsia" w:ascii="Times New Roman" w:hAnsi="Times New Roman" w:cs="Times New Roman"/>
                <w:color w:val="auto"/>
                <w:kern w:val="2"/>
                <w:sz w:val="24"/>
                <w:szCs w:val="24"/>
                <w:highlight w:val="none"/>
                <w:lang w:val="en-US" w:eastAsia="zh-CN" w:bidi="ar-SA"/>
              </w:rPr>
              <w:t>46</w:t>
            </w:r>
            <w:r>
              <w:rPr>
                <w:rFonts w:ascii="Times New Roman" w:hAnsi="Times New Roman" w:eastAsia="宋体" w:cs="Times New Roman"/>
                <w:color w:val="auto"/>
                <w:kern w:val="2"/>
                <w:sz w:val="24"/>
                <w:szCs w:val="24"/>
                <w:highlight w:val="none"/>
                <w:lang w:val="zh-CN" w:eastAsia="zh-CN" w:bidi="ar-SA"/>
              </w:rPr>
              <w:t>dB（A），考虑到门窗面积和开门开窗</w:t>
            </w:r>
            <w:r>
              <w:rPr>
                <w:rFonts w:hint="eastAsia" w:ascii="Times New Roman" w:hAnsi="Times New Roman" w:cs="Times New Roman"/>
                <w:color w:val="auto"/>
                <w:kern w:val="2"/>
                <w:sz w:val="24"/>
                <w:szCs w:val="24"/>
                <w:highlight w:val="none"/>
                <w:lang w:val="zh-CN" w:eastAsia="zh-CN" w:bidi="ar-SA"/>
              </w:rPr>
              <w:t>等现实因素</w:t>
            </w:r>
            <w:r>
              <w:rPr>
                <w:rFonts w:ascii="Times New Roman" w:hAnsi="Times New Roman" w:eastAsia="宋体" w:cs="Times New Roman"/>
                <w:color w:val="auto"/>
                <w:kern w:val="2"/>
                <w:sz w:val="24"/>
                <w:szCs w:val="24"/>
                <w:highlight w:val="none"/>
                <w:lang w:val="zh-CN" w:eastAsia="zh-CN" w:bidi="ar-SA"/>
              </w:rPr>
              <w:t>对隔声的负面影响，实际隔声量（TL+</w:t>
            </w:r>
            <w:r>
              <w:rPr>
                <w:rFonts w:hint="eastAsia" w:ascii="Times New Roman" w:hAnsi="Times New Roman" w:cs="Times New Roman"/>
                <w:color w:val="auto"/>
                <w:kern w:val="2"/>
                <w:sz w:val="24"/>
                <w:szCs w:val="24"/>
                <w:highlight w:val="none"/>
                <w:lang w:val="en-US" w:eastAsia="zh-CN" w:bidi="ar-SA"/>
              </w:rPr>
              <w:t>8</w:t>
            </w:r>
            <w:r>
              <w:rPr>
                <w:rFonts w:ascii="Times New Roman" w:hAnsi="Times New Roman" w:eastAsia="宋体" w:cs="Times New Roman"/>
                <w:color w:val="auto"/>
                <w:kern w:val="2"/>
                <w:sz w:val="24"/>
                <w:szCs w:val="24"/>
                <w:highlight w:val="none"/>
                <w:lang w:val="zh-CN" w:eastAsia="zh-CN" w:bidi="ar-SA"/>
              </w:rPr>
              <w:t>）为</w:t>
            </w:r>
            <w:r>
              <w:rPr>
                <w:rFonts w:hint="eastAsia" w:ascii="Times New Roman" w:hAnsi="Times New Roman" w:cs="Times New Roman"/>
                <w:color w:val="auto"/>
                <w:kern w:val="2"/>
                <w:sz w:val="24"/>
                <w:szCs w:val="24"/>
                <w:highlight w:val="none"/>
                <w:lang w:val="en-US" w:eastAsia="zh-CN" w:bidi="ar-SA"/>
              </w:rPr>
              <w:t>32</w:t>
            </w:r>
            <w:r>
              <w:rPr>
                <w:rFonts w:ascii="Times New Roman" w:hAnsi="Times New Roman" w:eastAsia="宋体" w:cs="Times New Roman"/>
                <w:color w:val="auto"/>
                <w:kern w:val="2"/>
                <w:sz w:val="24"/>
                <w:szCs w:val="24"/>
                <w:highlight w:val="none"/>
                <w:lang w:val="zh-CN" w:eastAsia="zh-CN" w:bidi="ar-SA"/>
              </w:rPr>
              <w:t>dB（A）左右。</w:t>
            </w:r>
          </w:p>
          <w:p w14:paraId="1679CC8D">
            <w:pPr>
              <w:pStyle w:val="54"/>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cs="Times New Roman"/>
                <w:b/>
                <w:bCs/>
                <w:color w:val="auto"/>
                <w:kern w:val="2"/>
                <w:sz w:val="24"/>
                <w:szCs w:val="24"/>
                <w:lang w:val="zh-CN" w:eastAsia="zh-CN" w:bidi="ar-SA"/>
              </w:rPr>
            </w:pPr>
            <w:r>
              <w:rPr>
                <w:rFonts w:hint="eastAsia" w:ascii="Times New Roman" w:hAnsi="Times New Roman" w:eastAsia="宋体" w:cs="Times New Roman"/>
                <w:b/>
                <w:bCs/>
                <w:color w:val="auto"/>
                <w:kern w:val="2"/>
                <w:sz w:val="24"/>
                <w:szCs w:val="24"/>
                <w:lang w:val="en-US" w:eastAsia="zh-CN" w:bidi="ar-SA"/>
              </w:rPr>
              <w:t>D.</w:t>
            </w:r>
            <w:r>
              <w:rPr>
                <w:rFonts w:ascii="Times New Roman" w:hAnsi="Times New Roman" w:eastAsia="宋体" w:cs="Times New Roman"/>
                <w:b/>
                <w:bCs/>
                <w:color w:val="auto"/>
                <w:kern w:val="2"/>
                <w:sz w:val="24"/>
                <w:szCs w:val="24"/>
                <w:lang w:val="zh-CN" w:eastAsia="zh-CN" w:bidi="ar-SA"/>
              </w:rPr>
              <w:t>将室外声级和透声面积换算成等效室外声源</w:t>
            </w:r>
          </w:p>
          <w:p w14:paraId="36D6AF1F">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LW=Lp2(T)+10lgS</w:t>
            </w:r>
          </w:p>
          <w:p w14:paraId="61E08504">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式中：</w:t>
            </w:r>
          </w:p>
          <w:p w14:paraId="43C92194">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S—透声面积，m</w:t>
            </w:r>
            <w:r>
              <w:rPr>
                <w:rFonts w:ascii="Times New Roman" w:hAnsi="Times New Roman" w:eastAsia="宋体" w:cs="Times New Roman"/>
                <w:color w:val="auto"/>
                <w:kern w:val="2"/>
                <w:sz w:val="24"/>
                <w:szCs w:val="24"/>
                <w:vertAlign w:val="superscript"/>
                <w:lang w:val="zh-CN" w:eastAsia="zh-CN" w:bidi="ar-SA"/>
              </w:rPr>
              <w:t>2</w:t>
            </w:r>
            <w:r>
              <w:rPr>
                <w:rFonts w:ascii="Times New Roman" w:hAnsi="Times New Roman" w:eastAsia="宋体" w:cs="Times New Roman"/>
                <w:color w:val="auto"/>
                <w:kern w:val="2"/>
                <w:sz w:val="24"/>
                <w:szCs w:val="24"/>
                <w:lang w:val="zh-CN" w:eastAsia="zh-CN" w:bidi="ar-SA"/>
              </w:rPr>
              <w:t>；</w:t>
            </w:r>
          </w:p>
          <w:p w14:paraId="160816DA">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Lw—— 中心位置位于透声面积（S）处的等效声源的倍频带声功率级，dB；</w:t>
            </w:r>
          </w:p>
          <w:p w14:paraId="354DA9A9">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Lp2(T)——靠近围护结构处室外声源的声压级，dB；</w:t>
            </w:r>
          </w:p>
          <w:p w14:paraId="74DC025C">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hint="eastAsia" w:ascii="Times New Roman" w:hAnsi="Times New Roman" w:eastAsia="宋体" w:cs="Times New Roman"/>
                <w:color w:val="auto"/>
                <w:kern w:val="2"/>
                <w:sz w:val="24"/>
                <w:szCs w:val="24"/>
                <w:lang w:val="en-US" w:eastAsia="zh-CN" w:bidi="ar-SA"/>
              </w:rPr>
              <w:t>E.</w:t>
            </w:r>
            <w:r>
              <w:rPr>
                <w:rFonts w:ascii="Times New Roman" w:hAnsi="Times New Roman" w:eastAsia="宋体" w:cs="Times New Roman"/>
                <w:color w:val="auto"/>
                <w:kern w:val="2"/>
                <w:sz w:val="24"/>
                <w:szCs w:val="24"/>
                <w:lang w:val="zh-CN" w:eastAsia="zh-CN" w:bidi="ar-SA"/>
              </w:rPr>
              <w:t>预测点的声压级</w:t>
            </w:r>
          </w:p>
          <w:p w14:paraId="3566FC0D">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drawing>
                <wp:inline distT="0" distB="0" distL="114300" distR="114300">
                  <wp:extent cx="3666490" cy="286385"/>
                  <wp:effectExtent l="0" t="0" r="10160" b="18415"/>
                  <wp:docPr id="74" name="图片 12"/>
                  <wp:cNvGraphicFramePr/>
                  <a:graphic xmlns:a="http://schemas.openxmlformats.org/drawingml/2006/main">
                    <a:graphicData uri="http://schemas.openxmlformats.org/drawingml/2006/picture">
                      <pic:pic xmlns:pic="http://schemas.openxmlformats.org/drawingml/2006/picture">
                        <pic:nvPicPr>
                          <pic:cNvPr id="74" name="图片 12"/>
                          <pic:cNvPicPr/>
                        </pic:nvPicPr>
                        <pic:blipFill>
                          <a:blip r:embed="rId21"/>
                          <a:stretch>
                            <a:fillRect/>
                          </a:stretch>
                        </pic:blipFill>
                        <pic:spPr>
                          <a:xfrm>
                            <a:off x="0" y="0"/>
                            <a:ext cx="3666490" cy="286385"/>
                          </a:xfrm>
                          <a:prstGeom prst="rect">
                            <a:avLst/>
                          </a:prstGeom>
                          <a:noFill/>
                          <a:ln>
                            <a:noFill/>
                          </a:ln>
                        </pic:spPr>
                      </pic:pic>
                    </a:graphicData>
                  </a:graphic>
                </wp:inline>
              </w:drawing>
            </w:r>
          </w:p>
          <w:p w14:paraId="4BAF0CCA">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式中：</w:t>
            </w:r>
          </w:p>
          <w:p w14:paraId="4FD068BE">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Lp(r)——预测点处声压级，dB；</w:t>
            </w:r>
          </w:p>
          <w:p w14:paraId="0D3E118C">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Lw—— 由点声源产生的声功率级（A 计权或倍频带），dB；</w:t>
            </w:r>
          </w:p>
          <w:p w14:paraId="02C640B5">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DC——指向性校正，它描述点声源的等效连续声压级与产生声功率级 Lw 的全向点声源在规定方向的声级的偏差程度，dB；</w:t>
            </w:r>
          </w:p>
          <w:p w14:paraId="6A5546E5">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Adiv—— 几何发散引起的衰减，dB；</w:t>
            </w:r>
          </w:p>
          <w:p w14:paraId="328AA95C">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Aatm——大气吸收引起的衰减，dB；</w:t>
            </w:r>
          </w:p>
          <w:p w14:paraId="685BE5AA">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Agr——地面效应引起的衰减，dB；本次不考虑。</w:t>
            </w:r>
          </w:p>
          <w:p w14:paraId="2C20F8D5">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Abar—— 障碍物屏蔽引起的衰减，dB；本次不考虑。</w:t>
            </w:r>
          </w:p>
          <w:p w14:paraId="18729781">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Amisc——其他多方面效应引起的衰减，dB；本次不考虑。</w:t>
            </w:r>
          </w:p>
          <w:p w14:paraId="5719A457">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drawing>
                <wp:inline distT="0" distB="0" distL="114300" distR="114300">
                  <wp:extent cx="1743075" cy="502285"/>
                  <wp:effectExtent l="0" t="0" r="9525" b="12065"/>
                  <wp:docPr id="73" name="图片 13"/>
                  <wp:cNvGraphicFramePr/>
                  <a:graphic xmlns:a="http://schemas.openxmlformats.org/drawingml/2006/main">
                    <a:graphicData uri="http://schemas.openxmlformats.org/drawingml/2006/picture">
                      <pic:pic xmlns:pic="http://schemas.openxmlformats.org/drawingml/2006/picture">
                        <pic:nvPicPr>
                          <pic:cNvPr id="73" name="图片 13"/>
                          <pic:cNvPicPr/>
                        </pic:nvPicPr>
                        <pic:blipFill>
                          <a:blip r:embed="rId22"/>
                          <a:stretch>
                            <a:fillRect/>
                          </a:stretch>
                        </pic:blipFill>
                        <pic:spPr>
                          <a:xfrm>
                            <a:off x="0" y="0"/>
                            <a:ext cx="1743075" cy="502285"/>
                          </a:xfrm>
                          <a:prstGeom prst="rect">
                            <a:avLst/>
                          </a:prstGeom>
                          <a:noFill/>
                          <a:ln>
                            <a:noFill/>
                          </a:ln>
                        </pic:spPr>
                      </pic:pic>
                    </a:graphicData>
                  </a:graphic>
                </wp:inline>
              </w:drawing>
            </w:r>
          </w:p>
          <w:p w14:paraId="7DE9D0CA">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Aatm=α×（r-ro ） × 10</w:t>
            </w:r>
            <w:r>
              <w:rPr>
                <w:rFonts w:ascii="Times New Roman" w:hAnsi="Times New Roman" w:eastAsia="宋体" w:cs="Times New Roman"/>
                <w:color w:val="auto"/>
                <w:kern w:val="2"/>
                <w:sz w:val="24"/>
                <w:szCs w:val="24"/>
                <w:vertAlign w:val="superscript"/>
                <w:lang w:val="zh-CN" w:eastAsia="zh-CN" w:bidi="ar-SA"/>
              </w:rPr>
              <w:t>-3</w:t>
            </w:r>
          </w:p>
          <w:p w14:paraId="61E361EC">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式中：</w:t>
            </w:r>
          </w:p>
          <w:p w14:paraId="63C50936">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Aatm—大气吸收引起的衰减，dB；</w:t>
            </w:r>
          </w:p>
          <w:p w14:paraId="7B43772C">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α—与温度、湿度和声波频率有关的大气吸收衰减系数，预测计算中一般根据建设项目所处区域常年平均气温和湿度选择相应的大气吸收衰减系数，本次取 2.8；</w:t>
            </w:r>
          </w:p>
          <w:p w14:paraId="48DCD7BB">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r——预测点距声源的距离；</w:t>
            </w:r>
          </w:p>
          <w:p w14:paraId="473E1CCF">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r0——参考位置距声源的距离。</w:t>
            </w:r>
          </w:p>
          <w:p w14:paraId="1FB6F2F2">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drawing>
                <wp:inline distT="0" distB="0" distL="114300" distR="114300">
                  <wp:extent cx="2332990" cy="313690"/>
                  <wp:effectExtent l="0" t="0" r="10160" b="10160"/>
                  <wp:docPr id="72" name="图片 14"/>
                  <wp:cNvGraphicFramePr/>
                  <a:graphic xmlns:a="http://schemas.openxmlformats.org/drawingml/2006/main">
                    <a:graphicData uri="http://schemas.openxmlformats.org/drawingml/2006/picture">
                      <pic:pic xmlns:pic="http://schemas.openxmlformats.org/drawingml/2006/picture">
                        <pic:nvPicPr>
                          <pic:cNvPr id="72" name="图片 14"/>
                          <pic:cNvPicPr/>
                        </pic:nvPicPr>
                        <pic:blipFill>
                          <a:blip r:embed="rId23"/>
                          <a:stretch>
                            <a:fillRect/>
                          </a:stretch>
                        </pic:blipFill>
                        <pic:spPr>
                          <a:xfrm>
                            <a:off x="0" y="0"/>
                            <a:ext cx="2332990" cy="313690"/>
                          </a:xfrm>
                          <a:prstGeom prst="rect">
                            <a:avLst/>
                          </a:prstGeom>
                          <a:noFill/>
                          <a:ln>
                            <a:noFill/>
                          </a:ln>
                        </pic:spPr>
                      </pic:pic>
                    </a:graphicData>
                  </a:graphic>
                </wp:inline>
              </w:drawing>
            </w:r>
          </w:p>
          <w:p w14:paraId="5DBA2478">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式中：</w:t>
            </w:r>
          </w:p>
          <w:p w14:paraId="30954437">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Lp(r)——预测点处声压级，dB；</w:t>
            </w:r>
          </w:p>
          <w:p w14:paraId="054DBAA6">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Lp(r0)——参考位置 r0 处的声压级，dB；</w:t>
            </w:r>
          </w:p>
          <w:p w14:paraId="501B75AD">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r——预测点距声源的距离；</w:t>
            </w:r>
          </w:p>
          <w:p w14:paraId="2D39F01E">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r0——参考位置距声源的距离。</w:t>
            </w:r>
          </w:p>
          <w:p w14:paraId="58DF11A6">
            <w:pPr>
              <w:pStyle w:val="54"/>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cs="Times New Roman"/>
                <w:b/>
                <w:bCs/>
                <w:color w:val="auto"/>
                <w:kern w:val="2"/>
                <w:sz w:val="24"/>
                <w:szCs w:val="24"/>
                <w:lang w:val="zh-CN" w:eastAsia="zh-CN" w:bidi="ar-SA"/>
              </w:rPr>
            </w:pPr>
            <w:r>
              <w:rPr>
                <w:rFonts w:hint="eastAsia" w:ascii="Times New Roman" w:hAnsi="Times New Roman" w:eastAsia="宋体" w:cs="Times New Roman"/>
                <w:b/>
                <w:bCs/>
                <w:color w:val="auto"/>
                <w:kern w:val="2"/>
                <w:sz w:val="24"/>
                <w:szCs w:val="24"/>
                <w:lang w:val="en-US" w:eastAsia="zh-CN" w:bidi="ar-SA"/>
              </w:rPr>
              <w:t>E.</w:t>
            </w:r>
            <w:r>
              <w:rPr>
                <w:rFonts w:ascii="Times New Roman" w:hAnsi="Times New Roman" w:eastAsia="宋体" w:cs="Times New Roman"/>
                <w:b/>
                <w:bCs/>
                <w:color w:val="auto"/>
                <w:kern w:val="2"/>
                <w:sz w:val="24"/>
                <w:szCs w:val="24"/>
                <w:lang w:val="zh-CN" w:eastAsia="zh-CN" w:bidi="ar-SA"/>
              </w:rPr>
              <w:t>预测点的等效声级贡献值</w:t>
            </w:r>
          </w:p>
          <w:p w14:paraId="475DB38E">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drawing>
                <wp:inline distT="0" distB="0" distL="114300" distR="114300">
                  <wp:extent cx="3475990" cy="838200"/>
                  <wp:effectExtent l="0" t="0" r="10160" b="0"/>
                  <wp:docPr id="71" name="图片 15"/>
                  <wp:cNvGraphicFramePr/>
                  <a:graphic xmlns:a="http://schemas.openxmlformats.org/drawingml/2006/main">
                    <a:graphicData uri="http://schemas.openxmlformats.org/drawingml/2006/picture">
                      <pic:pic xmlns:pic="http://schemas.openxmlformats.org/drawingml/2006/picture">
                        <pic:nvPicPr>
                          <pic:cNvPr id="71" name="图片 15"/>
                          <pic:cNvPicPr/>
                        </pic:nvPicPr>
                        <pic:blipFill>
                          <a:blip r:embed="rId24"/>
                          <a:stretch>
                            <a:fillRect/>
                          </a:stretch>
                        </pic:blipFill>
                        <pic:spPr>
                          <a:xfrm>
                            <a:off x="0" y="0"/>
                            <a:ext cx="3475990" cy="838200"/>
                          </a:xfrm>
                          <a:prstGeom prst="rect">
                            <a:avLst/>
                          </a:prstGeom>
                          <a:noFill/>
                          <a:ln>
                            <a:noFill/>
                          </a:ln>
                        </pic:spPr>
                      </pic:pic>
                    </a:graphicData>
                  </a:graphic>
                </wp:inline>
              </w:drawing>
            </w:r>
          </w:p>
          <w:p w14:paraId="63754F9C">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式中：</w:t>
            </w:r>
          </w:p>
          <w:p w14:paraId="5371D570">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Leqg—建设项目声源在预测点的等效声级贡献值，dB(A)；</w:t>
            </w:r>
          </w:p>
          <w:p w14:paraId="59209F51">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LAi—i 声源在预测点产生的 A 声级，dB(A)；</w:t>
            </w:r>
          </w:p>
          <w:p w14:paraId="7B854BD1">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it—i 声源在 T 时间段内的运行时间，S；</w:t>
            </w:r>
          </w:p>
          <w:p w14:paraId="2FE14542">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tj—在 T 时间内j 声源工作时间，s；</w:t>
            </w:r>
          </w:p>
          <w:p w14:paraId="6AA6A8E3">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ti—在 T 时间内 i 声源工作时间，s；</w:t>
            </w:r>
          </w:p>
          <w:p w14:paraId="35C20962">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T—用于计算等效声级的时间，s；</w:t>
            </w:r>
          </w:p>
          <w:p w14:paraId="24E4F9F2">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N—室外声源个数；</w:t>
            </w:r>
          </w:p>
          <w:p w14:paraId="1C937A7F">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M—等效室外声源个</w:t>
            </w:r>
          </w:p>
          <w:p w14:paraId="5E8FC6C9">
            <w:pPr>
              <w:pStyle w:val="54"/>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cs="Times New Roman"/>
                <w:b/>
                <w:bCs/>
                <w:color w:val="auto"/>
                <w:kern w:val="2"/>
                <w:sz w:val="24"/>
                <w:szCs w:val="24"/>
                <w:lang w:val="zh-CN" w:eastAsia="zh-CN" w:bidi="ar-SA"/>
              </w:rPr>
            </w:pPr>
            <w:r>
              <w:rPr>
                <w:rFonts w:hint="eastAsia" w:ascii="Times New Roman" w:hAnsi="Times New Roman" w:eastAsia="宋体" w:cs="Times New Roman"/>
                <w:b/>
                <w:bCs/>
                <w:color w:val="auto"/>
                <w:kern w:val="2"/>
                <w:sz w:val="24"/>
                <w:szCs w:val="24"/>
                <w:lang w:val="en-US" w:eastAsia="zh-CN" w:bidi="ar-SA"/>
              </w:rPr>
              <w:t>F.</w:t>
            </w:r>
            <w:r>
              <w:rPr>
                <w:rFonts w:ascii="Times New Roman" w:hAnsi="Times New Roman" w:eastAsia="宋体" w:cs="Times New Roman"/>
                <w:b/>
                <w:bCs/>
                <w:color w:val="auto"/>
                <w:kern w:val="2"/>
                <w:sz w:val="24"/>
                <w:szCs w:val="24"/>
                <w:lang w:val="zh-CN" w:eastAsia="zh-CN" w:bidi="ar-SA"/>
              </w:rPr>
              <w:t>噪声预测值</w:t>
            </w:r>
          </w:p>
          <w:p w14:paraId="1468F3F7">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drawing>
                <wp:inline distT="0" distB="0" distL="114300" distR="114300">
                  <wp:extent cx="2505075" cy="419100"/>
                  <wp:effectExtent l="0" t="0" r="9525" b="0"/>
                  <wp:docPr id="70" name="图片 16"/>
                  <wp:cNvGraphicFramePr/>
                  <a:graphic xmlns:a="http://schemas.openxmlformats.org/drawingml/2006/main">
                    <a:graphicData uri="http://schemas.openxmlformats.org/drawingml/2006/picture">
                      <pic:pic xmlns:pic="http://schemas.openxmlformats.org/drawingml/2006/picture">
                        <pic:nvPicPr>
                          <pic:cNvPr id="70" name="图片 16"/>
                          <pic:cNvPicPr/>
                        </pic:nvPicPr>
                        <pic:blipFill>
                          <a:blip r:embed="rId25"/>
                          <a:stretch>
                            <a:fillRect/>
                          </a:stretch>
                        </pic:blipFill>
                        <pic:spPr>
                          <a:xfrm>
                            <a:off x="0" y="0"/>
                            <a:ext cx="2505075" cy="419100"/>
                          </a:xfrm>
                          <a:prstGeom prst="rect">
                            <a:avLst/>
                          </a:prstGeom>
                          <a:noFill/>
                          <a:ln>
                            <a:noFill/>
                          </a:ln>
                        </pic:spPr>
                      </pic:pic>
                    </a:graphicData>
                  </a:graphic>
                </wp:inline>
              </w:drawing>
            </w:r>
          </w:p>
          <w:p w14:paraId="35D4A64D">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式中：</w:t>
            </w:r>
          </w:p>
          <w:p w14:paraId="4DCDE0D8">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Leq—预测点的噪声预测值，dB；</w:t>
            </w:r>
          </w:p>
          <w:p w14:paraId="1DA02FD7">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kern w:val="2"/>
                <w:sz w:val="24"/>
                <w:szCs w:val="24"/>
                <w:lang w:val="zh-CN" w:eastAsia="zh-CN" w:bidi="ar-SA"/>
              </w:rPr>
            </w:pPr>
            <w:r>
              <w:rPr>
                <w:rFonts w:ascii="Times New Roman" w:hAnsi="Times New Roman" w:eastAsia="宋体" w:cs="Times New Roman"/>
                <w:color w:val="auto"/>
                <w:kern w:val="2"/>
                <w:sz w:val="24"/>
                <w:szCs w:val="24"/>
                <w:lang w:val="zh-CN" w:eastAsia="zh-CN" w:bidi="ar-SA"/>
              </w:rPr>
              <w:t>Leqg—建设项目声源在预测点产生的噪声贡献值，dB；</w:t>
            </w:r>
          </w:p>
          <w:p w14:paraId="07843701">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ascii="Times New Roman" w:hAnsi="Times New Roman" w:eastAsia="宋体" w:cs="Times New Roman"/>
                <w:color w:val="auto"/>
                <w:kern w:val="2"/>
                <w:sz w:val="24"/>
                <w:szCs w:val="24"/>
                <w:lang w:val="zh-CN" w:eastAsia="zh-CN" w:bidi="ar-SA"/>
              </w:rPr>
              <w:t>Leqb—预测点的背景噪声值，dB。</w:t>
            </w:r>
          </w:p>
          <w:bookmarkEnd w:id="14"/>
          <w:bookmarkEnd w:id="15"/>
          <w:p w14:paraId="5B1F60FD">
            <w:pPr>
              <w:spacing w:line="360" w:lineRule="auto"/>
              <w:ind w:firstLine="480" w:firstLineChars="200"/>
              <w:rPr>
                <w:rFonts w:ascii="Times New Roman" w:hAnsi="Times New Roman" w:eastAsia="宋体" w:cs="Times New Roman"/>
                <w:color w:val="auto"/>
                <w:sz w:val="24"/>
                <w:szCs w:val="24"/>
              </w:rPr>
            </w:pPr>
            <w:bookmarkStart w:id="16" w:name="_Toc410033874"/>
            <w:bookmarkStart w:id="17" w:name="_Toc450603628"/>
            <w:bookmarkStart w:id="18" w:name="_Toc421915905"/>
            <w:bookmarkStart w:id="19" w:name="_Toc430953701"/>
            <w:bookmarkStart w:id="20" w:name="_Toc430201418"/>
            <w:bookmarkStart w:id="21" w:name="_Toc430953909"/>
            <w:r>
              <w:rPr>
                <w:rFonts w:hint="default" w:ascii="Times New Roman" w:hAnsi="Times New Roman" w:eastAsia="宋体" w:cs="Times New Roman"/>
                <w:color w:val="auto"/>
                <w:sz w:val="24"/>
                <w:szCs w:val="24"/>
                <w:lang w:val="en-US" w:eastAsia="zh-CN"/>
              </w:rPr>
              <w:t>③</w:t>
            </w:r>
            <w:r>
              <w:rPr>
                <w:rFonts w:hint="eastAsia" w:ascii="Times New Roman" w:hAnsi="Times New Roman" w:eastAsia="宋体" w:cs="Times New Roman"/>
                <w:color w:val="auto"/>
                <w:sz w:val="24"/>
                <w:szCs w:val="24"/>
                <w:lang w:val="en-US" w:eastAsia="zh-CN"/>
              </w:rPr>
              <w:t>厂界噪声</w:t>
            </w:r>
            <w:r>
              <w:rPr>
                <w:rFonts w:ascii="Times New Roman" w:hAnsi="Times New Roman" w:eastAsia="宋体" w:cs="Times New Roman"/>
                <w:color w:val="auto"/>
                <w:sz w:val="24"/>
                <w:szCs w:val="24"/>
              </w:rPr>
              <w:t>预测结果及影响分析</w:t>
            </w:r>
            <w:bookmarkEnd w:id="16"/>
            <w:bookmarkEnd w:id="17"/>
            <w:bookmarkEnd w:id="18"/>
            <w:bookmarkEnd w:id="19"/>
            <w:bookmarkEnd w:id="20"/>
            <w:bookmarkEnd w:id="21"/>
          </w:p>
          <w:p w14:paraId="0DD13408">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由于项目24小时</w:t>
            </w:r>
            <w:r>
              <w:rPr>
                <w:rFonts w:hint="eastAsia" w:ascii="Times New Roman" w:hAnsi="Times New Roman" w:eastAsia="宋体" w:cs="Times New Roman"/>
                <w:color w:val="auto"/>
                <w:sz w:val="24"/>
                <w:szCs w:val="24"/>
                <w:highlight w:val="none"/>
                <w:lang w:val="en-US" w:eastAsia="zh-CN"/>
              </w:rPr>
              <w:t>运行，</w:t>
            </w:r>
            <w:r>
              <w:rPr>
                <w:rFonts w:hint="eastAsia" w:ascii="Times New Roman" w:hAnsi="Times New Roman" w:eastAsia="宋体" w:cs="Times New Roman"/>
                <w:color w:val="auto"/>
                <w:sz w:val="24"/>
                <w:szCs w:val="24"/>
                <w:lang w:val="en-US" w:eastAsia="zh-CN"/>
              </w:rPr>
              <w:t>本次环评仅针对夜间生产情况进行预测，预测结果如下表：</w:t>
            </w:r>
          </w:p>
          <w:p w14:paraId="74635C9B">
            <w:pPr>
              <w:pageBreakBefore/>
              <w:adjustRightInd w:val="0"/>
              <w:snapToGrid w:val="0"/>
              <w:spacing w:line="360" w:lineRule="auto"/>
              <w:jc w:val="center"/>
              <w:rPr>
                <w:b/>
                <w:color w:val="auto"/>
                <w:sz w:val="24"/>
                <w:lang w:val="zh-CN"/>
              </w:rPr>
            </w:pPr>
            <w:r>
              <w:rPr>
                <w:b/>
                <w:color w:val="auto"/>
                <w:sz w:val="24"/>
                <w:lang w:val="zh-CN"/>
              </w:rPr>
              <w:t>表</w:t>
            </w:r>
            <w:r>
              <w:rPr>
                <w:b/>
                <w:color w:val="auto"/>
                <w:sz w:val="24"/>
              </w:rPr>
              <w:t>4-</w:t>
            </w:r>
            <w:r>
              <w:rPr>
                <w:rFonts w:hint="eastAsia"/>
                <w:b/>
                <w:color w:val="auto"/>
                <w:sz w:val="24"/>
              </w:rPr>
              <w:t xml:space="preserve">11  </w:t>
            </w:r>
            <w:r>
              <w:rPr>
                <w:b/>
                <w:color w:val="auto"/>
                <w:sz w:val="24"/>
                <w:lang w:val="zh-CN"/>
              </w:rPr>
              <w:t>项目噪声影响预测结果一览表</w:t>
            </w:r>
          </w:p>
          <w:p w14:paraId="5E76B7A8">
            <w:pPr>
              <w:pageBreakBefore/>
              <w:adjustRightInd w:val="0"/>
              <w:snapToGrid w:val="0"/>
              <w:spacing w:line="360" w:lineRule="auto"/>
              <w:jc w:val="center"/>
              <w:rPr>
                <w:b/>
                <w:color w:val="FF0000"/>
                <w:sz w:val="24"/>
                <w:lang w:val="zh-CN"/>
              </w:rPr>
            </w:pPr>
            <w:r>
              <w:drawing>
                <wp:inline distT="0" distB="0" distL="114300" distR="114300">
                  <wp:extent cx="8058150" cy="1989455"/>
                  <wp:effectExtent l="0" t="0" r="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8058150" cy="1989455"/>
                          </a:xfrm>
                          <a:prstGeom prst="rect">
                            <a:avLst/>
                          </a:prstGeom>
                          <a:noFill/>
                          <a:ln>
                            <a:noFill/>
                          </a:ln>
                        </pic:spPr>
                      </pic:pic>
                    </a:graphicData>
                  </a:graphic>
                </wp:inline>
              </w:drawing>
            </w:r>
          </w:p>
          <w:p w14:paraId="362CB26A">
            <w:pPr>
              <w:rPr>
                <w:rFonts w:hint="eastAsia"/>
                <w:color w:val="FF0000"/>
                <w:lang w:val="zh-CN"/>
              </w:rPr>
            </w:pPr>
          </w:p>
          <w:p w14:paraId="504B0E7C">
            <w:pPr>
              <w:rPr>
                <w:rFonts w:hint="eastAsia"/>
                <w:color w:val="FF0000"/>
                <w:lang w:val="zh-CN"/>
              </w:rPr>
            </w:pPr>
            <w:r>
              <w:drawing>
                <wp:inline distT="0" distB="0" distL="114300" distR="114300">
                  <wp:extent cx="8543290" cy="4061460"/>
                  <wp:effectExtent l="0" t="0" r="10160" b="1524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7"/>
                          <a:stretch>
                            <a:fillRect/>
                          </a:stretch>
                        </pic:blipFill>
                        <pic:spPr>
                          <a:xfrm>
                            <a:off x="0" y="0"/>
                            <a:ext cx="8543290" cy="4061460"/>
                          </a:xfrm>
                          <a:prstGeom prst="rect">
                            <a:avLst/>
                          </a:prstGeom>
                          <a:noFill/>
                          <a:ln>
                            <a:noFill/>
                          </a:ln>
                        </pic:spPr>
                      </pic:pic>
                    </a:graphicData>
                  </a:graphic>
                </wp:inline>
              </w:drawing>
            </w:r>
          </w:p>
          <w:p w14:paraId="3016F133">
            <w:pPr>
              <w:adjustRightInd w:val="0"/>
              <w:snapToGrid w:val="0"/>
              <w:spacing w:line="360" w:lineRule="auto"/>
              <w:ind w:firstLine="482" w:firstLineChars="200"/>
              <w:jc w:val="center"/>
              <w:rPr>
                <w:b/>
                <w:color w:val="auto"/>
                <w:sz w:val="24"/>
                <w:lang w:val="zh-CN"/>
              </w:rPr>
            </w:pPr>
            <w:r>
              <w:rPr>
                <w:rFonts w:hint="eastAsia"/>
                <w:b/>
                <w:bCs/>
                <w:color w:val="auto"/>
                <w:sz w:val="24"/>
              </w:rPr>
              <w:t xml:space="preserve">图4-1   </w:t>
            </w:r>
            <w:r>
              <w:rPr>
                <w:b/>
                <w:bCs/>
                <w:color w:val="auto"/>
                <w:sz w:val="24"/>
              </w:rPr>
              <w:t>项目噪声预测图</w:t>
            </w:r>
          </w:p>
          <w:p w14:paraId="729E68DF">
            <w:pPr>
              <w:tabs>
                <w:tab w:val="left" w:pos="0"/>
              </w:tabs>
              <w:spacing w:line="360" w:lineRule="auto"/>
              <w:ind w:firstLine="480" w:firstLineChars="200"/>
              <w:rPr>
                <w:rFonts w:hint="eastAsia" w:eastAsia="宋体"/>
                <w:lang w:eastAsia="zh-CN"/>
              </w:rPr>
            </w:pPr>
            <w:r>
              <w:rPr>
                <w:rFonts w:hint="eastAsia"/>
                <w:color w:val="auto"/>
                <w:sz w:val="24"/>
              </w:rPr>
              <w:t>根据预测分析，</w:t>
            </w:r>
            <w:r>
              <w:rPr>
                <w:color w:val="auto"/>
                <w:sz w:val="24"/>
              </w:rPr>
              <w:t>项目正常运行时，经过环评提出的以上降噪、减震</w:t>
            </w:r>
            <w:r>
              <w:rPr>
                <w:rFonts w:hint="eastAsia"/>
                <w:color w:val="auto"/>
                <w:sz w:val="24"/>
              </w:rPr>
              <w:t>、隔声距离衰减等</w:t>
            </w:r>
            <w:r>
              <w:rPr>
                <w:color w:val="auto"/>
                <w:sz w:val="24"/>
              </w:rPr>
              <w:t>措施后，</w:t>
            </w:r>
            <w:r>
              <w:rPr>
                <w:rFonts w:hint="eastAsia"/>
                <w:color w:val="auto"/>
                <w:sz w:val="24"/>
              </w:rPr>
              <w:t>项目</w:t>
            </w:r>
            <w:r>
              <w:rPr>
                <w:color w:val="auto"/>
                <w:sz w:val="24"/>
              </w:rPr>
              <w:t>厂区东、南、西</w:t>
            </w:r>
            <w:r>
              <w:rPr>
                <w:rFonts w:hint="eastAsia"/>
                <w:color w:val="auto"/>
                <w:sz w:val="24"/>
              </w:rPr>
              <w:t>、北</w:t>
            </w:r>
            <w:r>
              <w:rPr>
                <w:color w:val="auto"/>
                <w:sz w:val="24"/>
              </w:rPr>
              <w:t>厂界</w:t>
            </w:r>
            <w:r>
              <w:rPr>
                <w:rFonts w:hint="eastAsia"/>
                <w:color w:val="auto"/>
                <w:sz w:val="24"/>
              </w:rPr>
              <w:t>夜间</w:t>
            </w:r>
            <w:r>
              <w:rPr>
                <w:color w:val="auto"/>
                <w:sz w:val="24"/>
              </w:rPr>
              <w:t>噪声均能满足《工业企业厂界环境噪声排放标准》（GB12348-2008）中</w:t>
            </w:r>
            <w:r>
              <w:rPr>
                <w:rFonts w:hint="eastAsia"/>
                <w:color w:val="auto"/>
                <w:sz w:val="24"/>
                <w:lang w:val="en-US" w:eastAsia="zh-CN"/>
              </w:rPr>
              <w:t>2</w:t>
            </w:r>
            <w:r>
              <w:rPr>
                <w:rFonts w:hint="eastAsia"/>
                <w:color w:val="auto"/>
                <w:sz w:val="24"/>
              </w:rPr>
              <w:t>类</w:t>
            </w:r>
            <w:r>
              <w:rPr>
                <w:color w:val="auto"/>
                <w:sz w:val="24"/>
              </w:rPr>
              <w:t>标准的要求</w:t>
            </w:r>
            <w:r>
              <w:rPr>
                <w:rFonts w:hint="eastAsia"/>
                <w:color w:val="auto"/>
                <w:sz w:val="24"/>
                <w:lang w:eastAsia="zh-CN"/>
              </w:rPr>
              <w:t>。</w:t>
            </w:r>
          </w:p>
        </w:tc>
      </w:tr>
    </w:tbl>
    <w:p w14:paraId="03C16ADB">
      <w:pPr>
        <w:rPr>
          <w:rFonts w:hint="eastAsia" w:ascii="黑体" w:hAnsi="黑体" w:eastAsia="黑体"/>
          <w:snapToGrid w:val="0"/>
          <w:sz w:val="30"/>
          <w:szCs w:val="30"/>
        </w:rPr>
        <w:sectPr>
          <w:pgSz w:w="16838" w:h="11906" w:orient="landscape"/>
          <w:pgMar w:top="1800" w:right="1440" w:bottom="1800" w:left="1440" w:header="851" w:footer="992" w:gutter="0"/>
          <w:pgNumType w:fmt="decimal"/>
          <w:cols w:space="425" w:num="1"/>
          <w:docGrid w:type="lines" w:linePitch="312" w:charSpace="0"/>
        </w:sectPr>
      </w:pPr>
      <w:r>
        <w:rPr>
          <w:rFonts w:hint="eastAsia" w:ascii="黑体" w:hAnsi="黑体" w:eastAsia="黑体"/>
          <w:snapToGrid w:val="0"/>
          <w:sz w:val="30"/>
          <w:szCs w:val="30"/>
        </w:rPr>
        <w:br w:type="page"/>
      </w:r>
    </w:p>
    <w:tbl>
      <w:tblPr>
        <w:tblStyle w:val="23"/>
        <w:tblW w:w="8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8225"/>
      </w:tblGrid>
      <w:tr w14:paraId="61471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6" w:hRule="atLeast"/>
        </w:trPr>
        <w:tc>
          <w:tcPr>
            <w:tcW w:w="434" w:type="dxa"/>
            <w:noWrap w:val="0"/>
            <w:vAlign w:val="center"/>
          </w:tcPr>
          <w:p w14:paraId="10131FE7">
            <w:pPr>
              <w:adjustRightInd w:val="0"/>
              <w:snapToGrid w:val="0"/>
              <w:jc w:val="center"/>
              <w:rPr>
                <w:rFonts w:hint="eastAsia" w:ascii="宋体" w:hAnsi="宋体" w:cs="宋体"/>
                <w:b/>
                <w:sz w:val="24"/>
              </w:rPr>
            </w:pPr>
            <w:r>
              <w:rPr>
                <w:rFonts w:hint="eastAsia" w:ascii="宋体" w:hAnsi="宋体" w:cs="宋体"/>
                <w:b/>
                <w:sz w:val="24"/>
              </w:rPr>
              <w:t>运营</w:t>
            </w:r>
          </w:p>
          <w:p w14:paraId="316B81F6">
            <w:pPr>
              <w:adjustRightInd w:val="0"/>
              <w:snapToGrid w:val="0"/>
              <w:jc w:val="center"/>
              <w:rPr>
                <w:rFonts w:hint="eastAsia" w:ascii="宋体" w:hAnsi="宋体" w:cs="宋体"/>
                <w:b/>
                <w:sz w:val="24"/>
              </w:rPr>
            </w:pPr>
            <w:r>
              <w:rPr>
                <w:rFonts w:hint="eastAsia" w:ascii="宋体" w:hAnsi="宋体" w:cs="宋体"/>
                <w:b/>
                <w:sz w:val="24"/>
              </w:rPr>
              <w:t>期环</w:t>
            </w:r>
          </w:p>
          <w:p w14:paraId="5C6D8535">
            <w:pPr>
              <w:adjustRightInd w:val="0"/>
              <w:snapToGrid w:val="0"/>
              <w:jc w:val="center"/>
              <w:rPr>
                <w:rFonts w:hint="eastAsia" w:ascii="宋体" w:hAnsi="宋体" w:cs="宋体"/>
                <w:b/>
                <w:sz w:val="24"/>
              </w:rPr>
            </w:pPr>
            <w:r>
              <w:rPr>
                <w:rFonts w:hint="eastAsia" w:ascii="宋体" w:hAnsi="宋体" w:cs="宋体"/>
                <w:b/>
                <w:sz w:val="24"/>
              </w:rPr>
              <w:t>境影</w:t>
            </w:r>
          </w:p>
          <w:p w14:paraId="283892B2">
            <w:pPr>
              <w:adjustRightInd w:val="0"/>
              <w:snapToGrid w:val="0"/>
              <w:jc w:val="center"/>
              <w:rPr>
                <w:rFonts w:hint="eastAsia" w:ascii="宋体" w:hAnsi="宋体" w:cs="宋体"/>
                <w:b/>
                <w:sz w:val="24"/>
              </w:rPr>
            </w:pPr>
            <w:r>
              <w:rPr>
                <w:rFonts w:hint="eastAsia" w:ascii="宋体" w:hAnsi="宋体" w:cs="宋体"/>
                <w:b/>
                <w:sz w:val="24"/>
              </w:rPr>
              <w:t>响和</w:t>
            </w:r>
          </w:p>
          <w:p w14:paraId="0D5367E9">
            <w:pPr>
              <w:adjustRightInd w:val="0"/>
              <w:snapToGrid w:val="0"/>
              <w:jc w:val="center"/>
              <w:rPr>
                <w:rFonts w:hint="eastAsia" w:ascii="宋体" w:hAnsi="宋体" w:cs="宋体"/>
                <w:b/>
                <w:sz w:val="24"/>
              </w:rPr>
            </w:pPr>
            <w:r>
              <w:rPr>
                <w:rFonts w:hint="eastAsia" w:ascii="宋体" w:hAnsi="宋体" w:cs="宋体"/>
                <w:b/>
                <w:sz w:val="24"/>
              </w:rPr>
              <w:t>保护</w:t>
            </w:r>
          </w:p>
          <w:p w14:paraId="6D1054A7">
            <w:pPr>
              <w:pStyle w:val="12"/>
              <w:jc w:val="center"/>
              <w:rPr>
                <w:rFonts w:hint="eastAsia"/>
              </w:rPr>
            </w:pPr>
            <w:r>
              <w:rPr>
                <w:rFonts w:hint="eastAsia" w:hAnsi="宋体" w:cs="宋体"/>
                <w:b/>
                <w:sz w:val="24"/>
                <w:szCs w:val="24"/>
              </w:rPr>
              <w:t>措施</w:t>
            </w:r>
          </w:p>
        </w:tc>
        <w:tc>
          <w:tcPr>
            <w:tcW w:w="8225" w:type="dxa"/>
            <w:noWrap w:val="0"/>
            <w:vAlign w:val="top"/>
          </w:tcPr>
          <w:p w14:paraId="574ACC28">
            <w:pPr>
              <w:tabs>
                <w:tab w:val="left" w:pos="0"/>
              </w:tabs>
              <w:spacing w:line="360" w:lineRule="auto"/>
              <w:ind w:firstLine="480" w:firstLineChars="200"/>
              <w:rPr>
                <w:sz w:val="24"/>
                <w:highlight w:val="red"/>
              </w:rPr>
            </w:pPr>
            <w:r>
              <w:rPr>
                <w:rFonts w:hint="eastAsia"/>
                <w:sz w:val="24"/>
              </w:rPr>
              <w:t>昼间</w:t>
            </w:r>
            <w:r>
              <w:rPr>
                <w:sz w:val="24"/>
              </w:rPr>
              <w:t>项目在生产运营时，需要车辆运输生产原料及产品等，其进出厂区时会产生交通噪声，该部分噪声具有突发性和间歇性的特点，声源噪声约为65～75dB（A）；项目</w:t>
            </w:r>
            <w:r>
              <w:rPr>
                <w:rFonts w:hint="eastAsia"/>
                <w:sz w:val="24"/>
              </w:rPr>
              <w:t>昼间</w:t>
            </w:r>
            <w:r>
              <w:rPr>
                <w:sz w:val="24"/>
              </w:rPr>
              <w:t>厂界噪声源强贡献值经过叠加运输车辆噪声后，各点噪声贡献值</w:t>
            </w:r>
            <w:r>
              <w:rPr>
                <w:rFonts w:hint="eastAsia"/>
                <w:sz w:val="24"/>
              </w:rPr>
              <w:t>有所增加</w:t>
            </w:r>
            <w:r>
              <w:rPr>
                <w:sz w:val="24"/>
              </w:rPr>
              <w:t>，评价要求</w:t>
            </w:r>
            <w:r>
              <w:rPr>
                <w:rFonts w:hint="eastAsia"/>
                <w:sz w:val="24"/>
              </w:rPr>
              <w:t>禁止夜间进行运输作业；昼间</w:t>
            </w:r>
            <w:r>
              <w:rPr>
                <w:sz w:val="24"/>
              </w:rPr>
              <w:t>运输车辆行驶必须限速、禁止鸣笛、控制载重量，加强管理制度，规范运输方式，将交通噪声降到最低限度。</w:t>
            </w:r>
          </w:p>
          <w:p w14:paraId="0327E602">
            <w:pPr>
              <w:adjustRightInd w:val="0"/>
              <w:snapToGrid w:val="0"/>
              <w:spacing w:line="360" w:lineRule="auto"/>
              <w:ind w:firstLine="480" w:firstLineChars="200"/>
              <w:rPr>
                <w:kern w:val="0"/>
                <w:sz w:val="24"/>
              </w:rPr>
            </w:pPr>
            <w:r>
              <w:rPr>
                <w:rFonts w:hint="eastAsia"/>
                <w:sz w:val="24"/>
                <w:lang w:val="en-GB" w:eastAsia="zh-TW"/>
              </w:rPr>
              <w:t>综上，</w:t>
            </w:r>
            <w:r>
              <w:rPr>
                <w:rFonts w:hint="eastAsia"/>
                <w:sz w:val="24"/>
              </w:rPr>
              <w:t>项目运营期</w:t>
            </w:r>
            <w:r>
              <w:rPr>
                <w:rFonts w:hint="eastAsia"/>
                <w:sz w:val="24"/>
                <w:lang w:val="en-GB"/>
              </w:rPr>
              <w:t>设备</w:t>
            </w:r>
            <w:r>
              <w:rPr>
                <w:sz w:val="24"/>
                <w:lang w:val="en-GB" w:eastAsia="zh-TW"/>
              </w:rPr>
              <w:t>在正常</w:t>
            </w:r>
            <w:r>
              <w:rPr>
                <w:rFonts w:hint="eastAsia"/>
                <w:sz w:val="24"/>
                <w:lang w:val="en-GB" w:eastAsia="zh-TW"/>
              </w:rPr>
              <w:t>运营</w:t>
            </w:r>
            <w:r>
              <w:rPr>
                <w:sz w:val="24"/>
                <w:lang w:val="en-GB" w:eastAsia="zh-TW"/>
              </w:rPr>
              <w:t>情况下，经</w:t>
            </w:r>
            <w:r>
              <w:rPr>
                <w:rFonts w:hint="eastAsia"/>
                <w:sz w:val="24"/>
              </w:rPr>
              <w:t>环评提出的各项措施后噪声对周边环境影响不大；环评建议，必须加强对生产设备的维护和保养，保证其正常运行</w:t>
            </w:r>
            <w:r>
              <w:rPr>
                <w:rFonts w:hint="eastAsia"/>
                <w:sz w:val="24"/>
                <w:lang w:eastAsia="zh-CN"/>
              </w:rPr>
              <w:t>。</w:t>
            </w:r>
            <w:r>
              <w:rPr>
                <w:color w:val="000000"/>
                <w:sz w:val="24"/>
              </w:rPr>
              <w:t>总的来说项目运营期噪声</w:t>
            </w:r>
            <w:r>
              <w:rPr>
                <w:color w:val="000000"/>
                <w:sz w:val="24"/>
                <w:lang w:val="en-GB"/>
              </w:rPr>
              <w:t>对周围环境影响不大，项目</w:t>
            </w:r>
            <w:r>
              <w:rPr>
                <w:rFonts w:hint="eastAsia"/>
                <w:color w:val="000000"/>
                <w:sz w:val="24"/>
                <w:lang w:val="en-GB" w:eastAsia="zh-CN"/>
              </w:rPr>
              <w:t>对</w:t>
            </w:r>
            <w:r>
              <w:rPr>
                <w:color w:val="000000"/>
                <w:sz w:val="24"/>
                <w:lang w:val="en-GB"/>
              </w:rPr>
              <w:t>周边声环境现状</w:t>
            </w:r>
            <w:r>
              <w:rPr>
                <w:rFonts w:hint="eastAsia"/>
                <w:color w:val="000000"/>
                <w:sz w:val="24"/>
                <w:lang w:val="en-GB" w:eastAsia="zh-CN"/>
              </w:rPr>
              <w:t>影响较小</w:t>
            </w:r>
            <w:r>
              <w:rPr>
                <w:color w:val="000000"/>
                <w:sz w:val="24"/>
                <w:lang w:val="en-GB"/>
              </w:rPr>
              <w:t>。</w:t>
            </w:r>
          </w:p>
          <w:p w14:paraId="198B333B">
            <w:pPr>
              <w:spacing w:line="360" w:lineRule="auto"/>
              <w:rPr>
                <w:b/>
                <w:bCs/>
                <w:sz w:val="24"/>
              </w:rPr>
            </w:pPr>
            <w:r>
              <w:rPr>
                <w:b/>
                <w:bCs/>
                <w:sz w:val="24"/>
              </w:rPr>
              <w:t>4、固体废物环境影响分析</w:t>
            </w:r>
          </w:p>
          <w:p w14:paraId="14599B57">
            <w:pPr>
              <w:pStyle w:val="22"/>
              <w:spacing w:after="0" w:line="360" w:lineRule="auto"/>
              <w:ind w:left="0" w:leftChars="0"/>
              <w:rPr>
                <w:b/>
                <w:bCs/>
                <w:spacing w:val="-10"/>
                <w:sz w:val="24"/>
              </w:rPr>
            </w:pPr>
            <w:r>
              <w:rPr>
                <w:b/>
                <w:bCs/>
                <w:spacing w:val="-10"/>
                <w:sz w:val="24"/>
              </w:rPr>
              <w:t>（1）</w:t>
            </w:r>
            <w:r>
              <w:rPr>
                <w:rFonts w:hint="eastAsia"/>
                <w:b/>
                <w:bCs/>
                <w:spacing w:val="-10"/>
                <w:sz w:val="24"/>
              </w:rPr>
              <w:t>固体废物</w:t>
            </w:r>
            <w:r>
              <w:rPr>
                <w:b/>
                <w:bCs/>
                <w:spacing w:val="-10"/>
                <w:sz w:val="24"/>
              </w:rPr>
              <w:t>产</w:t>
            </w:r>
            <w:r>
              <w:rPr>
                <w:rFonts w:hint="eastAsia"/>
                <w:b/>
                <w:bCs/>
                <w:spacing w:val="-10"/>
                <w:sz w:val="24"/>
              </w:rPr>
              <w:t>生</w:t>
            </w:r>
            <w:r>
              <w:rPr>
                <w:b/>
                <w:bCs/>
                <w:spacing w:val="-10"/>
                <w:sz w:val="24"/>
              </w:rPr>
              <w:t>情况</w:t>
            </w:r>
          </w:p>
          <w:p w14:paraId="6A382ED8">
            <w:pPr>
              <w:adjustRightInd w:val="0"/>
              <w:snapToGrid w:val="0"/>
              <w:spacing w:line="360" w:lineRule="auto"/>
              <w:ind w:firstLine="480" w:firstLineChars="200"/>
              <w:rPr>
                <w:sz w:val="24"/>
              </w:rPr>
            </w:pPr>
            <w:r>
              <w:rPr>
                <w:rFonts w:hint="eastAsia"/>
                <w:sz w:val="24"/>
                <w:szCs w:val="30"/>
              </w:rPr>
              <w:t>本项目产生的固体废弃物主要来自生产和办公生活过程；</w:t>
            </w:r>
            <w:r>
              <w:rPr>
                <w:rFonts w:hint="eastAsia" w:ascii="宋体" w:hAnsi="宋体" w:cs="宋体"/>
                <w:sz w:val="24"/>
              </w:rPr>
              <w:t>主要为筛分固废、</w:t>
            </w:r>
            <w:r>
              <w:rPr>
                <w:rFonts w:hint="eastAsia" w:ascii="宋体" w:hAnsi="宋体" w:cs="宋体"/>
                <w:sz w:val="24"/>
                <w:lang w:val="en-US" w:eastAsia="zh-CN"/>
              </w:rPr>
              <w:t>布袋收集粉尘、</w:t>
            </w:r>
            <w:r>
              <w:rPr>
                <w:rFonts w:hint="eastAsia" w:ascii="宋体" w:hAnsi="宋体" w:cs="宋体"/>
                <w:sz w:val="24"/>
              </w:rPr>
              <w:t>不合格产品、炉渣、生活垃圾、</w:t>
            </w:r>
            <w:r>
              <w:rPr>
                <w:rFonts w:hint="eastAsia" w:hAnsi="宋体"/>
                <w:sz w:val="24"/>
              </w:rPr>
              <w:t>废机油及废抹布</w:t>
            </w:r>
            <w:r>
              <w:rPr>
                <w:rFonts w:hint="eastAsia" w:ascii="宋体" w:hAnsi="宋体" w:cs="宋体"/>
                <w:sz w:val="24"/>
              </w:rPr>
              <w:t>等</w:t>
            </w:r>
            <w:r>
              <w:rPr>
                <w:rFonts w:hint="eastAsia"/>
                <w:sz w:val="24"/>
              </w:rPr>
              <w:t>；</w:t>
            </w:r>
            <w:r>
              <w:rPr>
                <w:bCs/>
                <w:sz w:val="24"/>
              </w:rPr>
              <w:t>项目固体废物产生和排放情况见</w:t>
            </w:r>
            <w:r>
              <w:rPr>
                <w:sz w:val="24"/>
              </w:rPr>
              <w:t>表4-</w:t>
            </w:r>
            <w:r>
              <w:rPr>
                <w:rFonts w:hint="eastAsia"/>
                <w:sz w:val="24"/>
              </w:rPr>
              <w:t>12</w:t>
            </w:r>
            <w:r>
              <w:rPr>
                <w:sz w:val="24"/>
              </w:rPr>
              <w:t>。</w:t>
            </w:r>
          </w:p>
          <w:p w14:paraId="045B30FC">
            <w:pPr>
              <w:adjustRightInd w:val="0"/>
              <w:snapToGrid w:val="0"/>
              <w:spacing w:line="360" w:lineRule="auto"/>
              <w:ind w:firstLine="482" w:firstLineChars="200"/>
              <w:jc w:val="center"/>
              <w:rPr>
                <w:sz w:val="24"/>
              </w:rPr>
            </w:pPr>
            <w:r>
              <w:rPr>
                <w:b/>
                <w:sz w:val="24"/>
              </w:rPr>
              <w:t>表</w:t>
            </w:r>
            <w:r>
              <w:rPr>
                <w:rFonts w:hint="eastAsia"/>
                <w:b/>
                <w:sz w:val="24"/>
              </w:rPr>
              <w:t>4-12</w:t>
            </w:r>
            <w:r>
              <w:rPr>
                <w:b/>
                <w:sz w:val="24"/>
              </w:rPr>
              <w:t xml:space="preserve"> 项目固废产生量情况一览表</w:t>
            </w:r>
          </w:p>
          <w:tbl>
            <w:tblPr>
              <w:tblStyle w:val="23"/>
              <w:tblpPr w:leftFromText="180" w:rightFromText="180" w:vertAnchor="text" w:horzAnchor="page" w:tblpX="63" w:tblpY="294"/>
              <w:tblOverlap w:val="never"/>
              <w:tblW w:w="80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960"/>
              <w:gridCol w:w="947"/>
              <w:gridCol w:w="692"/>
              <w:gridCol w:w="906"/>
              <w:gridCol w:w="2364"/>
              <w:gridCol w:w="1706"/>
            </w:tblGrid>
            <w:tr w14:paraId="7888B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501" w:type="dxa"/>
                  <w:noWrap w:val="0"/>
                  <w:vAlign w:val="center"/>
                </w:tcPr>
                <w:p w14:paraId="6D16CDA2">
                  <w:pPr>
                    <w:autoSpaceDE w:val="0"/>
                    <w:autoSpaceDN w:val="0"/>
                    <w:jc w:val="center"/>
                    <w:rPr>
                      <w:rFonts w:hint="eastAsia"/>
                      <w:b/>
                      <w:color w:val="auto"/>
                    </w:rPr>
                  </w:pPr>
                  <w:r>
                    <w:rPr>
                      <w:rFonts w:hint="eastAsia"/>
                      <w:b/>
                      <w:color w:val="auto"/>
                    </w:rPr>
                    <w:t>属性</w:t>
                  </w:r>
                </w:p>
              </w:tc>
              <w:tc>
                <w:tcPr>
                  <w:tcW w:w="960" w:type="dxa"/>
                  <w:noWrap w:val="0"/>
                  <w:vAlign w:val="center"/>
                </w:tcPr>
                <w:p w14:paraId="25F93637">
                  <w:pPr>
                    <w:autoSpaceDE w:val="0"/>
                    <w:autoSpaceDN w:val="0"/>
                    <w:jc w:val="center"/>
                    <w:rPr>
                      <w:b/>
                      <w:color w:val="auto"/>
                    </w:rPr>
                  </w:pPr>
                  <w:r>
                    <w:rPr>
                      <w:b/>
                      <w:color w:val="auto"/>
                    </w:rPr>
                    <w:t>名称</w:t>
                  </w:r>
                </w:p>
              </w:tc>
              <w:tc>
                <w:tcPr>
                  <w:tcW w:w="947" w:type="dxa"/>
                  <w:noWrap w:val="0"/>
                  <w:vAlign w:val="center"/>
                </w:tcPr>
                <w:p w14:paraId="3D160595">
                  <w:pPr>
                    <w:autoSpaceDE w:val="0"/>
                    <w:autoSpaceDN w:val="0"/>
                    <w:jc w:val="center"/>
                    <w:rPr>
                      <w:rFonts w:hint="eastAsia"/>
                      <w:b/>
                      <w:color w:val="auto"/>
                    </w:rPr>
                  </w:pPr>
                  <w:r>
                    <w:rPr>
                      <w:rFonts w:hint="eastAsia"/>
                      <w:b/>
                      <w:color w:val="auto"/>
                    </w:rPr>
                    <w:t>产生环节</w:t>
                  </w:r>
                </w:p>
              </w:tc>
              <w:tc>
                <w:tcPr>
                  <w:tcW w:w="692" w:type="dxa"/>
                  <w:noWrap w:val="0"/>
                  <w:vAlign w:val="center"/>
                </w:tcPr>
                <w:p w14:paraId="278D82D7">
                  <w:pPr>
                    <w:autoSpaceDE w:val="0"/>
                    <w:autoSpaceDN w:val="0"/>
                    <w:ind w:left="-50" w:leftChars="-24"/>
                    <w:jc w:val="center"/>
                    <w:rPr>
                      <w:b/>
                      <w:color w:val="auto"/>
                    </w:rPr>
                  </w:pPr>
                  <w:r>
                    <w:rPr>
                      <w:rFonts w:hint="eastAsia"/>
                      <w:b/>
                      <w:color w:val="auto"/>
                    </w:rPr>
                    <w:t>物理性状</w:t>
                  </w:r>
                </w:p>
              </w:tc>
              <w:tc>
                <w:tcPr>
                  <w:tcW w:w="906" w:type="dxa"/>
                  <w:noWrap w:val="0"/>
                  <w:vAlign w:val="center"/>
                </w:tcPr>
                <w:p w14:paraId="1BFCC47D">
                  <w:pPr>
                    <w:autoSpaceDE w:val="0"/>
                    <w:autoSpaceDN w:val="0"/>
                    <w:jc w:val="center"/>
                    <w:rPr>
                      <w:b/>
                      <w:color w:val="auto"/>
                    </w:rPr>
                  </w:pPr>
                  <w:r>
                    <w:rPr>
                      <w:b/>
                      <w:color w:val="auto"/>
                    </w:rPr>
                    <w:t>年产生总量（t/a）</w:t>
                  </w:r>
                </w:p>
              </w:tc>
              <w:tc>
                <w:tcPr>
                  <w:tcW w:w="2364" w:type="dxa"/>
                  <w:noWrap w:val="0"/>
                  <w:vAlign w:val="center"/>
                </w:tcPr>
                <w:p w14:paraId="61E622AD">
                  <w:pPr>
                    <w:autoSpaceDE w:val="0"/>
                    <w:autoSpaceDN w:val="0"/>
                    <w:jc w:val="center"/>
                    <w:rPr>
                      <w:b/>
                      <w:color w:val="auto"/>
                    </w:rPr>
                  </w:pPr>
                  <w:r>
                    <w:rPr>
                      <w:rFonts w:hint="eastAsia"/>
                      <w:b/>
                      <w:color w:val="auto"/>
                    </w:rPr>
                    <w:t>处置利用方式</w:t>
                  </w:r>
                </w:p>
              </w:tc>
              <w:tc>
                <w:tcPr>
                  <w:tcW w:w="1706" w:type="dxa"/>
                  <w:noWrap w:val="0"/>
                  <w:vAlign w:val="center"/>
                </w:tcPr>
                <w:p w14:paraId="45DF36A6">
                  <w:pPr>
                    <w:autoSpaceDE w:val="0"/>
                    <w:autoSpaceDN w:val="0"/>
                    <w:rPr>
                      <w:b/>
                      <w:color w:val="auto"/>
                    </w:rPr>
                  </w:pPr>
                  <w:r>
                    <w:rPr>
                      <w:rFonts w:hint="eastAsia"/>
                      <w:b/>
                      <w:color w:val="auto"/>
                    </w:rPr>
                    <w:t>固体废物分类与代码目录</w:t>
                  </w:r>
                  <w:r>
                    <w:rPr>
                      <w:rFonts w:hint="eastAsia"/>
                      <w:b/>
                      <w:color w:val="auto"/>
                      <w:lang w:eastAsia="zh-CN"/>
                    </w:rPr>
                    <w:t>（</w:t>
                  </w:r>
                  <w:r>
                    <w:rPr>
                      <w:rFonts w:hint="eastAsia"/>
                      <w:b/>
                      <w:color w:val="auto"/>
                    </w:rPr>
                    <w:t>公告2024年第4号)</w:t>
                  </w:r>
                </w:p>
              </w:tc>
            </w:tr>
            <w:tr w14:paraId="3DCE0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501" w:type="dxa"/>
                  <w:vMerge w:val="restart"/>
                  <w:noWrap w:val="0"/>
                  <w:vAlign w:val="center"/>
                </w:tcPr>
                <w:p w14:paraId="38A22129">
                  <w:pPr>
                    <w:autoSpaceDE w:val="0"/>
                    <w:autoSpaceDN w:val="0"/>
                    <w:jc w:val="center"/>
                    <w:rPr>
                      <w:rFonts w:hint="eastAsia"/>
                      <w:color w:val="auto"/>
                    </w:rPr>
                  </w:pPr>
                  <w:bookmarkStart w:id="22" w:name="_Hlk465953993"/>
                  <w:r>
                    <w:rPr>
                      <w:rFonts w:hint="eastAsia"/>
                      <w:color w:val="auto"/>
                    </w:rPr>
                    <w:t>一般固废</w:t>
                  </w:r>
                </w:p>
              </w:tc>
              <w:tc>
                <w:tcPr>
                  <w:tcW w:w="960" w:type="dxa"/>
                  <w:noWrap w:val="0"/>
                  <w:vAlign w:val="center"/>
                </w:tcPr>
                <w:p w14:paraId="0F76336B">
                  <w:pPr>
                    <w:autoSpaceDE w:val="0"/>
                    <w:autoSpaceDN w:val="0"/>
                    <w:jc w:val="center"/>
                    <w:rPr>
                      <w:color w:val="auto"/>
                    </w:rPr>
                  </w:pPr>
                  <w:r>
                    <w:rPr>
                      <w:rFonts w:hint="eastAsia"/>
                      <w:color w:val="auto"/>
                    </w:rPr>
                    <w:t>筛分固废</w:t>
                  </w:r>
                </w:p>
              </w:tc>
              <w:tc>
                <w:tcPr>
                  <w:tcW w:w="947" w:type="dxa"/>
                  <w:noWrap w:val="0"/>
                  <w:vAlign w:val="center"/>
                </w:tcPr>
                <w:p w14:paraId="442E95DE">
                  <w:pPr>
                    <w:autoSpaceDE w:val="0"/>
                    <w:autoSpaceDN w:val="0"/>
                    <w:jc w:val="center"/>
                    <w:rPr>
                      <w:color w:val="auto"/>
                    </w:rPr>
                  </w:pPr>
                  <w:r>
                    <w:rPr>
                      <w:rFonts w:hint="eastAsia"/>
                      <w:color w:val="auto"/>
                    </w:rPr>
                    <w:t>滚筒筛</w:t>
                  </w:r>
                </w:p>
              </w:tc>
              <w:tc>
                <w:tcPr>
                  <w:tcW w:w="692" w:type="dxa"/>
                  <w:noWrap w:val="0"/>
                  <w:vAlign w:val="center"/>
                </w:tcPr>
                <w:p w14:paraId="48B40A99">
                  <w:pPr>
                    <w:autoSpaceDE w:val="0"/>
                    <w:autoSpaceDN w:val="0"/>
                    <w:ind w:left="-50" w:leftChars="-24"/>
                    <w:jc w:val="center"/>
                    <w:rPr>
                      <w:color w:val="auto"/>
                    </w:rPr>
                  </w:pPr>
                  <w:r>
                    <w:rPr>
                      <w:rFonts w:hint="eastAsia"/>
                      <w:color w:val="auto"/>
                    </w:rPr>
                    <w:t>固态</w:t>
                  </w:r>
                </w:p>
              </w:tc>
              <w:tc>
                <w:tcPr>
                  <w:tcW w:w="906" w:type="dxa"/>
                  <w:noWrap w:val="0"/>
                  <w:vAlign w:val="center"/>
                </w:tcPr>
                <w:p w14:paraId="620BD740">
                  <w:pPr>
                    <w:autoSpaceDE w:val="0"/>
                    <w:autoSpaceDN w:val="0"/>
                    <w:jc w:val="center"/>
                    <w:rPr>
                      <w:color w:val="auto"/>
                    </w:rPr>
                  </w:pPr>
                  <w:r>
                    <w:rPr>
                      <w:rFonts w:hint="eastAsia"/>
                      <w:color w:val="auto"/>
                    </w:rPr>
                    <w:t>90</w:t>
                  </w:r>
                </w:p>
              </w:tc>
              <w:tc>
                <w:tcPr>
                  <w:tcW w:w="2364" w:type="dxa"/>
                  <w:noWrap w:val="0"/>
                  <w:vAlign w:val="center"/>
                </w:tcPr>
                <w:p w14:paraId="60B6CF8F">
                  <w:pPr>
                    <w:autoSpaceDE w:val="0"/>
                    <w:autoSpaceDN w:val="0"/>
                    <w:jc w:val="center"/>
                    <w:rPr>
                      <w:color w:val="auto"/>
                    </w:rPr>
                  </w:pPr>
                  <w:r>
                    <w:rPr>
                      <w:rFonts w:hint="eastAsia"/>
                      <w:color w:val="auto"/>
                    </w:rPr>
                    <w:t>统一收集部分作为燃料利用</w:t>
                  </w:r>
                </w:p>
              </w:tc>
              <w:tc>
                <w:tcPr>
                  <w:tcW w:w="1706" w:type="dxa"/>
                  <w:noWrap w:val="0"/>
                  <w:vAlign w:val="center"/>
                </w:tcPr>
                <w:p w14:paraId="720F0C19">
                  <w:pPr>
                    <w:keepNext w:val="0"/>
                    <w:keepLines w:val="0"/>
                    <w:widowControl/>
                    <w:suppressLineNumbers w:val="0"/>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900-099-S59</w:t>
                  </w:r>
                </w:p>
              </w:tc>
            </w:tr>
            <w:tr w14:paraId="1E651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01" w:type="dxa"/>
                  <w:vMerge w:val="continue"/>
                  <w:noWrap w:val="0"/>
                  <w:vAlign w:val="center"/>
                </w:tcPr>
                <w:p w14:paraId="615C32CC">
                  <w:pPr>
                    <w:autoSpaceDE w:val="0"/>
                    <w:autoSpaceDN w:val="0"/>
                    <w:jc w:val="center"/>
                    <w:rPr>
                      <w:rFonts w:hint="eastAsia"/>
                      <w:color w:val="auto"/>
                    </w:rPr>
                  </w:pPr>
                </w:p>
              </w:tc>
              <w:tc>
                <w:tcPr>
                  <w:tcW w:w="960" w:type="dxa"/>
                  <w:noWrap w:val="0"/>
                  <w:vAlign w:val="center"/>
                </w:tcPr>
                <w:p w14:paraId="4ED769A3">
                  <w:pPr>
                    <w:autoSpaceDE w:val="0"/>
                    <w:autoSpaceDN w:val="0"/>
                    <w:jc w:val="center"/>
                    <w:rPr>
                      <w:color w:val="auto"/>
                    </w:rPr>
                  </w:pPr>
                  <w:r>
                    <w:rPr>
                      <w:rFonts w:hint="eastAsia"/>
                      <w:color w:val="auto"/>
                    </w:rPr>
                    <w:t>不合格产品</w:t>
                  </w:r>
                </w:p>
              </w:tc>
              <w:tc>
                <w:tcPr>
                  <w:tcW w:w="947" w:type="dxa"/>
                  <w:noWrap w:val="0"/>
                  <w:vAlign w:val="center"/>
                </w:tcPr>
                <w:p w14:paraId="60440870">
                  <w:pPr>
                    <w:autoSpaceDE w:val="0"/>
                    <w:autoSpaceDN w:val="0"/>
                    <w:jc w:val="center"/>
                    <w:rPr>
                      <w:color w:val="auto"/>
                    </w:rPr>
                  </w:pPr>
                  <w:r>
                    <w:rPr>
                      <w:rFonts w:hint="eastAsia"/>
                      <w:color w:val="auto"/>
                    </w:rPr>
                    <w:t>烘干、炭化</w:t>
                  </w:r>
                </w:p>
              </w:tc>
              <w:tc>
                <w:tcPr>
                  <w:tcW w:w="692" w:type="dxa"/>
                  <w:noWrap w:val="0"/>
                  <w:vAlign w:val="center"/>
                </w:tcPr>
                <w:p w14:paraId="0AE43510">
                  <w:pPr>
                    <w:autoSpaceDE w:val="0"/>
                    <w:autoSpaceDN w:val="0"/>
                    <w:ind w:left="-50" w:leftChars="-24"/>
                    <w:jc w:val="center"/>
                    <w:rPr>
                      <w:color w:val="auto"/>
                    </w:rPr>
                  </w:pPr>
                  <w:r>
                    <w:rPr>
                      <w:rFonts w:hint="eastAsia"/>
                      <w:color w:val="auto"/>
                    </w:rPr>
                    <w:t>固态</w:t>
                  </w:r>
                </w:p>
              </w:tc>
              <w:tc>
                <w:tcPr>
                  <w:tcW w:w="906" w:type="dxa"/>
                  <w:noWrap w:val="0"/>
                  <w:vAlign w:val="center"/>
                </w:tcPr>
                <w:p w14:paraId="1727F4A2">
                  <w:pPr>
                    <w:autoSpaceDE w:val="0"/>
                    <w:autoSpaceDN w:val="0"/>
                    <w:jc w:val="center"/>
                    <w:rPr>
                      <w:rFonts w:hint="default" w:eastAsia="宋体"/>
                      <w:color w:val="auto"/>
                      <w:lang w:val="en-US" w:eastAsia="zh-CN"/>
                    </w:rPr>
                  </w:pPr>
                  <w:r>
                    <w:rPr>
                      <w:rFonts w:hint="eastAsia"/>
                      <w:color w:val="auto"/>
                      <w:szCs w:val="21"/>
                      <w:lang w:val="en-US" w:eastAsia="zh-CN"/>
                    </w:rPr>
                    <w:t>19.2</w:t>
                  </w:r>
                </w:p>
              </w:tc>
              <w:tc>
                <w:tcPr>
                  <w:tcW w:w="2364" w:type="dxa"/>
                  <w:noWrap w:val="0"/>
                  <w:vAlign w:val="center"/>
                </w:tcPr>
                <w:p w14:paraId="27DBBA5E">
                  <w:pPr>
                    <w:autoSpaceDE w:val="0"/>
                    <w:autoSpaceDN w:val="0"/>
                    <w:jc w:val="center"/>
                    <w:rPr>
                      <w:color w:val="auto"/>
                    </w:rPr>
                  </w:pPr>
                  <w:r>
                    <w:rPr>
                      <w:rFonts w:hint="eastAsia"/>
                      <w:color w:val="auto"/>
                    </w:rPr>
                    <w:t>制棒不合格产品回收至烘干工段再次利用；炭化不合格产品、废料统一收集外售蚊香厂、蜂窝煤厂</w:t>
                  </w:r>
                </w:p>
              </w:tc>
              <w:tc>
                <w:tcPr>
                  <w:tcW w:w="1706" w:type="dxa"/>
                  <w:noWrap w:val="0"/>
                  <w:vAlign w:val="center"/>
                </w:tcPr>
                <w:p w14:paraId="458525AE">
                  <w:pPr>
                    <w:keepNext w:val="0"/>
                    <w:keepLines w:val="0"/>
                    <w:widowControl/>
                    <w:suppressLineNumbers w:val="0"/>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900-099-S59</w:t>
                  </w:r>
                </w:p>
              </w:tc>
            </w:tr>
            <w:tr w14:paraId="50AF8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01" w:type="dxa"/>
                  <w:vMerge w:val="continue"/>
                  <w:noWrap w:val="0"/>
                  <w:vAlign w:val="center"/>
                </w:tcPr>
                <w:p w14:paraId="1CB44CC4">
                  <w:pPr>
                    <w:autoSpaceDE w:val="0"/>
                    <w:autoSpaceDN w:val="0"/>
                    <w:jc w:val="center"/>
                    <w:rPr>
                      <w:rFonts w:hint="eastAsia"/>
                      <w:color w:val="auto"/>
                    </w:rPr>
                  </w:pPr>
                </w:p>
              </w:tc>
              <w:tc>
                <w:tcPr>
                  <w:tcW w:w="960" w:type="dxa"/>
                  <w:noWrap w:val="0"/>
                  <w:vAlign w:val="center"/>
                </w:tcPr>
                <w:p w14:paraId="6336F8AE">
                  <w:pPr>
                    <w:autoSpaceDE w:val="0"/>
                    <w:autoSpaceDN w:val="0"/>
                    <w:jc w:val="center"/>
                    <w:rPr>
                      <w:rFonts w:hint="eastAsia" w:eastAsia="宋体"/>
                      <w:color w:val="FF0000"/>
                      <w:szCs w:val="21"/>
                      <w:highlight w:val="none"/>
                      <w:lang w:eastAsia="zh-CN"/>
                    </w:rPr>
                  </w:pPr>
                  <w:r>
                    <w:rPr>
                      <w:rFonts w:hint="eastAsia"/>
                      <w:color w:val="FF0000"/>
                      <w:szCs w:val="21"/>
                      <w:highlight w:val="none"/>
                      <w:lang w:eastAsia="zh-CN"/>
                    </w:rPr>
                    <w:t>布袋收集粉尘</w:t>
                  </w:r>
                </w:p>
              </w:tc>
              <w:tc>
                <w:tcPr>
                  <w:tcW w:w="947" w:type="dxa"/>
                  <w:noWrap w:val="0"/>
                  <w:vAlign w:val="center"/>
                </w:tcPr>
                <w:p w14:paraId="1B7ECAAA">
                  <w:pPr>
                    <w:autoSpaceDE w:val="0"/>
                    <w:autoSpaceDN w:val="0"/>
                    <w:jc w:val="center"/>
                    <w:rPr>
                      <w:color w:val="FF0000"/>
                      <w:highlight w:val="none"/>
                    </w:rPr>
                  </w:pPr>
                  <w:r>
                    <w:rPr>
                      <w:rFonts w:hint="eastAsia"/>
                      <w:color w:val="FF0000"/>
                      <w:highlight w:val="none"/>
                    </w:rPr>
                    <w:t>布袋除尘</w:t>
                  </w:r>
                </w:p>
              </w:tc>
              <w:tc>
                <w:tcPr>
                  <w:tcW w:w="692" w:type="dxa"/>
                  <w:noWrap w:val="0"/>
                  <w:vAlign w:val="center"/>
                </w:tcPr>
                <w:p w14:paraId="130E116A">
                  <w:pPr>
                    <w:autoSpaceDE w:val="0"/>
                    <w:autoSpaceDN w:val="0"/>
                    <w:ind w:left="-50" w:leftChars="-24"/>
                    <w:jc w:val="center"/>
                    <w:rPr>
                      <w:rFonts w:hint="eastAsia"/>
                      <w:color w:val="FF0000"/>
                      <w:highlight w:val="none"/>
                    </w:rPr>
                  </w:pPr>
                  <w:r>
                    <w:rPr>
                      <w:rFonts w:hint="eastAsia"/>
                      <w:color w:val="FF0000"/>
                      <w:highlight w:val="none"/>
                    </w:rPr>
                    <w:t>固态</w:t>
                  </w:r>
                </w:p>
              </w:tc>
              <w:tc>
                <w:tcPr>
                  <w:tcW w:w="906" w:type="dxa"/>
                  <w:noWrap w:val="0"/>
                  <w:vAlign w:val="center"/>
                </w:tcPr>
                <w:p w14:paraId="7DA50092">
                  <w:pPr>
                    <w:autoSpaceDE w:val="0"/>
                    <w:autoSpaceDN w:val="0"/>
                    <w:jc w:val="center"/>
                    <w:rPr>
                      <w:rFonts w:hint="default" w:eastAsia="宋体"/>
                      <w:color w:val="FF0000"/>
                      <w:szCs w:val="21"/>
                      <w:highlight w:val="none"/>
                      <w:lang w:val="en-US" w:eastAsia="zh-CN"/>
                    </w:rPr>
                  </w:pPr>
                  <w:r>
                    <w:rPr>
                      <w:rFonts w:hint="eastAsia"/>
                      <w:color w:val="FF0000"/>
                      <w:szCs w:val="21"/>
                      <w:highlight w:val="none"/>
                      <w:lang w:val="en-US" w:eastAsia="zh-CN"/>
                    </w:rPr>
                    <w:t>557.3</w:t>
                  </w:r>
                </w:p>
              </w:tc>
              <w:tc>
                <w:tcPr>
                  <w:tcW w:w="2364" w:type="dxa"/>
                  <w:noWrap w:val="0"/>
                  <w:vAlign w:val="center"/>
                </w:tcPr>
                <w:p w14:paraId="372CA49C">
                  <w:pPr>
                    <w:autoSpaceDE w:val="0"/>
                    <w:autoSpaceDN w:val="0"/>
                    <w:jc w:val="center"/>
                    <w:rPr>
                      <w:rFonts w:hint="default" w:eastAsia="宋体"/>
                      <w:color w:val="FF0000"/>
                      <w:highlight w:val="none"/>
                      <w:lang w:val="en-US" w:eastAsia="zh-CN"/>
                    </w:rPr>
                  </w:pPr>
                  <w:r>
                    <w:rPr>
                      <w:rFonts w:hint="eastAsia"/>
                      <w:color w:val="FF0000"/>
                      <w:highlight w:val="none"/>
                      <w:lang w:val="en-US" w:eastAsia="zh-CN"/>
                    </w:rPr>
                    <w:t>回用生产</w:t>
                  </w:r>
                </w:p>
              </w:tc>
              <w:tc>
                <w:tcPr>
                  <w:tcW w:w="1706" w:type="dxa"/>
                  <w:noWrap w:val="0"/>
                  <w:vAlign w:val="center"/>
                </w:tcPr>
                <w:p w14:paraId="2F5CAFF7">
                  <w:pPr>
                    <w:keepNext w:val="0"/>
                    <w:keepLines w:val="0"/>
                    <w:widowControl/>
                    <w:suppressLineNumbers w:val="0"/>
                    <w:autoSpaceDE w:val="0"/>
                    <w:autoSpaceDN w:val="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0"/>
                      <w:sz w:val="21"/>
                      <w:szCs w:val="21"/>
                      <w:lang w:val="en-US" w:eastAsia="zh-CN" w:bidi="ar"/>
                    </w:rPr>
                    <w:t>900-099-S59</w:t>
                  </w:r>
                </w:p>
              </w:tc>
            </w:tr>
            <w:tr w14:paraId="6E353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501" w:type="dxa"/>
                  <w:vMerge w:val="continue"/>
                  <w:noWrap w:val="0"/>
                  <w:vAlign w:val="center"/>
                </w:tcPr>
                <w:p w14:paraId="4749C265">
                  <w:pPr>
                    <w:autoSpaceDE w:val="0"/>
                    <w:autoSpaceDN w:val="0"/>
                    <w:jc w:val="center"/>
                    <w:rPr>
                      <w:rFonts w:hint="eastAsia"/>
                      <w:color w:val="auto"/>
                    </w:rPr>
                  </w:pPr>
                </w:p>
              </w:tc>
              <w:tc>
                <w:tcPr>
                  <w:tcW w:w="960" w:type="dxa"/>
                  <w:noWrap w:val="0"/>
                  <w:vAlign w:val="center"/>
                </w:tcPr>
                <w:p w14:paraId="39ECEB43">
                  <w:pPr>
                    <w:autoSpaceDE w:val="0"/>
                    <w:autoSpaceDN w:val="0"/>
                    <w:jc w:val="center"/>
                    <w:rPr>
                      <w:color w:val="auto"/>
                      <w:szCs w:val="21"/>
                    </w:rPr>
                  </w:pPr>
                  <w:r>
                    <w:rPr>
                      <w:rFonts w:hint="eastAsia"/>
                      <w:color w:val="auto"/>
                      <w:szCs w:val="21"/>
                    </w:rPr>
                    <w:t>炉渣</w:t>
                  </w:r>
                </w:p>
              </w:tc>
              <w:tc>
                <w:tcPr>
                  <w:tcW w:w="947" w:type="dxa"/>
                  <w:noWrap w:val="0"/>
                  <w:vAlign w:val="center"/>
                </w:tcPr>
                <w:p w14:paraId="741BB2B0">
                  <w:pPr>
                    <w:autoSpaceDE w:val="0"/>
                    <w:autoSpaceDN w:val="0"/>
                    <w:jc w:val="center"/>
                    <w:rPr>
                      <w:color w:val="auto"/>
                    </w:rPr>
                  </w:pPr>
                  <w:r>
                    <w:rPr>
                      <w:rFonts w:hint="eastAsia"/>
                      <w:color w:val="auto"/>
                    </w:rPr>
                    <w:t>烘干炉、燃烧炉</w:t>
                  </w:r>
                </w:p>
              </w:tc>
              <w:tc>
                <w:tcPr>
                  <w:tcW w:w="692" w:type="dxa"/>
                  <w:noWrap w:val="0"/>
                  <w:vAlign w:val="center"/>
                </w:tcPr>
                <w:p w14:paraId="01EAC46B">
                  <w:pPr>
                    <w:autoSpaceDE w:val="0"/>
                    <w:autoSpaceDN w:val="0"/>
                    <w:ind w:left="-50" w:leftChars="-24"/>
                    <w:jc w:val="center"/>
                    <w:rPr>
                      <w:color w:val="auto"/>
                    </w:rPr>
                  </w:pPr>
                  <w:r>
                    <w:rPr>
                      <w:rFonts w:hint="eastAsia"/>
                      <w:color w:val="auto"/>
                    </w:rPr>
                    <w:t>固态</w:t>
                  </w:r>
                </w:p>
              </w:tc>
              <w:tc>
                <w:tcPr>
                  <w:tcW w:w="906" w:type="dxa"/>
                  <w:noWrap w:val="0"/>
                  <w:vAlign w:val="center"/>
                </w:tcPr>
                <w:p w14:paraId="0EA3B8C8">
                  <w:pPr>
                    <w:autoSpaceDE w:val="0"/>
                    <w:autoSpaceDN w:val="0"/>
                    <w:jc w:val="center"/>
                    <w:rPr>
                      <w:rFonts w:hint="default" w:eastAsia="宋体"/>
                      <w:color w:val="auto"/>
                      <w:szCs w:val="21"/>
                      <w:lang w:val="en-US" w:eastAsia="zh-CN"/>
                    </w:rPr>
                  </w:pPr>
                  <w:r>
                    <w:rPr>
                      <w:rFonts w:hint="eastAsia"/>
                      <w:color w:val="auto"/>
                      <w:szCs w:val="21"/>
                      <w:lang w:val="en-US" w:eastAsia="zh-CN"/>
                    </w:rPr>
                    <w:t>32.64</w:t>
                  </w:r>
                </w:p>
              </w:tc>
              <w:tc>
                <w:tcPr>
                  <w:tcW w:w="2364" w:type="dxa"/>
                  <w:noWrap w:val="0"/>
                  <w:vAlign w:val="center"/>
                </w:tcPr>
                <w:p w14:paraId="020D642B">
                  <w:pPr>
                    <w:autoSpaceDE w:val="0"/>
                    <w:autoSpaceDN w:val="0"/>
                    <w:jc w:val="center"/>
                    <w:rPr>
                      <w:color w:val="auto"/>
                    </w:rPr>
                  </w:pPr>
                  <w:r>
                    <w:rPr>
                      <w:rFonts w:hint="eastAsia"/>
                      <w:color w:val="auto"/>
                      <w:szCs w:val="21"/>
                    </w:rPr>
                    <w:t>炉渣统一收集后，定期委托周边村民清运至周边耕地做农肥，不外排。</w:t>
                  </w:r>
                </w:p>
              </w:tc>
              <w:tc>
                <w:tcPr>
                  <w:tcW w:w="1706" w:type="dxa"/>
                  <w:noWrap w:val="0"/>
                  <w:vAlign w:val="center"/>
                </w:tcPr>
                <w:p w14:paraId="0DE3A42F">
                  <w:pPr>
                    <w:autoSpaceDE w:val="0"/>
                    <w:autoSpaceDN w:val="0"/>
                    <w:jc w:val="center"/>
                    <w:rPr>
                      <w:color w:val="auto"/>
                    </w:rPr>
                  </w:pPr>
                  <w:r>
                    <w:rPr>
                      <w:rFonts w:hint="eastAsia"/>
                      <w:color w:val="auto"/>
                      <w:lang w:val="en-US" w:eastAsia="zh-CN"/>
                    </w:rPr>
                    <w:t>900-099-S03</w:t>
                  </w:r>
                </w:p>
                <w:p w14:paraId="35229333">
                  <w:pPr>
                    <w:autoSpaceDE w:val="0"/>
                    <w:autoSpaceDN w:val="0"/>
                    <w:jc w:val="center"/>
                    <w:rPr>
                      <w:color w:val="auto"/>
                    </w:rPr>
                  </w:pPr>
                </w:p>
              </w:tc>
            </w:tr>
            <w:tr w14:paraId="5B5F2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01" w:type="dxa"/>
                  <w:vMerge w:val="continue"/>
                  <w:noWrap w:val="0"/>
                  <w:vAlign w:val="center"/>
                </w:tcPr>
                <w:p w14:paraId="7153A5C7">
                  <w:pPr>
                    <w:autoSpaceDE w:val="0"/>
                    <w:autoSpaceDN w:val="0"/>
                    <w:jc w:val="center"/>
                    <w:rPr>
                      <w:color w:val="auto"/>
                    </w:rPr>
                  </w:pPr>
                </w:p>
              </w:tc>
              <w:tc>
                <w:tcPr>
                  <w:tcW w:w="960" w:type="dxa"/>
                  <w:noWrap w:val="0"/>
                  <w:vAlign w:val="center"/>
                </w:tcPr>
                <w:p w14:paraId="52120968">
                  <w:pPr>
                    <w:autoSpaceDE w:val="0"/>
                    <w:autoSpaceDN w:val="0"/>
                    <w:jc w:val="center"/>
                    <w:rPr>
                      <w:rFonts w:hint="eastAsia"/>
                      <w:color w:val="auto"/>
                    </w:rPr>
                  </w:pPr>
                  <w:r>
                    <w:rPr>
                      <w:rFonts w:hint="eastAsia"/>
                      <w:color w:val="auto"/>
                    </w:rPr>
                    <w:t>生活垃圾</w:t>
                  </w:r>
                </w:p>
              </w:tc>
              <w:tc>
                <w:tcPr>
                  <w:tcW w:w="947" w:type="dxa"/>
                  <w:noWrap w:val="0"/>
                  <w:vAlign w:val="center"/>
                </w:tcPr>
                <w:p w14:paraId="00CCB823">
                  <w:pPr>
                    <w:autoSpaceDE w:val="0"/>
                    <w:autoSpaceDN w:val="0"/>
                    <w:jc w:val="center"/>
                    <w:rPr>
                      <w:color w:val="auto"/>
                    </w:rPr>
                  </w:pPr>
                  <w:r>
                    <w:rPr>
                      <w:rFonts w:hint="eastAsia"/>
                      <w:color w:val="auto"/>
                    </w:rPr>
                    <w:t>办公生活</w:t>
                  </w:r>
                </w:p>
              </w:tc>
              <w:tc>
                <w:tcPr>
                  <w:tcW w:w="692" w:type="dxa"/>
                  <w:noWrap w:val="0"/>
                  <w:vAlign w:val="center"/>
                </w:tcPr>
                <w:p w14:paraId="7463A3EF">
                  <w:pPr>
                    <w:autoSpaceDE w:val="0"/>
                    <w:autoSpaceDN w:val="0"/>
                    <w:ind w:left="-50" w:leftChars="-24"/>
                    <w:jc w:val="center"/>
                    <w:rPr>
                      <w:color w:val="auto"/>
                    </w:rPr>
                  </w:pPr>
                  <w:r>
                    <w:rPr>
                      <w:rFonts w:hint="eastAsia"/>
                      <w:color w:val="auto"/>
                    </w:rPr>
                    <w:t>固态</w:t>
                  </w:r>
                </w:p>
              </w:tc>
              <w:tc>
                <w:tcPr>
                  <w:tcW w:w="906" w:type="dxa"/>
                  <w:noWrap w:val="0"/>
                  <w:vAlign w:val="center"/>
                </w:tcPr>
                <w:p w14:paraId="716FA5BB">
                  <w:pPr>
                    <w:autoSpaceDE w:val="0"/>
                    <w:autoSpaceDN w:val="0"/>
                    <w:jc w:val="center"/>
                    <w:rPr>
                      <w:color w:val="auto"/>
                    </w:rPr>
                  </w:pPr>
                  <w:r>
                    <w:rPr>
                      <w:rFonts w:hint="eastAsia"/>
                      <w:color w:val="auto"/>
                    </w:rPr>
                    <w:t>1.5</w:t>
                  </w:r>
                </w:p>
              </w:tc>
              <w:tc>
                <w:tcPr>
                  <w:tcW w:w="2364" w:type="dxa"/>
                  <w:noWrap w:val="0"/>
                  <w:vAlign w:val="center"/>
                </w:tcPr>
                <w:p w14:paraId="612D476A">
                  <w:pPr>
                    <w:autoSpaceDE w:val="0"/>
                    <w:autoSpaceDN w:val="0"/>
                    <w:jc w:val="center"/>
                    <w:rPr>
                      <w:rFonts w:hint="eastAsia"/>
                      <w:color w:val="auto"/>
                    </w:rPr>
                  </w:pPr>
                  <w:r>
                    <w:rPr>
                      <w:rFonts w:hint="eastAsia"/>
                      <w:color w:val="auto"/>
                    </w:rPr>
                    <w:t>生活垃圾桶</w:t>
                  </w:r>
                </w:p>
                <w:p w14:paraId="729A55CF">
                  <w:pPr>
                    <w:autoSpaceDE w:val="0"/>
                    <w:autoSpaceDN w:val="0"/>
                    <w:jc w:val="center"/>
                    <w:rPr>
                      <w:rFonts w:hint="eastAsia"/>
                      <w:color w:val="auto"/>
                    </w:rPr>
                  </w:pPr>
                  <w:r>
                    <w:rPr>
                      <w:rFonts w:hint="eastAsia"/>
                      <w:color w:val="auto"/>
                    </w:rPr>
                    <w:t>委托环卫部门清运处置</w:t>
                  </w:r>
                </w:p>
              </w:tc>
              <w:tc>
                <w:tcPr>
                  <w:tcW w:w="1706" w:type="dxa"/>
                  <w:noWrap w:val="0"/>
                  <w:vAlign w:val="center"/>
                </w:tcPr>
                <w:p w14:paraId="4E9188DD">
                  <w:pPr>
                    <w:keepNext w:val="0"/>
                    <w:keepLines w:val="0"/>
                    <w:widowControl/>
                    <w:suppressLineNumbers w:val="0"/>
                    <w:autoSpaceDE w:val="0"/>
                    <w:autoSpaceDN w:val="0"/>
                    <w:jc w:val="center"/>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bidi="ar"/>
                    </w:rPr>
                    <w:t>900-002-S64</w:t>
                  </w:r>
                </w:p>
              </w:tc>
            </w:tr>
            <w:tr w14:paraId="03DDB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501" w:type="dxa"/>
                  <w:vMerge w:val="continue"/>
                  <w:noWrap w:val="0"/>
                  <w:vAlign w:val="center"/>
                </w:tcPr>
                <w:p w14:paraId="4960A096">
                  <w:pPr>
                    <w:autoSpaceDE w:val="0"/>
                    <w:autoSpaceDN w:val="0"/>
                    <w:jc w:val="center"/>
                    <w:rPr>
                      <w:color w:val="auto"/>
                    </w:rPr>
                  </w:pPr>
                </w:p>
              </w:tc>
              <w:tc>
                <w:tcPr>
                  <w:tcW w:w="960" w:type="dxa"/>
                  <w:noWrap w:val="0"/>
                  <w:vAlign w:val="center"/>
                </w:tcPr>
                <w:p w14:paraId="4E1A4C65">
                  <w:pPr>
                    <w:pStyle w:val="49"/>
                    <w:rPr>
                      <w:rFonts w:hint="eastAsia"/>
                      <w:color w:val="auto"/>
                      <w:szCs w:val="21"/>
                    </w:rPr>
                  </w:pPr>
                  <w:r>
                    <w:rPr>
                      <w:rFonts w:hint="eastAsia"/>
                      <w:color w:val="auto"/>
                      <w:szCs w:val="21"/>
                    </w:rPr>
                    <w:t>化粪池</w:t>
                  </w:r>
                  <w:r>
                    <w:rPr>
                      <w:color w:val="auto"/>
                      <w:szCs w:val="21"/>
                    </w:rPr>
                    <w:t>污泥</w:t>
                  </w:r>
                </w:p>
              </w:tc>
              <w:tc>
                <w:tcPr>
                  <w:tcW w:w="947" w:type="dxa"/>
                  <w:noWrap w:val="0"/>
                  <w:vAlign w:val="center"/>
                </w:tcPr>
                <w:p w14:paraId="6FDD6606">
                  <w:pPr>
                    <w:pStyle w:val="49"/>
                    <w:rPr>
                      <w:rFonts w:hint="eastAsia"/>
                      <w:color w:val="auto"/>
                      <w:szCs w:val="21"/>
                    </w:rPr>
                  </w:pPr>
                  <w:r>
                    <w:rPr>
                      <w:rFonts w:hint="eastAsia"/>
                      <w:color w:val="auto"/>
                      <w:szCs w:val="21"/>
                    </w:rPr>
                    <w:t>三级化粪池</w:t>
                  </w:r>
                </w:p>
              </w:tc>
              <w:tc>
                <w:tcPr>
                  <w:tcW w:w="692" w:type="dxa"/>
                  <w:noWrap w:val="0"/>
                  <w:vAlign w:val="center"/>
                </w:tcPr>
                <w:p w14:paraId="4C750CF8">
                  <w:pPr>
                    <w:jc w:val="center"/>
                    <w:rPr>
                      <w:color w:val="auto"/>
                      <w:szCs w:val="21"/>
                    </w:rPr>
                  </w:pPr>
                  <w:r>
                    <w:rPr>
                      <w:rFonts w:hint="eastAsia"/>
                      <w:color w:val="auto"/>
                      <w:szCs w:val="21"/>
                    </w:rPr>
                    <w:t>固体</w:t>
                  </w:r>
                </w:p>
              </w:tc>
              <w:tc>
                <w:tcPr>
                  <w:tcW w:w="906" w:type="dxa"/>
                  <w:noWrap w:val="0"/>
                  <w:vAlign w:val="center"/>
                </w:tcPr>
                <w:p w14:paraId="18607873">
                  <w:pPr>
                    <w:jc w:val="center"/>
                    <w:rPr>
                      <w:color w:val="auto"/>
                      <w:szCs w:val="21"/>
                    </w:rPr>
                  </w:pPr>
                  <w:r>
                    <w:rPr>
                      <w:rFonts w:hint="eastAsia"/>
                      <w:color w:val="auto"/>
                      <w:szCs w:val="21"/>
                    </w:rPr>
                    <w:t>少量</w:t>
                  </w:r>
                </w:p>
              </w:tc>
              <w:tc>
                <w:tcPr>
                  <w:tcW w:w="2364" w:type="dxa"/>
                  <w:noWrap w:val="0"/>
                  <w:vAlign w:val="center"/>
                </w:tcPr>
                <w:p w14:paraId="5B7A8217">
                  <w:pPr>
                    <w:pStyle w:val="49"/>
                    <w:rPr>
                      <w:rFonts w:hint="eastAsia"/>
                      <w:color w:val="auto"/>
                      <w:szCs w:val="21"/>
                    </w:rPr>
                  </w:pPr>
                  <w:r>
                    <w:rPr>
                      <w:rFonts w:hint="eastAsia"/>
                      <w:color w:val="auto"/>
                      <w:szCs w:val="21"/>
                    </w:rPr>
                    <w:t>三级化粪池</w:t>
                  </w:r>
                </w:p>
                <w:p w14:paraId="50F0A0D3">
                  <w:pPr>
                    <w:jc w:val="center"/>
                    <w:rPr>
                      <w:rFonts w:hint="eastAsia"/>
                      <w:snapToGrid w:val="0"/>
                      <w:color w:val="auto"/>
                      <w:kern w:val="0"/>
                      <w:szCs w:val="21"/>
                    </w:rPr>
                  </w:pPr>
                  <w:r>
                    <w:rPr>
                      <w:rFonts w:hint="eastAsia"/>
                      <w:color w:val="auto"/>
                      <w:szCs w:val="21"/>
                    </w:rPr>
                    <w:t>定</w:t>
                  </w:r>
                  <w:r>
                    <w:rPr>
                      <w:color w:val="auto"/>
                      <w:szCs w:val="21"/>
                    </w:rPr>
                    <w:t>期由附近的村民进行清掏作为农家肥使用</w:t>
                  </w:r>
                </w:p>
              </w:tc>
              <w:tc>
                <w:tcPr>
                  <w:tcW w:w="1706" w:type="dxa"/>
                  <w:noWrap w:val="0"/>
                  <w:vAlign w:val="center"/>
                </w:tcPr>
                <w:p w14:paraId="4798EBE6">
                  <w:pPr>
                    <w:keepNext w:val="0"/>
                    <w:keepLines w:val="0"/>
                    <w:widowControl/>
                    <w:suppressLineNumbers w:val="0"/>
                    <w:autoSpaceDE w:val="0"/>
                    <w:autoSpaceDN w:val="0"/>
                    <w:jc w:val="center"/>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bidi="ar"/>
                    </w:rPr>
                    <w:t>900-002-S64</w:t>
                  </w:r>
                </w:p>
              </w:tc>
            </w:tr>
            <w:tr w14:paraId="176ED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501" w:type="dxa"/>
                  <w:vMerge w:val="restart"/>
                  <w:noWrap w:val="0"/>
                  <w:vAlign w:val="center"/>
                </w:tcPr>
                <w:p w14:paraId="23EEBFC4">
                  <w:pPr>
                    <w:autoSpaceDE w:val="0"/>
                    <w:autoSpaceDN w:val="0"/>
                    <w:jc w:val="center"/>
                    <w:rPr>
                      <w:rFonts w:hint="eastAsia"/>
                      <w:color w:val="auto"/>
                    </w:rPr>
                  </w:pPr>
                  <w:r>
                    <w:rPr>
                      <w:rFonts w:hint="eastAsia"/>
                      <w:color w:val="auto"/>
                    </w:rPr>
                    <w:t>危险废物</w:t>
                  </w:r>
                </w:p>
              </w:tc>
              <w:tc>
                <w:tcPr>
                  <w:tcW w:w="960" w:type="dxa"/>
                  <w:vMerge w:val="restart"/>
                  <w:noWrap w:val="0"/>
                  <w:vAlign w:val="center"/>
                </w:tcPr>
                <w:p w14:paraId="0CE1E607">
                  <w:pPr>
                    <w:pStyle w:val="49"/>
                    <w:spacing w:line="240" w:lineRule="auto"/>
                    <w:rPr>
                      <w:rFonts w:hint="eastAsia"/>
                      <w:color w:val="auto"/>
                      <w:szCs w:val="21"/>
                    </w:rPr>
                  </w:pPr>
                  <w:r>
                    <w:rPr>
                      <w:rFonts w:hint="eastAsia"/>
                      <w:color w:val="auto"/>
                      <w:szCs w:val="21"/>
                    </w:rPr>
                    <w:t>设备维修保养</w:t>
                  </w:r>
                </w:p>
              </w:tc>
              <w:tc>
                <w:tcPr>
                  <w:tcW w:w="947" w:type="dxa"/>
                  <w:noWrap w:val="0"/>
                  <w:vAlign w:val="center"/>
                </w:tcPr>
                <w:p w14:paraId="653B8CD5">
                  <w:pPr>
                    <w:widowControl/>
                    <w:tabs>
                      <w:tab w:val="left" w:pos="5327"/>
                      <w:tab w:val="left" w:pos="6326"/>
                      <w:tab w:val="left" w:pos="7230"/>
                      <w:tab w:val="left" w:pos="9301"/>
                    </w:tabs>
                    <w:jc w:val="center"/>
                    <w:rPr>
                      <w:rFonts w:hint="eastAsia"/>
                      <w:color w:val="auto"/>
                      <w:kern w:val="0"/>
                      <w:szCs w:val="21"/>
                    </w:rPr>
                  </w:pPr>
                  <w:r>
                    <w:rPr>
                      <w:rFonts w:hint="eastAsia"/>
                      <w:color w:val="auto"/>
                      <w:kern w:val="0"/>
                      <w:szCs w:val="21"/>
                    </w:rPr>
                    <w:t>废抹布</w:t>
                  </w:r>
                </w:p>
              </w:tc>
              <w:tc>
                <w:tcPr>
                  <w:tcW w:w="692" w:type="dxa"/>
                  <w:noWrap w:val="0"/>
                  <w:vAlign w:val="center"/>
                </w:tcPr>
                <w:p w14:paraId="73110ACD">
                  <w:pPr>
                    <w:widowControl/>
                    <w:tabs>
                      <w:tab w:val="left" w:pos="5327"/>
                      <w:tab w:val="left" w:pos="6326"/>
                      <w:tab w:val="left" w:pos="7230"/>
                      <w:tab w:val="left" w:pos="9301"/>
                    </w:tabs>
                    <w:jc w:val="center"/>
                    <w:rPr>
                      <w:rFonts w:hint="eastAsia"/>
                      <w:color w:val="auto"/>
                      <w:szCs w:val="21"/>
                    </w:rPr>
                  </w:pPr>
                  <w:r>
                    <w:rPr>
                      <w:rFonts w:hint="eastAsia"/>
                      <w:color w:val="auto"/>
                      <w:kern w:val="0"/>
                      <w:szCs w:val="21"/>
                    </w:rPr>
                    <w:t>固态</w:t>
                  </w:r>
                </w:p>
              </w:tc>
              <w:tc>
                <w:tcPr>
                  <w:tcW w:w="906" w:type="dxa"/>
                  <w:noWrap w:val="0"/>
                  <w:vAlign w:val="center"/>
                </w:tcPr>
                <w:p w14:paraId="1503D98F">
                  <w:pPr>
                    <w:widowControl/>
                    <w:tabs>
                      <w:tab w:val="left" w:pos="5327"/>
                      <w:tab w:val="left" w:pos="6326"/>
                      <w:tab w:val="left" w:pos="7230"/>
                      <w:tab w:val="left" w:pos="9301"/>
                    </w:tabs>
                    <w:jc w:val="center"/>
                    <w:rPr>
                      <w:rFonts w:hint="eastAsia"/>
                      <w:color w:val="auto"/>
                      <w:szCs w:val="21"/>
                    </w:rPr>
                  </w:pPr>
                  <w:r>
                    <w:rPr>
                      <w:color w:val="auto"/>
                      <w:kern w:val="0"/>
                      <w:szCs w:val="21"/>
                    </w:rPr>
                    <w:t>0.005</w:t>
                  </w:r>
                </w:p>
              </w:tc>
              <w:tc>
                <w:tcPr>
                  <w:tcW w:w="2364" w:type="dxa"/>
                  <w:vMerge w:val="restart"/>
                  <w:noWrap w:val="0"/>
                  <w:vAlign w:val="center"/>
                </w:tcPr>
                <w:p w14:paraId="68D23A5B">
                  <w:pPr>
                    <w:rPr>
                      <w:color w:val="auto"/>
                      <w:szCs w:val="21"/>
                    </w:rPr>
                  </w:pPr>
                  <w:r>
                    <w:rPr>
                      <w:rFonts w:hint="eastAsia"/>
                      <w:color w:val="auto"/>
                      <w:kern w:val="0"/>
                      <w:szCs w:val="21"/>
                      <w:lang w:bidi="ar"/>
                    </w:rPr>
                    <w:t>暂存</w:t>
                  </w:r>
                  <w:r>
                    <w:rPr>
                      <w:color w:val="auto"/>
                      <w:kern w:val="0"/>
                      <w:szCs w:val="21"/>
                      <w:lang w:bidi="ar"/>
                    </w:rPr>
                    <w:t>于危险废物暂存间中，定期交由有资质单位</w:t>
                  </w:r>
                  <w:r>
                    <w:rPr>
                      <w:color w:val="auto"/>
                      <w:szCs w:val="21"/>
                    </w:rPr>
                    <w:t>进行回收处理</w:t>
                  </w:r>
                </w:p>
              </w:tc>
              <w:tc>
                <w:tcPr>
                  <w:tcW w:w="1706" w:type="dxa"/>
                  <w:noWrap w:val="0"/>
                  <w:vAlign w:val="center"/>
                </w:tcPr>
                <w:p w14:paraId="6E757A4E">
                  <w:pPr>
                    <w:tabs>
                      <w:tab w:val="left" w:pos="512"/>
                    </w:tabs>
                    <w:jc w:val="center"/>
                    <w:rPr>
                      <w:rFonts w:hint="eastAsia"/>
                      <w:color w:val="auto"/>
                    </w:rPr>
                  </w:pPr>
                  <w:r>
                    <w:rPr>
                      <w:color w:val="auto"/>
                      <w:kern w:val="0"/>
                      <w:szCs w:val="21"/>
                      <w:lang w:bidi="ar"/>
                    </w:rPr>
                    <w:t>HW0</w:t>
                  </w:r>
                  <w:r>
                    <w:rPr>
                      <w:rFonts w:hint="eastAsia"/>
                      <w:color w:val="auto"/>
                      <w:kern w:val="0"/>
                      <w:szCs w:val="21"/>
                      <w:lang w:bidi="ar"/>
                    </w:rPr>
                    <w:t>8</w:t>
                  </w:r>
                  <w:r>
                    <w:rPr>
                      <w:rFonts w:hint="eastAsia"/>
                      <w:color w:val="auto"/>
                      <w:kern w:val="0"/>
                      <w:szCs w:val="21"/>
                      <w:lang w:eastAsia="zh-CN" w:bidi="ar"/>
                    </w:rPr>
                    <w:t>，</w:t>
                  </w:r>
                  <w:r>
                    <w:rPr>
                      <w:color w:val="auto"/>
                      <w:kern w:val="0"/>
                      <w:szCs w:val="21"/>
                    </w:rPr>
                    <w:t>900-041-49</w:t>
                  </w:r>
                </w:p>
              </w:tc>
            </w:tr>
            <w:tr w14:paraId="2B77E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501" w:type="dxa"/>
                  <w:vMerge w:val="continue"/>
                  <w:noWrap w:val="0"/>
                  <w:vAlign w:val="center"/>
                </w:tcPr>
                <w:p w14:paraId="0E0D1BE6">
                  <w:pPr>
                    <w:autoSpaceDE w:val="0"/>
                    <w:autoSpaceDN w:val="0"/>
                    <w:jc w:val="center"/>
                    <w:rPr>
                      <w:rFonts w:hint="eastAsia"/>
                      <w:color w:val="auto"/>
                    </w:rPr>
                  </w:pPr>
                </w:p>
              </w:tc>
              <w:tc>
                <w:tcPr>
                  <w:tcW w:w="960" w:type="dxa"/>
                  <w:vMerge w:val="continue"/>
                  <w:noWrap w:val="0"/>
                  <w:vAlign w:val="center"/>
                </w:tcPr>
                <w:p w14:paraId="23F8A20B">
                  <w:pPr>
                    <w:pStyle w:val="49"/>
                    <w:spacing w:line="240" w:lineRule="auto"/>
                    <w:rPr>
                      <w:rFonts w:hint="eastAsia"/>
                      <w:color w:val="auto"/>
                      <w:szCs w:val="21"/>
                    </w:rPr>
                  </w:pPr>
                </w:p>
              </w:tc>
              <w:tc>
                <w:tcPr>
                  <w:tcW w:w="947" w:type="dxa"/>
                  <w:noWrap w:val="0"/>
                  <w:vAlign w:val="center"/>
                </w:tcPr>
                <w:p w14:paraId="10FECE43">
                  <w:pPr>
                    <w:pStyle w:val="49"/>
                    <w:spacing w:line="240" w:lineRule="auto"/>
                    <w:rPr>
                      <w:rFonts w:hint="eastAsia"/>
                      <w:color w:val="auto"/>
                      <w:szCs w:val="21"/>
                    </w:rPr>
                  </w:pPr>
                  <w:r>
                    <w:rPr>
                      <w:rFonts w:hint="eastAsia"/>
                      <w:color w:val="auto"/>
                      <w:szCs w:val="21"/>
                    </w:rPr>
                    <w:t>废机油</w:t>
                  </w:r>
                </w:p>
              </w:tc>
              <w:tc>
                <w:tcPr>
                  <w:tcW w:w="692" w:type="dxa"/>
                  <w:noWrap w:val="0"/>
                  <w:vAlign w:val="center"/>
                </w:tcPr>
                <w:p w14:paraId="6246C6CF">
                  <w:pPr>
                    <w:jc w:val="center"/>
                    <w:rPr>
                      <w:rFonts w:hint="eastAsia"/>
                      <w:color w:val="auto"/>
                      <w:szCs w:val="21"/>
                    </w:rPr>
                  </w:pPr>
                  <w:r>
                    <w:rPr>
                      <w:rFonts w:hint="eastAsia"/>
                      <w:color w:val="auto"/>
                      <w:szCs w:val="21"/>
                    </w:rPr>
                    <w:t>液态</w:t>
                  </w:r>
                </w:p>
              </w:tc>
              <w:tc>
                <w:tcPr>
                  <w:tcW w:w="906" w:type="dxa"/>
                  <w:noWrap w:val="0"/>
                  <w:vAlign w:val="center"/>
                </w:tcPr>
                <w:p w14:paraId="368EACE6">
                  <w:pPr>
                    <w:pStyle w:val="49"/>
                    <w:spacing w:line="240" w:lineRule="auto"/>
                    <w:rPr>
                      <w:color w:val="auto"/>
                      <w:szCs w:val="21"/>
                    </w:rPr>
                  </w:pPr>
                  <w:r>
                    <w:rPr>
                      <w:rFonts w:hint="eastAsia"/>
                      <w:color w:val="auto"/>
                      <w:szCs w:val="21"/>
                    </w:rPr>
                    <w:t>0.05</w:t>
                  </w:r>
                </w:p>
              </w:tc>
              <w:tc>
                <w:tcPr>
                  <w:tcW w:w="2364" w:type="dxa"/>
                  <w:vMerge w:val="continue"/>
                  <w:noWrap w:val="0"/>
                  <w:vAlign w:val="center"/>
                </w:tcPr>
                <w:p w14:paraId="0B332741">
                  <w:pPr>
                    <w:jc w:val="center"/>
                    <w:rPr>
                      <w:color w:val="auto"/>
                      <w:szCs w:val="21"/>
                    </w:rPr>
                  </w:pPr>
                </w:p>
              </w:tc>
              <w:tc>
                <w:tcPr>
                  <w:tcW w:w="1706" w:type="dxa"/>
                  <w:noWrap w:val="0"/>
                  <w:vAlign w:val="center"/>
                </w:tcPr>
                <w:p w14:paraId="1CB4BC63">
                  <w:pPr>
                    <w:autoSpaceDE w:val="0"/>
                    <w:autoSpaceDN w:val="0"/>
                    <w:jc w:val="center"/>
                    <w:rPr>
                      <w:rFonts w:hint="eastAsia"/>
                      <w:color w:val="auto"/>
                    </w:rPr>
                  </w:pPr>
                  <w:r>
                    <w:rPr>
                      <w:color w:val="auto"/>
                      <w:sz w:val="24"/>
                    </w:rPr>
                    <w:t>HW49</w:t>
                  </w:r>
                  <w:r>
                    <w:rPr>
                      <w:rFonts w:hint="eastAsia"/>
                      <w:color w:val="auto"/>
                      <w:kern w:val="0"/>
                      <w:szCs w:val="21"/>
                      <w:lang w:bidi="ar"/>
                    </w:rPr>
                    <w:t>，</w:t>
                  </w:r>
                  <w:r>
                    <w:rPr>
                      <w:color w:val="auto"/>
                      <w:kern w:val="0"/>
                      <w:szCs w:val="21"/>
                      <w:lang w:bidi="ar"/>
                    </w:rPr>
                    <w:t>900-214-08</w:t>
                  </w:r>
                </w:p>
              </w:tc>
            </w:tr>
            <w:bookmarkEnd w:id="22"/>
          </w:tbl>
          <w:p w14:paraId="4BDD7387">
            <w:pPr>
              <w:jc w:val="center"/>
              <w:rPr>
                <w:sz w:val="24"/>
              </w:rPr>
            </w:pPr>
          </w:p>
          <w:p w14:paraId="1E3197FC">
            <w:pPr>
              <w:spacing w:line="360" w:lineRule="auto"/>
              <w:ind w:left="210" w:firstLine="241" w:firstLineChars="100"/>
              <w:jc w:val="left"/>
              <w:rPr>
                <w:b/>
                <w:bCs/>
                <w:sz w:val="24"/>
              </w:rPr>
            </w:pPr>
            <w:r>
              <w:rPr>
                <w:rFonts w:hint="eastAsia"/>
                <w:b/>
                <w:bCs/>
                <w:sz w:val="24"/>
              </w:rPr>
              <w:t>（2）</w:t>
            </w:r>
            <w:r>
              <w:rPr>
                <w:b/>
                <w:bCs/>
                <w:sz w:val="24"/>
              </w:rPr>
              <w:t>固废产排计算过程简述</w:t>
            </w:r>
          </w:p>
          <w:p w14:paraId="230897B3">
            <w:pPr>
              <w:spacing w:line="360" w:lineRule="auto"/>
              <w:ind w:firstLine="480" w:firstLineChars="200"/>
              <w:rPr>
                <w:sz w:val="24"/>
              </w:rPr>
            </w:pPr>
            <w:r>
              <w:rPr>
                <w:sz w:val="24"/>
              </w:rPr>
              <w:t>①不合格产品</w:t>
            </w:r>
          </w:p>
          <w:p w14:paraId="0298A961">
            <w:pPr>
              <w:spacing w:line="360" w:lineRule="auto"/>
              <w:ind w:firstLine="480" w:firstLineChars="200"/>
              <w:rPr>
                <w:color w:val="auto"/>
                <w:sz w:val="24"/>
              </w:rPr>
            </w:pPr>
            <w:r>
              <w:rPr>
                <w:sz w:val="24"/>
              </w:rPr>
              <w:t>本项目原料单一，生产固废主要是</w:t>
            </w:r>
            <w:r>
              <w:rPr>
                <w:rFonts w:hint="eastAsia"/>
                <w:sz w:val="24"/>
              </w:rPr>
              <w:t>制棒及炭化过程中产生</w:t>
            </w:r>
            <w:r>
              <w:rPr>
                <w:sz w:val="24"/>
              </w:rPr>
              <w:t>不合格产品，</w:t>
            </w:r>
            <w:r>
              <w:rPr>
                <w:rFonts w:hint="eastAsia"/>
                <w:sz w:val="24"/>
              </w:rPr>
              <w:t>根据建设单位多</w:t>
            </w:r>
            <w:r>
              <w:rPr>
                <w:rFonts w:hint="eastAsia"/>
                <w:color w:val="auto"/>
                <w:sz w:val="24"/>
              </w:rPr>
              <w:t>年生产经验</w:t>
            </w:r>
            <w:r>
              <w:rPr>
                <w:color w:val="auto"/>
                <w:sz w:val="24"/>
              </w:rPr>
              <w:t>，不合格产品约占总产量的0.</w:t>
            </w:r>
            <w:r>
              <w:rPr>
                <w:rFonts w:hint="eastAsia"/>
                <w:color w:val="auto"/>
                <w:sz w:val="24"/>
              </w:rPr>
              <w:t>2</w:t>
            </w:r>
            <w:r>
              <w:rPr>
                <w:color w:val="auto"/>
                <w:sz w:val="24"/>
              </w:rPr>
              <w:t>%左右，则不合格产品产生量约为</w:t>
            </w:r>
            <w:r>
              <w:rPr>
                <w:rFonts w:hint="eastAsia"/>
                <w:color w:val="auto"/>
                <w:sz w:val="24"/>
                <w:lang w:val="en-US" w:eastAsia="zh-CN"/>
              </w:rPr>
              <w:t>19.2</w:t>
            </w:r>
            <w:r>
              <w:rPr>
                <w:color w:val="auto"/>
                <w:sz w:val="24"/>
              </w:rPr>
              <w:t>t/a，制棒不合格产品回收至烘干工段再次利用；</w:t>
            </w:r>
            <w:r>
              <w:rPr>
                <w:rFonts w:hint="eastAsia"/>
                <w:color w:val="auto"/>
                <w:sz w:val="24"/>
              </w:rPr>
              <w:t>炭化</w:t>
            </w:r>
            <w:r>
              <w:rPr>
                <w:color w:val="auto"/>
                <w:sz w:val="24"/>
              </w:rPr>
              <w:t>不合格产品、废料统一收集外售蚊香厂、蜂窝煤厂</w:t>
            </w:r>
            <w:r>
              <w:rPr>
                <w:rFonts w:hint="eastAsia"/>
                <w:color w:val="auto"/>
                <w:sz w:val="24"/>
              </w:rPr>
              <w:t>。</w:t>
            </w:r>
          </w:p>
          <w:p w14:paraId="48B6C280">
            <w:pPr>
              <w:pStyle w:val="11"/>
              <w:spacing w:line="360" w:lineRule="auto"/>
              <w:ind w:firstLine="480" w:firstLineChars="200"/>
              <w:rPr>
                <w:rFonts w:hint="eastAsia"/>
                <w:color w:val="auto"/>
                <w:kern w:val="52"/>
                <w:position w:val="-2"/>
                <w:sz w:val="24"/>
                <w:szCs w:val="24"/>
              </w:rPr>
            </w:pPr>
            <w:r>
              <w:rPr>
                <w:color w:val="auto"/>
                <w:sz w:val="24"/>
                <w:szCs w:val="24"/>
              </w:rPr>
              <w:t>③</w:t>
            </w:r>
            <w:r>
              <w:rPr>
                <w:rFonts w:hint="eastAsia"/>
                <w:color w:val="auto"/>
                <w:kern w:val="52"/>
                <w:position w:val="-2"/>
                <w:sz w:val="24"/>
                <w:szCs w:val="24"/>
                <w:lang w:eastAsia="zh-CN"/>
              </w:rPr>
              <w:t>布袋收集粉尘</w:t>
            </w:r>
          </w:p>
          <w:p w14:paraId="7CE03B5C">
            <w:pPr>
              <w:pStyle w:val="11"/>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烘干、制棒、炭化废气统一经</w:t>
            </w:r>
            <w:r>
              <w:rPr>
                <w:rFonts w:hint="eastAsia" w:ascii="宋体" w:hAnsi="宋体" w:eastAsia="宋体"/>
                <w:color w:val="000000" w:themeColor="text1"/>
                <w:sz w:val="24"/>
                <w:szCs w:val="24"/>
                <w14:textFill>
                  <w14:solidFill>
                    <w14:schemeClr w14:val="tx1"/>
                  </w14:solidFill>
                </w14:textFill>
              </w:rPr>
              <w:t>布袋除尘</w:t>
            </w:r>
            <w:r>
              <w:rPr>
                <w:rFonts w:hint="eastAsia" w:ascii="宋体" w:hAnsi="宋体" w:eastAsia="宋体"/>
                <w:color w:val="000000" w:themeColor="text1"/>
                <w:sz w:val="24"/>
                <w:szCs w:val="24"/>
                <w:lang w:eastAsia="zh-CN"/>
                <w14:textFill>
                  <w14:solidFill>
                    <w14:schemeClr w14:val="tx1"/>
                  </w14:solidFill>
                </w14:textFill>
              </w:rPr>
              <w:t>装置</w:t>
            </w:r>
            <w:r>
              <w:rPr>
                <w:rFonts w:hint="eastAsia"/>
                <w:color w:val="000000" w:themeColor="text1"/>
                <w:sz w:val="24"/>
                <w:szCs w:val="24"/>
                <w14:textFill>
                  <w14:solidFill>
                    <w14:schemeClr w14:val="tx1"/>
                  </w14:solidFill>
                </w14:textFill>
              </w:rPr>
              <w:t>处理后经15m高排气筒达标外排，项目总除尘效率</w:t>
            </w:r>
            <w:r>
              <w:rPr>
                <w:rFonts w:hint="eastAsia"/>
                <w:color w:val="000000" w:themeColor="text1"/>
                <w:sz w:val="24"/>
                <w:szCs w:val="24"/>
                <w:lang w:val="en-US" w:eastAsia="zh-CN"/>
                <w14:textFill>
                  <w14:solidFill>
                    <w14:schemeClr w14:val="tx1"/>
                  </w14:solidFill>
                </w14:textFill>
              </w:rPr>
              <w:t>95</w:t>
            </w:r>
            <w:r>
              <w:rPr>
                <w:rFonts w:hint="eastAsia"/>
                <w:color w:val="000000" w:themeColor="text1"/>
                <w:sz w:val="24"/>
                <w:szCs w:val="24"/>
                <w14:textFill>
                  <w14:solidFill>
                    <w14:schemeClr w14:val="tx1"/>
                  </w14:solidFill>
                </w14:textFill>
              </w:rPr>
              <w:t>%，则</w:t>
            </w:r>
            <w:r>
              <w:rPr>
                <w:rFonts w:hint="eastAsia"/>
                <w:color w:val="000000" w:themeColor="text1"/>
                <w:sz w:val="24"/>
                <w:szCs w:val="24"/>
                <w:lang w:val="en-US" w:eastAsia="zh-CN"/>
                <w14:textFill>
                  <w14:solidFill>
                    <w14:schemeClr w14:val="tx1"/>
                  </w14:solidFill>
                </w14:textFill>
              </w:rPr>
              <w:t>布袋除尘器回收粉尘为557.3</w:t>
            </w:r>
            <w:r>
              <w:rPr>
                <w:rFonts w:hint="eastAsia"/>
                <w:color w:val="000000" w:themeColor="text1"/>
                <w:sz w:val="24"/>
                <w:szCs w:val="24"/>
                <w14:textFill>
                  <w14:solidFill>
                    <w14:schemeClr w14:val="tx1"/>
                  </w14:solidFill>
                </w14:textFill>
              </w:rPr>
              <w:t>t/a，</w:t>
            </w:r>
            <w:r>
              <w:rPr>
                <w:rFonts w:hint="eastAsia"/>
                <w:color w:val="000000" w:themeColor="text1"/>
                <w:sz w:val="24"/>
                <w:szCs w:val="24"/>
                <w:lang w:val="en-US" w:eastAsia="zh-CN"/>
                <w14:textFill>
                  <w14:solidFill>
                    <w14:schemeClr w14:val="tx1"/>
                  </w14:solidFill>
                </w14:textFill>
              </w:rPr>
              <w:t>回收粉尘</w:t>
            </w:r>
            <w:r>
              <w:rPr>
                <w:rFonts w:hint="eastAsia"/>
                <w:color w:val="auto"/>
                <w:sz w:val="24"/>
                <w:szCs w:val="24"/>
                <w:highlight w:val="none"/>
                <w:lang w:val="en-US" w:eastAsia="zh-CN"/>
              </w:rPr>
              <w:t>回用生产</w:t>
            </w:r>
            <w:r>
              <w:rPr>
                <w:rFonts w:hint="eastAsia"/>
                <w:color w:val="000000" w:themeColor="text1"/>
                <w:sz w:val="24"/>
                <w:szCs w:val="24"/>
                <w14:textFill>
                  <w14:solidFill>
                    <w14:schemeClr w14:val="tx1"/>
                  </w14:solidFill>
                </w14:textFill>
              </w:rPr>
              <w:t>。</w:t>
            </w:r>
          </w:p>
          <w:p w14:paraId="1A5E5214">
            <w:pPr>
              <w:spacing w:line="360" w:lineRule="auto"/>
              <w:ind w:left="420" w:leftChars="200"/>
              <w:rPr>
                <w:color w:val="auto"/>
                <w:sz w:val="24"/>
              </w:rPr>
            </w:pPr>
            <w:r>
              <w:rPr>
                <w:rFonts w:hint="eastAsia"/>
                <w:color w:val="auto"/>
                <w:sz w:val="24"/>
              </w:rPr>
              <w:t>④</w:t>
            </w:r>
            <w:r>
              <w:rPr>
                <w:color w:val="auto"/>
                <w:sz w:val="24"/>
              </w:rPr>
              <w:t>烘干机燃烧炉炉渣</w:t>
            </w:r>
          </w:p>
          <w:p w14:paraId="13DD100F">
            <w:pPr>
              <w:spacing w:line="360" w:lineRule="auto"/>
              <w:ind w:firstLine="480" w:firstLineChars="200"/>
              <w:rPr>
                <w:sz w:val="24"/>
              </w:rPr>
            </w:pPr>
            <w:r>
              <w:rPr>
                <w:sz w:val="24"/>
              </w:rPr>
              <w:t>本项目使用</w:t>
            </w:r>
            <w:r>
              <w:rPr>
                <w:rFonts w:hint="eastAsia"/>
                <w:sz w:val="24"/>
              </w:rPr>
              <w:t>生物质作</w:t>
            </w:r>
            <w:r>
              <w:rPr>
                <w:sz w:val="24"/>
              </w:rPr>
              <w:t>为燃料，本项目每年大约耗用废边角料木料</w:t>
            </w:r>
            <w:r>
              <w:rPr>
                <w:rFonts w:hint="eastAsia"/>
                <w:sz w:val="24"/>
                <w:lang w:val="en-US" w:eastAsia="zh-CN"/>
              </w:rPr>
              <w:t>1920</w:t>
            </w:r>
            <w:r>
              <w:rPr>
                <w:sz w:val="24"/>
              </w:rPr>
              <w:t>t/a，</w:t>
            </w:r>
            <w:r>
              <w:rPr>
                <w:rFonts w:hint="eastAsia"/>
                <w:sz w:val="24"/>
              </w:rPr>
              <w:t>根据</w:t>
            </w:r>
            <w:r>
              <w:rPr>
                <w:rFonts w:hint="eastAsia"/>
                <w:sz w:val="24"/>
                <w:lang w:val="en-US" w:eastAsia="zh-CN"/>
              </w:rPr>
              <w:t>设计资料</w:t>
            </w:r>
            <w:r>
              <w:rPr>
                <w:rFonts w:hint="eastAsia"/>
                <w:sz w:val="24"/>
              </w:rPr>
              <w:t>，炉渣产生量约占燃料的1.7%，则项目炉渣产生量约为</w:t>
            </w:r>
            <w:r>
              <w:rPr>
                <w:rFonts w:hint="eastAsia"/>
                <w:sz w:val="24"/>
                <w:lang w:val="en-US" w:eastAsia="zh-CN"/>
              </w:rPr>
              <w:t>32.64</w:t>
            </w:r>
            <w:r>
              <w:rPr>
                <w:sz w:val="24"/>
              </w:rPr>
              <w:t>t/a，灰渣的主要成分为柴灰渣，具有肥力，集中装袋堆放在废料间内，由附近村民定期清运用于周边耕地及</w:t>
            </w:r>
            <w:r>
              <w:rPr>
                <w:rFonts w:hint="eastAsia"/>
                <w:sz w:val="24"/>
              </w:rPr>
              <w:t>农田</w:t>
            </w:r>
            <w:r>
              <w:rPr>
                <w:sz w:val="24"/>
              </w:rPr>
              <w:t>施肥。</w:t>
            </w:r>
          </w:p>
          <w:p w14:paraId="589E69B2">
            <w:pPr>
              <w:spacing w:line="360" w:lineRule="auto"/>
              <w:ind w:left="630"/>
              <w:rPr>
                <w:sz w:val="24"/>
              </w:rPr>
            </w:pPr>
            <w:r>
              <w:rPr>
                <w:rFonts w:hint="eastAsia"/>
                <w:sz w:val="24"/>
              </w:rPr>
              <w:t>⑤</w:t>
            </w:r>
            <w:r>
              <w:rPr>
                <w:sz w:val="24"/>
              </w:rPr>
              <w:t>生活垃圾</w:t>
            </w:r>
          </w:p>
          <w:p w14:paraId="3E4C5C6E">
            <w:pPr>
              <w:pStyle w:val="11"/>
              <w:spacing w:line="360" w:lineRule="auto"/>
              <w:ind w:firstLine="480" w:firstLineChars="200"/>
              <w:rPr>
                <w:color w:val="auto"/>
              </w:rPr>
            </w:pPr>
            <w:r>
              <w:rPr>
                <w:kern w:val="2"/>
                <w:sz w:val="24"/>
                <w:szCs w:val="24"/>
              </w:rPr>
              <w:t>生活垃圾产生量按0.5kg/d</w:t>
            </w:r>
            <w:r>
              <w:rPr>
                <w:rFonts w:hint="eastAsia"/>
                <w:kern w:val="2"/>
                <w:sz w:val="24"/>
                <w:szCs w:val="24"/>
              </w:rPr>
              <w:t>·人</w:t>
            </w:r>
            <w:r>
              <w:rPr>
                <w:kern w:val="2"/>
                <w:sz w:val="24"/>
                <w:szCs w:val="24"/>
              </w:rPr>
              <w:t>，则生活垃圾产生量为</w:t>
            </w:r>
            <w:r>
              <w:rPr>
                <w:rFonts w:hint="eastAsia"/>
                <w:kern w:val="2"/>
                <w:sz w:val="24"/>
                <w:szCs w:val="24"/>
                <w:lang w:val="en-US" w:eastAsia="zh-CN"/>
              </w:rPr>
              <w:t>22.5</w:t>
            </w:r>
            <w:r>
              <w:rPr>
                <w:kern w:val="2"/>
                <w:sz w:val="24"/>
                <w:szCs w:val="24"/>
              </w:rPr>
              <w:t>kg/d（</w:t>
            </w:r>
            <w:r>
              <w:rPr>
                <w:rFonts w:hint="eastAsia"/>
                <w:kern w:val="2"/>
                <w:sz w:val="24"/>
                <w:szCs w:val="24"/>
                <w:lang w:val="en-US" w:eastAsia="zh-CN"/>
              </w:rPr>
              <w:t>7.2</w:t>
            </w:r>
            <w:r>
              <w:rPr>
                <w:kern w:val="2"/>
                <w:sz w:val="24"/>
                <w:szCs w:val="24"/>
              </w:rPr>
              <w:t>t/a），</w:t>
            </w:r>
            <w:r>
              <w:rPr>
                <w:sz w:val="24"/>
                <w:szCs w:val="21"/>
              </w:rPr>
              <w:t>生活垃圾通过集中收集后，能回收利用部分回收，其余无法回收部分生活垃圾，</w:t>
            </w:r>
            <w:r>
              <w:rPr>
                <w:rFonts w:hint="eastAsia"/>
                <w:sz w:val="24"/>
                <w:szCs w:val="24"/>
                <w:lang w:eastAsia="zh-CN"/>
              </w:rPr>
              <w:t>委托专门负责清收处理；</w:t>
            </w:r>
            <w:r>
              <w:rPr>
                <w:sz w:val="24"/>
                <w:szCs w:val="21"/>
              </w:rPr>
              <w:t>少量食堂泔水、废油脂企业采用塑料桶分类收集后，</w:t>
            </w:r>
            <w:r>
              <w:rPr>
                <w:rFonts w:hint="eastAsia"/>
                <w:sz w:val="24"/>
                <w:szCs w:val="21"/>
                <w:lang w:eastAsia="zh-CN"/>
              </w:rPr>
              <w:t>委托</w:t>
            </w:r>
            <w:r>
              <w:rPr>
                <w:color w:val="auto"/>
                <w:sz w:val="24"/>
                <w:szCs w:val="21"/>
              </w:rPr>
              <w:t>当地相关政府部门管理要求进行处置，不外排。</w:t>
            </w:r>
            <w:r>
              <w:rPr>
                <w:rFonts w:hint="eastAsia"/>
                <w:color w:val="auto"/>
                <w:sz w:val="24"/>
                <w:szCs w:val="21"/>
              </w:rPr>
              <w:t>三级化粪池</w:t>
            </w:r>
            <w:r>
              <w:rPr>
                <w:color w:val="auto"/>
                <w:sz w:val="24"/>
                <w:szCs w:val="21"/>
              </w:rPr>
              <w:t>污泥定期由附近的村民进行清掏作为农家肥使用。</w:t>
            </w:r>
          </w:p>
          <w:p w14:paraId="6DC7CA29">
            <w:pPr>
              <w:adjustRightInd w:val="0"/>
              <w:snapToGrid w:val="0"/>
              <w:spacing w:line="360" w:lineRule="auto"/>
              <w:ind w:firstLine="360" w:firstLineChars="150"/>
              <w:rPr>
                <w:color w:val="auto"/>
                <w:sz w:val="24"/>
              </w:rPr>
            </w:pPr>
            <w:r>
              <w:rPr>
                <w:rFonts w:hint="eastAsia"/>
                <w:color w:val="auto"/>
                <w:sz w:val="24"/>
              </w:rPr>
              <w:t>⑥</w:t>
            </w:r>
            <w:r>
              <w:rPr>
                <w:color w:val="auto"/>
                <w:sz w:val="24"/>
              </w:rPr>
              <w:t>废机油、含油废抹布</w:t>
            </w:r>
          </w:p>
          <w:p w14:paraId="69ACE977">
            <w:pPr>
              <w:adjustRightInd w:val="0"/>
              <w:snapToGrid w:val="0"/>
              <w:spacing w:line="360" w:lineRule="auto"/>
              <w:ind w:firstLine="360" w:firstLineChars="150"/>
              <w:rPr>
                <w:color w:val="auto"/>
                <w:sz w:val="24"/>
              </w:rPr>
            </w:pPr>
            <w:r>
              <w:rPr>
                <w:color w:val="auto"/>
                <w:sz w:val="24"/>
              </w:rPr>
              <w:t>考虑项目在运行过程中会定期对机械设备进行维修保养，因此会产生少量的废机油（HW08，</w:t>
            </w:r>
            <w:r>
              <w:rPr>
                <w:bCs/>
                <w:color w:val="auto"/>
                <w:sz w:val="24"/>
              </w:rPr>
              <w:t>废机油废物代码900-214-08</w:t>
            </w:r>
            <w:r>
              <w:rPr>
                <w:color w:val="auto"/>
                <w:sz w:val="24"/>
              </w:rPr>
              <w:t>），约</w:t>
            </w:r>
            <w:r>
              <w:rPr>
                <w:rFonts w:hint="eastAsia"/>
                <w:color w:val="auto"/>
                <w:sz w:val="24"/>
              </w:rPr>
              <w:t>50</w:t>
            </w:r>
            <w:r>
              <w:rPr>
                <w:color w:val="auto"/>
                <w:sz w:val="24"/>
              </w:rPr>
              <w:t>kg/a</w:t>
            </w:r>
            <w:r>
              <w:rPr>
                <w:rFonts w:hint="eastAsia"/>
                <w:color w:val="auto"/>
                <w:sz w:val="24"/>
              </w:rPr>
              <w:t>；</w:t>
            </w:r>
            <w:r>
              <w:rPr>
                <w:color w:val="auto"/>
                <w:sz w:val="24"/>
              </w:rPr>
              <w:t>含油抹布产生量约为5kg/a（HW49），收集后暂存于危废暂存间，后交有相应危废处置资质的单位安全处置。</w:t>
            </w:r>
          </w:p>
          <w:p w14:paraId="1E3A2081">
            <w:pPr>
              <w:spacing w:line="360" w:lineRule="auto"/>
              <w:ind w:firstLine="442" w:firstLineChars="200"/>
              <w:jc w:val="left"/>
              <w:rPr>
                <w:color w:val="auto"/>
                <w:sz w:val="24"/>
              </w:rPr>
            </w:pPr>
            <w:r>
              <w:rPr>
                <w:b/>
                <w:bCs/>
                <w:color w:val="auto"/>
                <w:spacing w:val="-10"/>
                <w:sz w:val="24"/>
              </w:rPr>
              <w:t>（3）</w:t>
            </w:r>
            <w:r>
              <w:rPr>
                <w:rFonts w:hint="eastAsia"/>
                <w:b/>
                <w:bCs/>
                <w:color w:val="auto"/>
                <w:spacing w:val="-10"/>
                <w:sz w:val="24"/>
              </w:rPr>
              <w:t>一般固废</w:t>
            </w:r>
            <w:r>
              <w:rPr>
                <w:b/>
                <w:bCs/>
                <w:color w:val="auto"/>
                <w:spacing w:val="-10"/>
                <w:sz w:val="24"/>
              </w:rPr>
              <w:t>环境管理要求</w:t>
            </w:r>
          </w:p>
          <w:p w14:paraId="65352366">
            <w:pPr>
              <w:pStyle w:val="22"/>
              <w:spacing w:after="0" w:line="360" w:lineRule="auto"/>
              <w:ind w:left="0" w:leftChars="0" w:firstLine="480" w:firstLineChars="200"/>
              <w:jc w:val="left"/>
              <w:rPr>
                <w:color w:val="auto"/>
                <w:sz w:val="24"/>
              </w:rPr>
            </w:pPr>
            <w:r>
              <w:rPr>
                <w:color w:val="auto"/>
                <w:sz w:val="24"/>
              </w:rPr>
              <w:t>①</w:t>
            </w:r>
            <w:r>
              <w:rPr>
                <w:rFonts w:hint="eastAsia"/>
                <w:color w:val="auto"/>
                <w:sz w:val="24"/>
              </w:rPr>
              <w:t>在生产车间北侧设置1个半封闭一般固废暂存间；</w:t>
            </w:r>
            <w:r>
              <w:rPr>
                <w:color w:val="auto"/>
                <w:sz w:val="24"/>
              </w:rPr>
              <w:t>固体废物贮存、处置按《环境保护图形标志—固体废物贮存（处置）场》（GB 15562.2-1995）修改单</w:t>
            </w:r>
            <w:r>
              <w:rPr>
                <w:rFonts w:hint="eastAsia"/>
                <w:color w:val="auto"/>
                <w:sz w:val="24"/>
              </w:rPr>
              <w:t>，</w:t>
            </w:r>
            <w:r>
              <w:rPr>
                <w:color w:val="auto"/>
                <w:sz w:val="24"/>
              </w:rPr>
              <w:t>设置图形标志。标识标志正确、清晰、完好。</w:t>
            </w:r>
          </w:p>
          <w:p w14:paraId="41D3B5A3">
            <w:pPr>
              <w:pStyle w:val="22"/>
              <w:spacing w:after="0" w:line="360" w:lineRule="auto"/>
              <w:ind w:left="0" w:leftChars="0" w:firstLine="480" w:firstLineChars="200"/>
              <w:jc w:val="left"/>
              <w:rPr>
                <w:color w:val="auto"/>
                <w:sz w:val="24"/>
              </w:rPr>
            </w:pPr>
            <w:r>
              <w:rPr>
                <w:color w:val="auto"/>
                <w:sz w:val="24"/>
              </w:rPr>
              <w:t>②根据《一般工业固体废物贮存</w:t>
            </w:r>
            <w:r>
              <w:rPr>
                <w:color w:val="auto"/>
                <w:sz w:val="24"/>
                <w:szCs w:val="22"/>
              </w:rPr>
              <w:t>和填埋污染物控制标准</w:t>
            </w:r>
            <w:r>
              <w:rPr>
                <w:color w:val="auto"/>
                <w:sz w:val="24"/>
              </w:rPr>
              <w:t>》（GB18599-2020）的相关要求，为防止雨水径流进入固体废物堆放区内，则堆放区周边应合理设置雨水沟渠；企业加强监督管理，禁止和生活垃圾混入；企业应建立检查维护制度，发现厂区固体废物堆放混乱，应及时采取必要措施，</w:t>
            </w:r>
            <w:r>
              <w:rPr>
                <w:rFonts w:hint="eastAsia"/>
                <w:color w:val="auto"/>
                <w:sz w:val="24"/>
              </w:rPr>
              <w:t>以</w:t>
            </w:r>
            <w:r>
              <w:rPr>
                <w:color w:val="auto"/>
                <w:sz w:val="24"/>
              </w:rPr>
              <w:t>保障正常运行。</w:t>
            </w:r>
          </w:p>
          <w:p w14:paraId="4EF90830">
            <w:pPr>
              <w:pStyle w:val="11"/>
              <w:spacing w:line="360" w:lineRule="auto"/>
              <w:ind w:firstLine="480" w:firstLineChars="200"/>
              <w:rPr>
                <w:color w:val="auto"/>
                <w:sz w:val="24"/>
              </w:rPr>
            </w:pPr>
            <w:r>
              <w:rPr>
                <w:color w:val="auto"/>
                <w:sz w:val="24"/>
                <w:szCs w:val="24"/>
              </w:rPr>
              <w:t>③完善雨污分流，为防止雨水径流进入</w:t>
            </w:r>
            <w:r>
              <w:rPr>
                <w:rFonts w:hint="eastAsia"/>
                <w:color w:val="auto"/>
                <w:sz w:val="24"/>
                <w:szCs w:val="24"/>
              </w:rPr>
              <w:t>，</w:t>
            </w:r>
            <w:r>
              <w:rPr>
                <w:color w:val="auto"/>
                <w:sz w:val="24"/>
                <w:szCs w:val="24"/>
              </w:rPr>
              <w:t>做好"三防"（防雨、防渗、防漏）措施，搭建顶棚、三面围挡、地面硬化；</w:t>
            </w:r>
            <w:r>
              <w:rPr>
                <w:color w:val="auto"/>
                <w:sz w:val="24"/>
              </w:rPr>
              <w:t>储存区远离火种、热源</w:t>
            </w:r>
            <w:r>
              <w:rPr>
                <w:rFonts w:hint="eastAsia"/>
                <w:color w:val="auto"/>
                <w:sz w:val="24"/>
              </w:rPr>
              <w:t>；</w:t>
            </w:r>
            <w:r>
              <w:rPr>
                <w:color w:val="auto"/>
                <w:sz w:val="24"/>
              </w:rPr>
              <w:t>配备相应品种和数量的消防器材。</w:t>
            </w:r>
          </w:p>
          <w:p w14:paraId="1E69A816">
            <w:pPr>
              <w:pStyle w:val="22"/>
              <w:adjustRightInd w:val="0"/>
              <w:snapToGrid w:val="0"/>
              <w:spacing w:after="0" w:line="360" w:lineRule="auto"/>
              <w:ind w:left="0" w:leftChars="0" w:firstLine="482" w:firstLineChars="200"/>
              <w:jc w:val="left"/>
              <w:rPr>
                <w:b/>
                <w:bCs/>
                <w:color w:val="auto"/>
                <w:sz w:val="24"/>
                <w:szCs w:val="21"/>
              </w:rPr>
            </w:pPr>
            <w:r>
              <w:rPr>
                <w:rFonts w:hint="eastAsia"/>
                <w:b/>
                <w:bCs/>
                <w:color w:val="auto"/>
                <w:sz w:val="24"/>
                <w:szCs w:val="21"/>
              </w:rPr>
              <w:t>（4）</w:t>
            </w:r>
            <w:r>
              <w:rPr>
                <w:b/>
                <w:bCs/>
                <w:color w:val="auto"/>
                <w:sz w:val="24"/>
                <w:szCs w:val="21"/>
              </w:rPr>
              <w:t>危险废物的</w:t>
            </w:r>
            <w:r>
              <w:rPr>
                <w:rFonts w:hint="eastAsia"/>
                <w:b/>
                <w:bCs/>
                <w:color w:val="auto"/>
                <w:sz w:val="24"/>
                <w:szCs w:val="21"/>
              </w:rPr>
              <w:t>贮存</w:t>
            </w:r>
            <w:r>
              <w:rPr>
                <w:b/>
                <w:bCs/>
                <w:color w:val="auto"/>
                <w:sz w:val="24"/>
                <w:szCs w:val="21"/>
              </w:rPr>
              <w:t>要求</w:t>
            </w:r>
          </w:p>
          <w:p w14:paraId="422EE0FF">
            <w:pPr>
              <w:pStyle w:val="12"/>
              <w:spacing w:line="360" w:lineRule="auto"/>
              <w:ind w:firstLine="480" w:firstLineChars="200"/>
              <w:rPr>
                <w:rFonts w:ascii="Times New Roman" w:hAnsi="Times New Roman"/>
                <w:kern w:val="0"/>
                <w:sz w:val="24"/>
                <w:szCs w:val="24"/>
                <w:lang w:bidi="ar"/>
              </w:rPr>
            </w:pPr>
            <w:r>
              <w:rPr>
                <w:rFonts w:ascii="Times New Roman" w:hAnsi="Times New Roman"/>
                <w:color w:val="auto"/>
                <w:sz w:val="24"/>
                <w:szCs w:val="24"/>
              </w:rPr>
              <w:t>项目产生的</w:t>
            </w:r>
            <w:r>
              <w:rPr>
                <w:rFonts w:hint="eastAsia" w:ascii="Times New Roman" w:hAnsi="Times New Roman"/>
                <w:color w:val="auto"/>
                <w:sz w:val="24"/>
                <w:szCs w:val="24"/>
              </w:rPr>
              <w:t>废机油属于</w:t>
            </w:r>
            <w:r>
              <w:rPr>
                <w:rFonts w:ascii="Times New Roman" w:hAnsi="Times New Roman"/>
                <w:color w:val="auto"/>
                <w:sz w:val="24"/>
                <w:szCs w:val="24"/>
              </w:rPr>
              <w:t>危险废物</w:t>
            </w:r>
            <w:r>
              <w:rPr>
                <w:rFonts w:hint="eastAsia" w:ascii="Times New Roman" w:hAnsi="Times New Roman"/>
                <w:color w:val="auto"/>
                <w:sz w:val="24"/>
                <w:szCs w:val="24"/>
              </w:rPr>
              <w:t>，应严格按照要求委托有</w:t>
            </w:r>
            <w:r>
              <w:rPr>
                <w:rFonts w:hint="eastAsia" w:ascii="Times New Roman" w:hAnsi="Times New Roman"/>
                <w:sz w:val="24"/>
                <w:szCs w:val="24"/>
              </w:rPr>
              <w:t>资质单位进行回收处置，</w:t>
            </w:r>
            <w:r>
              <w:rPr>
                <w:rFonts w:ascii="Times New Roman" w:hAnsi="Times New Roman"/>
                <w:sz w:val="24"/>
                <w:szCs w:val="24"/>
              </w:rPr>
              <w:t>建设单位需与有</w:t>
            </w:r>
            <w:r>
              <w:rPr>
                <w:rFonts w:hint="eastAsia" w:ascii="Times New Roman" w:hAnsi="Times New Roman"/>
                <w:sz w:val="24"/>
                <w:szCs w:val="24"/>
              </w:rPr>
              <w:t>资质单位</w:t>
            </w:r>
            <w:r>
              <w:rPr>
                <w:rFonts w:ascii="Times New Roman" w:hAnsi="Times New Roman"/>
                <w:sz w:val="24"/>
                <w:szCs w:val="24"/>
              </w:rPr>
              <w:t>签订危险废物处置协议书，将危险废物委托有危险废物处置资质的公司进行安全处置，使项目产生的危险废物能得到妥善</w:t>
            </w:r>
            <w:r>
              <w:rPr>
                <w:rFonts w:hint="eastAsia" w:ascii="Times New Roman" w:hAnsi="Times New Roman"/>
                <w:sz w:val="24"/>
                <w:szCs w:val="24"/>
                <w:lang w:eastAsia="zh-CN"/>
              </w:rPr>
              <w:t>的</w:t>
            </w:r>
            <w:r>
              <w:rPr>
                <w:rFonts w:ascii="Times New Roman" w:hAnsi="Times New Roman"/>
                <w:sz w:val="24"/>
                <w:szCs w:val="24"/>
              </w:rPr>
              <w:t>处置，不会产生流入环境的危险。</w:t>
            </w:r>
            <w:r>
              <w:rPr>
                <w:rFonts w:ascii="Times New Roman" w:hAnsi="Times New Roman"/>
                <w:kern w:val="0"/>
                <w:sz w:val="24"/>
                <w:szCs w:val="24"/>
                <w:lang w:bidi="ar"/>
              </w:rPr>
              <w:t>建设方应按《危险废物贮存污染控制标准》（GB18597-2023）相关要求，规范建设危废暂存间1间，建筑面积</w:t>
            </w:r>
            <w:r>
              <w:rPr>
                <w:rFonts w:hint="eastAsia" w:ascii="Times New Roman" w:hAnsi="Times New Roman"/>
                <w:kern w:val="0"/>
                <w:sz w:val="24"/>
                <w:szCs w:val="24"/>
                <w:lang w:bidi="ar"/>
              </w:rPr>
              <w:t>10</w:t>
            </w:r>
            <w:r>
              <w:rPr>
                <w:rFonts w:ascii="Times New Roman" w:hAnsi="Times New Roman"/>
                <w:kern w:val="0"/>
                <w:sz w:val="24"/>
                <w:szCs w:val="24"/>
                <w:lang w:bidi="ar"/>
              </w:rPr>
              <w:t>m</w:t>
            </w:r>
            <w:r>
              <w:rPr>
                <w:rFonts w:ascii="Times New Roman" w:hAnsi="Times New Roman"/>
                <w:kern w:val="0"/>
                <w:sz w:val="24"/>
                <w:szCs w:val="24"/>
                <w:vertAlign w:val="superscript"/>
                <w:lang w:bidi="ar"/>
              </w:rPr>
              <w:t>2</w:t>
            </w:r>
            <w:r>
              <w:rPr>
                <w:rFonts w:ascii="Times New Roman" w:hAnsi="Times New Roman"/>
                <w:kern w:val="0"/>
                <w:sz w:val="24"/>
                <w:szCs w:val="24"/>
                <w:lang w:bidi="ar"/>
              </w:rPr>
              <w:t>。</w:t>
            </w:r>
          </w:p>
          <w:p w14:paraId="10D181BB">
            <w:pPr>
              <w:adjustRightInd w:val="0"/>
              <w:snapToGrid w:val="0"/>
              <w:spacing w:line="360" w:lineRule="auto"/>
              <w:ind w:firstLine="480"/>
              <w:rPr>
                <w:sz w:val="24"/>
              </w:rPr>
            </w:pPr>
            <w:r>
              <w:rPr>
                <w:sz w:val="24"/>
              </w:rPr>
              <w:t>A.贮存设施污染控制要求：</w:t>
            </w:r>
          </w:p>
          <w:p w14:paraId="675D87FE">
            <w:pPr>
              <w:adjustRightInd w:val="0"/>
              <w:snapToGrid w:val="0"/>
              <w:spacing w:line="360" w:lineRule="auto"/>
              <w:ind w:firstLine="480"/>
              <w:rPr>
                <w:rFonts w:hint="eastAsia"/>
                <w:sz w:val="24"/>
              </w:rPr>
            </w:pPr>
            <w:r>
              <w:rPr>
                <w:sz w:val="24"/>
              </w:rPr>
              <w:t>①</w:t>
            </w:r>
            <w:r>
              <w:rPr>
                <w:rFonts w:hint="eastAsia"/>
                <w:sz w:val="24"/>
              </w:rPr>
              <w:t>贮存设施应根据危险废物的形态、物理化学性质、包装形式和污染物迁移途径，采取必要的防风、防晒、防雨、防漏、防渗、防腐以及其他环境污染防治措施，不应露天堆放危险废物。</w:t>
            </w:r>
          </w:p>
          <w:p w14:paraId="4535B7C0">
            <w:pPr>
              <w:adjustRightInd w:val="0"/>
              <w:snapToGrid w:val="0"/>
              <w:spacing w:line="360" w:lineRule="auto"/>
              <w:ind w:firstLine="480"/>
              <w:rPr>
                <w:rFonts w:hint="eastAsia"/>
                <w:sz w:val="24"/>
              </w:rPr>
            </w:pPr>
            <w:r>
              <w:rPr>
                <w:sz w:val="24"/>
              </w:rPr>
              <w:t>②</w:t>
            </w:r>
            <w:r>
              <w:rPr>
                <w:rFonts w:hint="eastAsia"/>
                <w:sz w:val="24"/>
              </w:rPr>
              <w:t>贮存设施应根据危险废物的类别、数量、形态、物理化学性质和污染防治等要求设置必要的贮存分区，避免不相容的危险废物接触、混合。</w:t>
            </w:r>
          </w:p>
          <w:p w14:paraId="14D51C39">
            <w:pPr>
              <w:adjustRightInd w:val="0"/>
              <w:snapToGrid w:val="0"/>
              <w:spacing w:line="360" w:lineRule="auto"/>
              <w:ind w:firstLine="480"/>
              <w:rPr>
                <w:sz w:val="24"/>
              </w:rPr>
            </w:pPr>
            <w:r>
              <w:rPr>
                <w:sz w:val="24"/>
              </w:rPr>
              <w:t>③</w:t>
            </w:r>
            <w:r>
              <w:rPr>
                <w:rFonts w:hint="eastAsia"/>
                <w:sz w:val="24"/>
              </w:rPr>
              <w:t>贮存设施或贮存分区内的地面、墙面裙脚、堵截泄漏的围堰、接触危险废物的隔板和墙体等应采用坚固的材料建造，表面无裂缝。</w:t>
            </w:r>
          </w:p>
          <w:p w14:paraId="7DC3C448">
            <w:pPr>
              <w:adjustRightInd w:val="0"/>
              <w:snapToGrid w:val="0"/>
              <w:spacing w:line="360" w:lineRule="auto"/>
              <w:ind w:firstLine="480"/>
              <w:rPr>
                <w:rFonts w:hint="eastAsia"/>
                <w:sz w:val="24"/>
              </w:rPr>
            </w:pPr>
            <w:r>
              <w:rPr>
                <w:rFonts w:hint="eastAsia"/>
                <w:sz w:val="24"/>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至少1m厚黏土层（渗透系数≤10</w:t>
            </w:r>
            <w:r>
              <w:rPr>
                <w:rFonts w:hint="eastAsia"/>
                <w:sz w:val="24"/>
                <w:vertAlign w:val="superscript"/>
              </w:rPr>
              <w:t>-7</w:t>
            </w:r>
            <w:r>
              <w:rPr>
                <w:rFonts w:hint="eastAsia"/>
                <w:sz w:val="24"/>
              </w:rPr>
              <w:t>cm/s），或至少2mm厚高密度聚乙烯膜等人工防渗材料（渗透系数不大于10</w:t>
            </w:r>
            <w:r>
              <w:rPr>
                <w:rFonts w:hint="eastAsia"/>
                <w:sz w:val="24"/>
                <w:vertAlign w:val="superscript"/>
              </w:rPr>
              <w:t>-10</w:t>
            </w:r>
            <w:r>
              <w:rPr>
                <w:rFonts w:hint="eastAsia"/>
                <w:sz w:val="24"/>
              </w:rPr>
              <w:t>cm/s），或其他防渗性能等效的材料。</w:t>
            </w:r>
          </w:p>
          <w:p w14:paraId="592C183F">
            <w:pPr>
              <w:adjustRightInd w:val="0"/>
              <w:snapToGrid w:val="0"/>
              <w:spacing w:line="360" w:lineRule="auto"/>
              <w:ind w:firstLine="480"/>
              <w:rPr>
                <w:rFonts w:hint="eastAsia"/>
                <w:sz w:val="24"/>
              </w:rPr>
            </w:pPr>
            <w:r>
              <w:rPr>
                <w:rFonts w:hint="eastAsia"/>
                <w:sz w:val="24"/>
              </w:rPr>
              <w:t>⑤同一贮存设施宜采用相同的防渗、防腐工艺（包括防渗、防腐结构或材料），防渗、防腐材料应覆盖所有可能与废物及其渗滤液、渗漏液等接触的构筑物表面；采用不同防渗、防腐工艺应分别建设贮存分区。</w:t>
            </w:r>
          </w:p>
          <w:p w14:paraId="0107C134">
            <w:pPr>
              <w:adjustRightInd w:val="0"/>
              <w:snapToGrid w:val="0"/>
              <w:spacing w:line="360" w:lineRule="auto"/>
              <w:ind w:firstLine="480"/>
              <w:rPr>
                <w:rFonts w:hint="eastAsia"/>
                <w:sz w:val="24"/>
              </w:rPr>
            </w:pPr>
            <w:r>
              <w:rPr>
                <w:rFonts w:hint="eastAsia"/>
                <w:sz w:val="24"/>
              </w:rPr>
              <w:t>⑥贮存设施应采取技术和管理措施防止无关人员进入。</w:t>
            </w:r>
          </w:p>
          <w:p w14:paraId="5A2D1127">
            <w:pPr>
              <w:adjustRightInd w:val="0"/>
              <w:snapToGrid w:val="0"/>
              <w:spacing w:line="360" w:lineRule="auto"/>
              <w:ind w:firstLine="480"/>
              <w:rPr>
                <w:sz w:val="24"/>
              </w:rPr>
            </w:pPr>
            <w:r>
              <w:rPr>
                <w:rFonts w:hint="eastAsia"/>
                <w:sz w:val="24"/>
              </w:rPr>
              <w:t>B.废机油容器污染控制要求如下：</w:t>
            </w:r>
          </w:p>
          <w:p w14:paraId="68D9A68B">
            <w:pPr>
              <w:adjustRightInd w:val="0"/>
              <w:snapToGrid w:val="0"/>
              <w:spacing w:line="360" w:lineRule="auto"/>
              <w:ind w:firstLine="480"/>
              <w:rPr>
                <w:rFonts w:hint="eastAsia"/>
                <w:sz w:val="24"/>
              </w:rPr>
            </w:pPr>
            <w:r>
              <w:rPr>
                <w:sz w:val="24"/>
              </w:rPr>
              <w:t>①</w:t>
            </w:r>
            <w:r>
              <w:rPr>
                <w:rFonts w:hint="eastAsia"/>
                <w:sz w:val="24"/>
              </w:rPr>
              <w:t>容器材质、内衬应与盛装的危险废物相容。</w:t>
            </w:r>
          </w:p>
          <w:p w14:paraId="7D3802CA">
            <w:pPr>
              <w:adjustRightInd w:val="0"/>
              <w:snapToGrid w:val="0"/>
              <w:spacing w:line="360" w:lineRule="auto"/>
              <w:ind w:firstLine="480"/>
              <w:rPr>
                <w:rFonts w:hint="eastAsia"/>
                <w:sz w:val="24"/>
              </w:rPr>
            </w:pPr>
            <w:r>
              <w:rPr>
                <w:sz w:val="24"/>
              </w:rPr>
              <w:t>②</w:t>
            </w:r>
            <w:r>
              <w:rPr>
                <w:rFonts w:hint="eastAsia"/>
                <w:sz w:val="24"/>
              </w:rPr>
              <w:t>容器应满足相应的防渗、防漏、防腐和强度等要求。</w:t>
            </w:r>
          </w:p>
          <w:p w14:paraId="2B9E8BCA">
            <w:pPr>
              <w:adjustRightInd w:val="0"/>
              <w:snapToGrid w:val="0"/>
              <w:spacing w:line="360" w:lineRule="auto"/>
              <w:ind w:firstLine="480"/>
              <w:rPr>
                <w:rFonts w:hint="eastAsia"/>
                <w:sz w:val="24"/>
              </w:rPr>
            </w:pPr>
            <w:r>
              <w:rPr>
                <w:sz w:val="24"/>
              </w:rPr>
              <w:t>③</w:t>
            </w:r>
            <w:r>
              <w:rPr>
                <w:rFonts w:hint="eastAsia"/>
                <w:sz w:val="24"/>
              </w:rPr>
              <w:t>硬质容器不应有明显变形，无破损泄漏。</w:t>
            </w:r>
          </w:p>
          <w:p w14:paraId="38C069E7">
            <w:pPr>
              <w:adjustRightInd w:val="0"/>
              <w:snapToGrid w:val="0"/>
              <w:spacing w:line="360" w:lineRule="auto"/>
              <w:ind w:firstLine="480"/>
              <w:rPr>
                <w:rFonts w:hint="eastAsia"/>
                <w:sz w:val="24"/>
              </w:rPr>
            </w:pPr>
            <w:r>
              <w:rPr>
                <w:rFonts w:hint="eastAsia"/>
                <w:sz w:val="24"/>
              </w:rPr>
              <w:t>④使用容器盛装时，容器内部应留有适当的空间，以适应因温度变化等可能引发的收缩和膨胀，防止其导致容器渗漏或永久变形。</w:t>
            </w:r>
          </w:p>
          <w:p w14:paraId="6121D38E">
            <w:pPr>
              <w:adjustRightInd w:val="0"/>
              <w:snapToGrid w:val="0"/>
              <w:spacing w:line="360" w:lineRule="auto"/>
              <w:ind w:firstLine="480"/>
              <w:rPr>
                <w:sz w:val="24"/>
              </w:rPr>
            </w:pPr>
            <w:r>
              <w:rPr>
                <w:rFonts w:hint="eastAsia"/>
                <w:sz w:val="24"/>
              </w:rPr>
              <w:t>⑤容器外表面应保持清洁。</w:t>
            </w:r>
          </w:p>
          <w:p w14:paraId="0DE1C0ED">
            <w:pPr>
              <w:numPr>
                <w:ilvl w:val="0"/>
                <w:numId w:val="8"/>
              </w:numPr>
              <w:adjustRightInd w:val="0"/>
              <w:snapToGrid w:val="0"/>
              <w:spacing w:line="360" w:lineRule="auto"/>
              <w:ind w:firstLine="480"/>
              <w:rPr>
                <w:rFonts w:hint="eastAsia"/>
                <w:sz w:val="24"/>
              </w:rPr>
            </w:pPr>
            <w:r>
              <w:rPr>
                <w:rFonts w:hint="eastAsia"/>
                <w:sz w:val="24"/>
              </w:rPr>
              <w:t>贮存过程污染控制要求：</w:t>
            </w:r>
          </w:p>
          <w:p w14:paraId="53E6E2A0">
            <w:pPr>
              <w:adjustRightInd w:val="0"/>
              <w:snapToGrid w:val="0"/>
              <w:spacing w:line="360" w:lineRule="auto"/>
              <w:ind w:firstLine="480"/>
              <w:rPr>
                <w:rFonts w:hint="eastAsia"/>
                <w:sz w:val="24"/>
              </w:rPr>
            </w:pPr>
            <w:r>
              <w:rPr>
                <w:sz w:val="24"/>
              </w:rPr>
              <w:t>①</w:t>
            </w:r>
            <w:r>
              <w:rPr>
                <w:rFonts w:hint="eastAsia"/>
                <w:sz w:val="24"/>
              </w:rPr>
              <w:t>危险废物存入贮存设施前应对危险废物类别和特性与危险废物标签等。</w:t>
            </w:r>
          </w:p>
          <w:p w14:paraId="4F4A4D54">
            <w:pPr>
              <w:adjustRightInd w:val="0"/>
              <w:snapToGrid w:val="0"/>
              <w:spacing w:line="360" w:lineRule="auto"/>
              <w:ind w:firstLine="480"/>
              <w:rPr>
                <w:rFonts w:hint="eastAsia"/>
                <w:sz w:val="24"/>
              </w:rPr>
            </w:pPr>
            <w:r>
              <w:rPr>
                <w:sz w:val="24"/>
              </w:rPr>
              <w:t>②</w:t>
            </w:r>
            <w:r>
              <w:rPr>
                <w:rFonts w:hint="eastAsia"/>
                <w:sz w:val="24"/>
              </w:rPr>
              <w:t>应定期检查危险废物的贮存状况，及时清理贮存设施地面，更换破损泄漏的危险废物贮存容器，保证堆存危险废物的防雨、防风、防扬尘等设施功能完好。</w:t>
            </w:r>
          </w:p>
          <w:p w14:paraId="4E5B79C0">
            <w:pPr>
              <w:adjustRightInd w:val="0"/>
              <w:snapToGrid w:val="0"/>
              <w:spacing w:line="360" w:lineRule="auto"/>
              <w:ind w:firstLine="480"/>
              <w:rPr>
                <w:rFonts w:hint="eastAsia"/>
                <w:sz w:val="24"/>
              </w:rPr>
            </w:pPr>
            <w:r>
              <w:rPr>
                <w:sz w:val="24"/>
              </w:rPr>
              <w:t>③</w:t>
            </w:r>
            <w:r>
              <w:rPr>
                <w:rFonts w:hint="eastAsia"/>
                <w:sz w:val="24"/>
              </w:rPr>
              <w:t>作业设备及车辆等结束作业离开贮存设施时，应对其残留的危废进行清理，清理的废物或清洗废水应收集处理。</w:t>
            </w:r>
          </w:p>
          <w:p w14:paraId="5BFCD759">
            <w:pPr>
              <w:adjustRightInd w:val="0"/>
              <w:snapToGrid w:val="0"/>
              <w:spacing w:line="360" w:lineRule="auto"/>
              <w:ind w:firstLine="480"/>
              <w:rPr>
                <w:rFonts w:hint="eastAsia"/>
                <w:sz w:val="24"/>
              </w:rPr>
            </w:pPr>
            <w:r>
              <w:rPr>
                <w:rFonts w:hint="eastAsia"/>
                <w:sz w:val="24"/>
              </w:rPr>
              <w:t>④贮存设施运行期间，应按国家有关标准和规定建立危险废物管理台账并保存。</w:t>
            </w:r>
          </w:p>
          <w:p w14:paraId="4A8AFCDD">
            <w:pPr>
              <w:adjustRightInd w:val="0"/>
              <w:snapToGrid w:val="0"/>
              <w:spacing w:line="360" w:lineRule="auto"/>
              <w:ind w:firstLine="240" w:firstLineChars="100"/>
              <w:rPr>
                <w:rFonts w:hint="eastAsia"/>
                <w:sz w:val="24"/>
              </w:rPr>
            </w:pPr>
            <w:r>
              <w:rPr>
                <w:rFonts w:hint="eastAsia"/>
                <w:sz w:val="24"/>
              </w:rPr>
              <w:t xml:space="preserve"> ⑤贮存设施所有运行者或运营者应建立贮存设施环境管理制度、管理人员岗位职责制度、设施运行操作制度、人员岗位培训制度等。</w:t>
            </w:r>
          </w:p>
          <w:p w14:paraId="4290553E">
            <w:pPr>
              <w:adjustRightInd w:val="0"/>
              <w:snapToGrid w:val="0"/>
              <w:spacing w:line="360" w:lineRule="auto"/>
              <w:ind w:firstLine="480"/>
              <w:rPr>
                <w:rFonts w:hint="eastAsia"/>
                <w:sz w:val="24"/>
              </w:rPr>
            </w:pPr>
            <w:r>
              <w:rPr>
                <w:rFonts w:hint="eastAsia"/>
                <w:sz w:val="24"/>
              </w:rPr>
              <w:t>⑥贮存设施所有者或运营者应依据国家土壤和地下水防治的有关规定，结合贮存设施特点建立土壤和地下水污染隐患排查制度，并定期开展隐患排查；发现隐患应及时采取措施消除隐患，并建立档案。</w:t>
            </w:r>
          </w:p>
          <w:p w14:paraId="55AD492E">
            <w:pPr>
              <w:adjustRightInd w:val="0"/>
              <w:snapToGrid w:val="0"/>
              <w:spacing w:line="360" w:lineRule="auto"/>
              <w:ind w:firstLine="480"/>
            </w:pPr>
            <w:r>
              <w:rPr>
                <w:rFonts w:hint="eastAsia" w:ascii="微软雅黑" w:hAnsi="微软雅黑" w:eastAsia="微软雅黑" w:cs="微软雅黑"/>
                <w:sz w:val="24"/>
              </w:rPr>
              <w:t>⑦</w:t>
            </w:r>
            <w:r>
              <w:rPr>
                <w:rFonts w:hint="eastAsia"/>
                <w:sz w:val="24"/>
              </w:rPr>
              <w:t xml:space="preserve">贮存设施所有者或运营者应建立贮存设施全部档案，包括设计、施工、验收、运行、监测和环境应急等，应按国家有关档案管理的法律法规进行整理和归档。   </w:t>
            </w:r>
          </w:p>
          <w:p w14:paraId="33D64A32">
            <w:pPr>
              <w:pStyle w:val="21"/>
              <w:snapToGrid/>
              <w:spacing w:before="0" w:after="0" w:line="360" w:lineRule="auto"/>
              <w:ind w:right="0" w:firstLine="442" w:firstLineChars="200"/>
              <w:jc w:val="left"/>
              <w:rPr>
                <w:rFonts w:hint="eastAsia" w:ascii="宋体" w:hAnsi="宋体" w:cs="宋体"/>
                <w:b/>
                <w:bCs/>
                <w:sz w:val="24"/>
              </w:rPr>
            </w:pPr>
            <w:r>
              <w:rPr>
                <w:rFonts w:hint="eastAsia" w:ascii="宋体" w:hAnsi="宋体" w:cs="宋体"/>
                <w:b/>
                <w:bCs/>
                <w:spacing w:val="-10"/>
                <w:sz w:val="24"/>
              </w:rPr>
              <w:t>（5）固体废物环境影响结论</w:t>
            </w:r>
          </w:p>
          <w:p w14:paraId="1CF822FE">
            <w:pPr>
              <w:widowControl/>
              <w:spacing w:line="360" w:lineRule="auto"/>
              <w:ind w:firstLine="480" w:firstLineChars="200"/>
              <w:jc w:val="left"/>
              <w:rPr>
                <w:bCs/>
                <w:color w:val="auto"/>
                <w:sz w:val="24"/>
              </w:rPr>
            </w:pPr>
            <w:r>
              <w:rPr>
                <w:rFonts w:hint="eastAsia" w:ascii="宋体" w:hAnsi="宋体" w:cs="宋体"/>
                <w:kern w:val="0"/>
                <w:sz w:val="24"/>
                <w:lang w:bidi="ar"/>
              </w:rPr>
              <w:t>综上所述，项目产生的固废能够做到处置率</w:t>
            </w:r>
            <w:r>
              <w:rPr>
                <w:kern w:val="0"/>
                <w:sz w:val="24"/>
                <w:lang w:bidi="ar"/>
              </w:rPr>
              <w:t>100%</w:t>
            </w:r>
            <w:r>
              <w:rPr>
                <w:rFonts w:hint="eastAsia" w:ascii="宋体" w:hAnsi="宋体" w:cs="宋体"/>
                <w:kern w:val="0"/>
                <w:sz w:val="24"/>
                <w:lang w:bidi="ar"/>
              </w:rPr>
              <w:t>，固体废弃物对环境影响较小。建</w:t>
            </w:r>
            <w:r>
              <w:rPr>
                <w:rFonts w:hint="eastAsia" w:ascii="宋体" w:hAnsi="宋体" w:cs="宋体"/>
                <w:color w:val="auto"/>
                <w:kern w:val="0"/>
                <w:sz w:val="24"/>
                <w:lang w:bidi="ar"/>
              </w:rPr>
              <w:t>设单位在运行过程中应严格按照环境管理的要求执行，保证固体废物合理处置。</w:t>
            </w:r>
            <w:r>
              <w:rPr>
                <w:color w:val="auto"/>
                <w:sz w:val="24"/>
              </w:rPr>
              <w:t>项目产生固废均得到</w:t>
            </w:r>
            <w:r>
              <w:rPr>
                <w:bCs/>
                <w:color w:val="auto"/>
                <w:sz w:val="24"/>
              </w:rPr>
              <w:t>妥善处置，不会对周边环境产生影响。</w:t>
            </w:r>
          </w:p>
          <w:p w14:paraId="7B1C059C">
            <w:pPr>
              <w:spacing w:line="360" w:lineRule="auto"/>
              <w:ind w:firstLine="482" w:firstLineChars="200"/>
              <w:jc w:val="left"/>
              <w:rPr>
                <w:color w:val="auto"/>
              </w:rPr>
            </w:pPr>
            <w:r>
              <w:rPr>
                <w:b/>
                <w:bCs/>
                <w:color w:val="auto"/>
                <w:sz w:val="24"/>
              </w:rPr>
              <w:t>5、地下水、土壤环境影响</w:t>
            </w:r>
            <w:r>
              <w:rPr>
                <w:rFonts w:hint="eastAsia"/>
                <w:b/>
                <w:bCs/>
                <w:color w:val="auto"/>
                <w:sz w:val="24"/>
              </w:rPr>
              <w:t>及防治措施</w:t>
            </w:r>
          </w:p>
          <w:p w14:paraId="3A1FF31A">
            <w:pPr>
              <w:spacing w:line="360" w:lineRule="auto"/>
              <w:ind w:firstLine="480" w:firstLineChars="200"/>
              <w:rPr>
                <w:color w:val="auto"/>
                <w:sz w:val="24"/>
              </w:rPr>
            </w:pPr>
            <w:r>
              <w:rPr>
                <w:color w:val="auto"/>
                <w:sz w:val="24"/>
              </w:rPr>
              <w:t>地下水污染防治措施坚持“源头控制、末端防治、污染监控、应急响应相结合”的原则，即采取主动控制和被动控制相结合的措施</w:t>
            </w:r>
            <w:r>
              <w:rPr>
                <w:rFonts w:hint="eastAsia"/>
                <w:color w:val="auto"/>
                <w:sz w:val="24"/>
              </w:rPr>
              <w:t>，</w:t>
            </w:r>
            <w:r>
              <w:rPr>
                <w:color w:val="auto"/>
                <w:sz w:val="24"/>
              </w:rPr>
              <w:t>根据项目特征，在项目实施过程中应对废水产生源点采取严格的防渗措施。</w:t>
            </w:r>
          </w:p>
          <w:p w14:paraId="2FA03C4C">
            <w:pPr>
              <w:spacing w:line="360" w:lineRule="auto"/>
              <w:ind w:firstLine="480" w:firstLineChars="200"/>
              <w:rPr>
                <w:rFonts w:ascii="宋体" w:hAnsi="宋体" w:cs="宋体"/>
                <w:sz w:val="24"/>
              </w:rPr>
            </w:pPr>
            <w:r>
              <w:rPr>
                <w:color w:val="auto"/>
                <w:sz w:val="24"/>
              </w:rPr>
              <w:t>生活污水</w:t>
            </w:r>
            <w:r>
              <w:rPr>
                <w:rFonts w:hint="eastAsia"/>
                <w:color w:val="auto"/>
                <w:sz w:val="24"/>
              </w:rPr>
              <w:t>三级</w:t>
            </w:r>
            <w:r>
              <w:rPr>
                <w:color w:val="auto"/>
                <w:sz w:val="24"/>
              </w:rPr>
              <w:t>化粪池处理</w:t>
            </w:r>
            <w:r>
              <w:rPr>
                <w:rFonts w:hint="eastAsia"/>
                <w:color w:val="auto"/>
                <w:sz w:val="24"/>
              </w:rPr>
              <w:t>后清掏做农灌</w:t>
            </w:r>
            <w:r>
              <w:rPr>
                <w:color w:val="auto"/>
                <w:sz w:val="24"/>
              </w:rPr>
              <w:t>；化粪池、沉淀池采取防渗措施，正常工况下项目不会通过污水排放对地下水造成显著不利影响。</w:t>
            </w:r>
            <w:r>
              <w:rPr>
                <w:rFonts w:hint="eastAsia"/>
                <w:color w:val="auto"/>
                <w:sz w:val="24"/>
              </w:rPr>
              <w:t>木</w:t>
            </w:r>
            <w:r>
              <w:rPr>
                <w:color w:val="auto"/>
                <w:sz w:val="24"/>
              </w:rPr>
              <w:t>焦油</w:t>
            </w:r>
            <w:r>
              <w:rPr>
                <w:rFonts w:hint="eastAsia"/>
                <w:color w:val="auto"/>
                <w:sz w:val="24"/>
              </w:rPr>
              <w:t>、木</w:t>
            </w:r>
            <w:r>
              <w:rPr>
                <w:color w:val="auto"/>
                <w:sz w:val="24"/>
              </w:rPr>
              <w:t>醋混合物</w:t>
            </w:r>
            <w:r>
              <w:rPr>
                <w:rFonts w:hint="eastAsia"/>
                <w:color w:val="auto"/>
                <w:sz w:val="24"/>
                <w:lang w:eastAsia="zh-CN"/>
              </w:rPr>
              <w:t>设置专门</w:t>
            </w:r>
            <w:r>
              <w:rPr>
                <w:color w:val="auto"/>
                <w:sz w:val="24"/>
              </w:rPr>
              <w:t>收集</w:t>
            </w:r>
            <w:r>
              <w:rPr>
                <w:rFonts w:hint="eastAsia"/>
                <w:color w:val="auto"/>
                <w:sz w:val="24"/>
                <w:lang w:eastAsia="zh-CN"/>
              </w:rPr>
              <w:t>池</w:t>
            </w:r>
            <w:r>
              <w:rPr>
                <w:color w:val="auto"/>
                <w:sz w:val="24"/>
              </w:rPr>
              <w:t>，</w:t>
            </w:r>
            <w:r>
              <w:rPr>
                <w:rFonts w:hint="eastAsia"/>
                <w:color w:val="auto"/>
                <w:sz w:val="24"/>
                <w:lang w:eastAsia="zh-CN"/>
              </w:rPr>
              <w:t>热风机运行时泵送到热风机内烧烧处理；</w:t>
            </w:r>
            <w:r>
              <w:rPr>
                <w:color w:val="auto"/>
                <w:sz w:val="24"/>
              </w:rPr>
              <w:t>危险废物</w:t>
            </w:r>
            <w:r>
              <w:rPr>
                <w:rFonts w:hint="eastAsia"/>
                <w:color w:val="auto"/>
                <w:sz w:val="24"/>
                <w:lang w:eastAsia="zh-CN"/>
              </w:rPr>
              <w:t>废机油</w:t>
            </w:r>
            <w:r>
              <w:rPr>
                <w:color w:val="auto"/>
                <w:sz w:val="24"/>
              </w:rPr>
              <w:t>委托有资质单位进行处置。</w:t>
            </w:r>
            <w:r>
              <w:rPr>
                <w:rFonts w:ascii="宋体" w:hAnsi="宋体" w:cs="宋体"/>
                <w:color w:val="auto"/>
                <w:spacing w:val="-5"/>
                <w:sz w:val="24"/>
              </w:rPr>
              <w:t>本项目防渗分区</w:t>
            </w:r>
            <w:r>
              <w:rPr>
                <w:rFonts w:ascii="宋体" w:hAnsi="宋体" w:cs="宋体"/>
                <w:spacing w:val="-5"/>
                <w:sz w:val="24"/>
              </w:rPr>
              <w:t>划分及项目设计采取的各项防渗措施具</w:t>
            </w:r>
            <w:r>
              <w:rPr>
                <w:rFonts w:ascii="宋体" w:hAnsi="宋体" w:cs="宋体"/>
                <w:spacing w:val="-6"/>
                <w:sz w:val="24"/>
              </w:rPr>
              <w:t>体见</w:t>
            </w:r>
            <w:r>
              <w:rPr>
                <w:rFonts w:ascii="宋体" w:hAnsi="宋体" w:cs="宋体"/>
                <w:spacing w:val="-3"/>
                <w:sz w:val="24"/>
              </w:rPr>
              <w:t>表</w:t>
            </w:r>
            <w:r>
              <w:rPr>
                <w:rFonts w:ascii="宋体" w:hAnsi="宋体" w:cs="宋体"/>
                <w:spacing w:val="-50"/>
                <w:sz w:val="24"/>
              </w:rPr>
              <w:t xml:space="preserve"> </w:t>
            </w:r>
            <w:r>
              <w:rPr>
                <w:rFonts w:hint="eastAsia"/>
                <w:spacing w:val="-3"/>
                <w:sz w:val="24"/>
              </w:rPr>
              <w:t>4</w:t>
            </w:r>
            <w:r>
              <w:rPr>
                <w:rFonts w:eastAsia="Times New Roman"/>
                <w:spacing w:val="-3"/>
                <w:sz w:val="24"/>
              </w:rPr>
              <w:t>-</w:t>
            </w:r>
            <w:r>
              <w:rPr>
                <w:rFonts w:hint="eastAsia"/>
                <w:spacing w:val="-3"/>
                <w:sz w:val="24"/>
              </w:rPr>
              <w:t>13</w:t>
            </w:r>
            <w:r>
              <w:rPr>
                <w:rFonts w:ascii="宋体" w:hAnsi="宋体" w:cs="宋体"/>
                <w:spacing w:val="-3"/>
                <w:sz w:val="24"/>
              </w:rPr>
              <w:t>。</w:t>
            </w:r>
          </w:p>
          <w:p w14:paraId="3257EEC9">
            <w:pPr>
              <w:jc w:val="center"/>
              <w:rPr>
                <w:b/>
                <w:bCs/>
                <w:sz w:val="24"/>
              </w:rPr>
            </w:pPr>
            <w:r>
              <w:rPr>
                <w:b/>
                <w:bCs/>
                <w:sz w:val="24"/>
              </w:rPr>
              <w:t>表</w:t>
            </w:r>
            <w:r>
              <w:rPr>
                <w:rFonts w:hint="eastAsia"/>
                <w:b/>
                <w:bCs/>
                <w:sz w:val="24"/>
              </w:rPr>
              <w:t>4-13</w:t>
            </w:r>
            <w:r>
              <w:rPr>
                <w:b/>
                <w:bCs/>
                <w:sz w:val="24"/>
              </w:rPr>
              <w:t>本项目地下水污染防治分区划分情况</w:t>
            </w:r>
          </w:p>
          <w:tbl>
            <w:tblPr>
              <w:tblStyle w:val="23"/>
              <w:tblW w:w="8110" w:type="dxa"/>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69"/>
              <w:gridCol w:w="1307"/>
              <w:gridCol w:w="1417"/>
              <w:gridCol w:w="1979"/>
              <w:gridCol w:w="2438"/>
            </w:tblGrid>
            <w:tr w14:paraId="35CA9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 w:hRule="atLeast"/>
              </w:trPr>
              <w:tc>
                <w:tcPr>
                  <w:tcW w:w="969" w:type="dxa"/>
                  <w:noWrap w:val="0"/>
                  <w:vAlign w:val="top"/>
                </w:tcPr>
                <w:p w14:paraId="3AB0065E">
                  <w:pPr>
                    <w:jc w:val="center"/>
                    <w:rPr>
                      <w:b/>
                      <w:bCs/>
                      <w:color w:val="auto"/>
                    </w:rPr>
                  </w:pPr>
                  <w:r>
                    <w:rPr>
                      <w:b/>
                      <w:bCs/>
                      <w:color w:val="auto"/>
                    </w:rPr>
                    <w:t>防渗分 区</w:t>
                  </w:r>
                </w:p>
              </w:tc>
              <w:tc>
                <w:tcPr>
                  <w:tcW w:w="1307" w:type="dxa"/>
                  <w:noWrap w:val="0"/>
                  <w:vAlign w:val="top"/>
                </w:tcPr>
                <w:p w14:paraId="5339A141">
                  <w:pPr>
                    <w:jc w:val="center"/>
                    <w:rPr>
                      <w:b/>
                      <w:bCs/>
                      <w:color w:val="auto"/>
                    </w:rPr>
                  </w:pPr>
                  <w:r>
                    <w:rPr>
                      <w:b/>
                      <w:bCs/>
                      <w:color w:val="auto"/>
                    </w:rPr>
                    <w:t>定义</w:t>
                  </w:r>
                </w:p>
              </w:tc>
              <w:tc>
                <w:tcPr>
                  <w:tcW w:w="1417" w:type="dxa"/>
                  <w:noWrap w:val="0"/>
                  <w:vAlign w:val="top"/>
                </w:tcPr>
                <w:p w14:paraId="0B1BE8D8">
                  <w:pPr>
                    <w:jc w:val="center"/>
                    <w:rPr>
                      <w:b/>
                      <w:bCs/>
                      <w:color w:val="auto"/>
                    </w:rPr>
                  </w:pPr>
                  <w:r>
                    <w:rPr>
                      <w:b/>
                      <w:bCs/>
                      <w:color w:val="auto"/>
                    </w:rPr>
                    <w:t>厂内分区</w:t>
                  </w:r>
                </w:p>
              </w:tc>
              <w:tc>
                <w:tcPr>
                  <w:tcW w:w="1979" w:type="dxa"/>
                  <w:noWrap w:val="0"/>
                  <w:vAlign w:val="top"/>
                </w:tcPr>
                <w:p w14:paraId="1AD03AA1">
                  <w:pPr>
                    <w:jc w:val="center"/>
                    <w:rPr>
                      <w:b/>
                      <w:bCs/>
                      <w:color w:val="auto"/>
                    </w:rPr>
                  </w:pPr>
                  <w:r>
                    <w:rPr>
                      <w:b/>
                      <w:bCs/>
                      <w:color w:val="auto"/>
                    </w:rPr>
                    <w:t>防渗等级</w:t>
                  </w:r>
                </w:p>
              </w:tc>
              <w:tc>
                <w:tcPr>
                  <w:tcW w:w="2438" w:type="dxa"/>
                  <w:noWrap w:val="0"/>
                  <w:vAlign w:val="top"/>
                </w:tcPr>
                <w:p w14:paraId="318E63A6">
                  <w:pPr>
                    <w:jc w:val="center"/>
                    <w:rPr>
                      <w:b/>
                      <w:bCs/>
                      <w:color w:val="auto"/>
                    </w:rPr>
                  </w:pPr>
                  <w:r>
                    <w:rPr>
                      <w:b/>
                      <w:bCs/>
                      <w:color w:val="auto"/>
                    </w:rPr>
                    <w:t>分渗透性能/技术要求</w:t>
                  </w:r>
                </w:p>
              </w:tc>
            </w:tr>
            <w:tr w14:paraId="58403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6" w:hRule="atLeast"/>
              </w:trPr>
              <w:tc>
                <w:tcPr>
                  <w:tcW w:w="969" w:type="dxa"/>
                  <w:noWrap w:val="0"/>
                  <w:vAlign w:val="top"/>
                </w:tcPr>
                <w:p w14:paraId="50A2AEAF">
                  <w:pPr>
                    <w:jc w:val="both"/>
                    <w:rPr>
                      <w:color w:val="auto"/>
                    </w:rPr>
                  </w:pPr>
                </w:p>
                <w:p w14:paraId="347992CC">
                  <w:pPr>
                    <w:jc w:val="both"/>
                    <w:rPr>
                      <w:color w:val="auto"/>
                    </w:rPr>
                  </w:pPr>
                  <w:r>
                    <w:rPr>
                      <w:color w:val="auto"/>
                    </w:rPr>
                    <w:t>重点防 渗区</w:t>
                  </w:r>
                </w:p>
              </w:tc>
              <w:tc>
                <w:tcPr>
                  <w:tcW w:w="1307" w:type="dxa"/>
                  <w:noWrap w:val="0"/>
                  <w:vAlign w:val="top"/>
                </w:tcPr>
                <w:p w14:paraId="33EFECAC">
                  <w:pPr>
                    <w:jc w:val="both"/>
                    <w:rPr>
                      <w:color w:val="auto"/>
                    </w:rPr>
                  </w:pPr>
                  <w:r>
                    <w:rPr>
                      <w:color w:val="auto"/>
                    </w:rPr>
                    <w:t>危害性大、毒 性较大的生产 装置区、危化 品库、危险固 废暂存区等</w:t>
                  </w:r>
                </w:p>
              </w:tc>
              <w:tc>
                <w:tcPr>
                  <w:tcW w:w="1417" w:type="dxa"/>
                  <w:noWrap w:val="0"/>
                  <w:vAlign w:val="top"/>
                </w:tcPr>
                <w:p w14:paraId="30816035">
                  <w:pPr>
                    <w:jc w:val="both"/>
                    <w:rPr>
                      <w:color w:val="auto"/>
                    </w:rPr>
                  </w:pPr>
                  <w:r>
                    <w:rPr>
                      <w:rFonts w:hint="eastAsia"/>
                      <w:color w:val="auto"/>
                    </w:rPr>
                    <w:t>炭化窑、</w:t>
                  </w:r>
                  <w:r>
                    <w:rPr>
                      <w:rFonts w:hint="eastAsia"/>
                      <w:color w:val="auto"/>
                      <w:lang w:val="en-US" w:eastAsia="zh-CN"/>
                    </w:rPr>
                    <w:t>木醋液、木焦油</w:t>
                  </w:r>
                  <w:r>
                    <w:rPr>
                      <w:rFonts w:hint="eastAsia"/>
                      <w:color w:val="auto"/>
                      <w:lang w:eastAsia="zh-CN"/>
                    </w:rPr>
                    <w:t>收集池、</w:t>
                  </w:r>
                  <w:r>
                    <w:rPr>
                      <w:rFonts w:hint="eastAsia"/>
                      <w:color w:val="auto"/>
                    </w:rPr>
                    <w:t>输送管道</w:t>
                  </w:r>
                  <w:r>
                    <w:rPr>
                      <w:color w:val="auto"/>
                    </w:rPr>
                    <w:t>、危废暂存间</w:t>
                  </w:r>
                </w:p>
              </w:tc>
              <w:tc>
                <w:tcPr>
                  <w:tcW w:w="1979" w:type="dxa"/>
                  <w:noWrap w:val="0"/>
                  <w:vAlign w:val="top"/>
                </w:tcPr>
                <w:p w14:paraId="5557DE6D">
                  <w:pPr>
                    <w:jc w:val="both"/>
                    <w:rPr>
                      <w:color w:val="auto"/>
                    </w:rPr>
                  </w:pPr>
                  <w:r>
                    <w:rPr>
                      <w:color w:val="auto"/>
                    </w:rPr>
                    <w:t>执行《危险废物贮存污染控制标准》（GB18597-2023）</w:t>
                  </w:r>
                  <w:r>
                    <w:rPr>
                      <w:rFonts w:hint="eastAsia"/>
                      <w:color w:val="auto"/>
                      <w:lang w:eastAsia="zh-CN"/>
                    </w:rPr>
                    <w:t>要求</w:t>
                  </w:r>
                  <w:r>
                    <w:rPr>
                      <w:color w:val="auto"/>
                    </w:rPr>
                    <w:t xml:space="preserve">，渗透系数≤1.0× - </w:t>
                  </w:r>
                  <w:r>
                    <w:rPr>
                      <w:color w:val="auto"/>
                      <w:vertAlign w:val="superscript"/>
                    </w:rPr>
                    <w:t>10</w:t>
                  </w:r>
                  <w:r>
                    <w:rPr>
                      <w:color w:val="auto"/>
                    </w:rPr>
                    <w:t>cm/s；</w:t>
                  </w:r>
                </w:p>
              </w:tc>
              <w:tc>
                <w:tcPr>
                  <w:tcW w:w="2438" w:type="dxa"/>
                  <w:noWrap w:val="0"/>
                  <w:vAlign w:val="top"/>
                </w:tcPr>
                <w:p w14:paraId="55FB068E">
                  <w:pPr>
                    <w:jc w:val="both"/>
                    <w:rPr>
                      <w:color w:val="auto"/>
                    </w:rPr>
                  </w:pPr>
                  <w:r>
                    <w:rPr>
                      <w:color w:val="auto"/>
                    </w:rPr>
                    <w:t>渗层的防渗性能应不低于 6.0m厚、渗透系数不高于</w:t>
                  </w:r>
                </w:p>
                <w:p w14:paraId="101178E3">
                  <w:pPr>
                    <w:jc w:val="both"/>
                    <w:rPr>
                      <w:color w:val="auto"/>
                    </w:rPr>
                  </w:pPr>
                  <w:r>
                    <w:rPr>
                      <w:color w:val="auto"/>
                    </w:rPr>
                    <w:t>1.0×10</w:t>
                  </w:r>
                  <w:r>
                    <w:rPr>
                      <w:color w:val="auto"/>
                      <w:vertAlign w:val="superscript"/>
                    </w:rPr>
                    <w:t>-7</w:t>
                  </w:r>
                  <w:r>
                    <w:rPr>
                      <w:color w:val="auto"/>
                    </w:rPr>
                    <w:t>cm/s 的等效黏土防渗层</w:t>
                  </w:r>
                </w:p>
              </w:tc>
            </w:tr>
            <w:tr w14:paraId="34AD9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62" w:hRule="atLeast"/>
              </w:trPr>
              <w:tc>
                <w:tcPr>
                  <w:tcW w:w="969" w:type="dxa"/>
                  <w:noWrap w:val="0"/>
                  <w:vAlign w:val="top"/>
                </w:tcPr>
                <w:p w14:paraId="7FE01F3C">
                  <w:pPr>
                    <w:rPr>
                      <w:color w:val="auto"/>
                    </w:rPr>
                  </w:pPr>
                </w:p>
                <w:p w14:paraId="64699CFE">
                  <w:pPr>
                    <w:rPr>
                      <w:color w:val="auto"/>
                    </w:rPr>
                  </w:pPr>
                  <w:r>
                    <w:rPr>
                      <w:color w:val="auto"/>
                    </w:rPr>
                    <w:t>一般防 渗区</w:t>
                  </w:r>
                </w:p>
              </w:tc>
              <w:tc>
                <w:tcPr>
                  <w:tcW w:w="1307" w:type="dxa"/>
                  <w:noWrap w:val="0"/>
                  <w:vAlign w:val="top"/>
                </w:tcPr>
                <w:p w14:paraId="6181C8DA">
                  <w:pPr>
                    <w:rPr>
                      <w:color w:val="auto"/>
                    </w:rPr>
                  </w:pPr>
                  <w:r>
                    <w:rPr>
                      <w:color w:val="auto"/>
                    </w:rPr>
                    <w:t>无毒性或毒性</w:t>
                  </w:r>
                </w:p>
                <w:p w14:paraId="7A0C191B">
                  <w:pPr>
                    <w:rPr>
                      <w:color w:val="auto"/>
                    </w:rPr>
                  </w:pPr>
                  <w:r>
                    <w:rPr>
                      <w:color w:val="auto"/>
                    </w:rPr>
                    <w:t>小的生产装置</w:t>
                  </w:r>
                </w:p>
                <w:p w14:paraId="181498B2">
                  <w:pPr>
                    <w:rPr>
                      <w:color w:val="auto"/>
                    </w:rPr>
                  </w:pPr>
                  <w:r>
                    <w:rPr>
                      <w:color w:val="auto"/>
                    </w:rPr>
                    <w:t>区、装置区外</w:t>
                  </w:r>
                </w:p>
                <w:p w14:paraId="3B778587">
                  <w:pPr>
                    <w:rPr>
                      <w:color w:val="auto"/>
                    </w:rPr>
                  </w:pPr>
                  <w:r>
                    <w:rPr>
                      <w:color w:val="auto"/>
                    </w:rPr>
                    <w:t>管廊区</w:t>
                  </w:r>
                </w:p>
              </w:tc>
              <w:tc>
                <w:tcPr>
                  <w:tcW w:w="1417" w:type="dxa"/>
                  <w:noWrap w:val="0"/>
                  <w:vAlign w:val="top"/>
                </w:tcPr>
                <w:p w14:paraId="079280A3">
                  <w:pPr>
                    <w:rPr>
                      <w:rFonts w:hint="eastAsia"/>
                      <w:color w:val="auto"/>
                    </w:rPr>
                  </w:pPr>
                  <w:r>
                    <w:rPr>
                      <w:rFonts w:hint="eastAsia"/>
                      <w:color w:val="auto"/>
                    </w:rPr>
                    <w:t>生产车间</w:t>
                  </w:r>
                  <w:r>
                    <w:rPr>
                      <w:color w:val="auto"/>
                    </w:rPr>
                    <w:t>、一般工业固废贮存场所、化粪池</w:t>
                  </w:r>
                </w:p>
              </w:tc>
              <w:tc>
                <w:tcPr>
                  <w:tcW w:w="1979" w:type="dxa"/>
                  <w:noWrap w:val="0"/>
                  <w:vAlign w:val="top"/>
                </w:tcPr>
                <w:p w14:paraId="5CFD153B">
                  <w:pPr>
                    <w:rPr>
                      <w:color w:val="auto"/>
                    </w:rPr>
                  </w:pPr>
                  <w:r>
                    <w:rPr>
                      <w:color w:val="auto"/>
                    </w:rPr>
                    <w:t>执行《一般工业固体</w:t>
                  </w:r>
                </w:p>
                <w:p w14:paraId="37CEA12B">
                  <w:pPr>
                    <w:rPr>
                      <w:color w:val="auto"/>
                    </w:rPr>
                  </w:pPr>
                  <w:r>
                    <w:rPr>
                      <w:color w:val="auto"/>
                    </w:rPr>
                    <w:t>废物贮存和填埋污染控制标准》</w:t>
                  </w:r>
                </w:p>
                <w:p w14:paraId="60AD9A65">
                  <w:pPr>
                    <w:rPr>
                      <w:color w:val="auto"/>
                    </w:rPr>
                  </w:pPr>
                  <w:r>
                    <w:rPr>
                      <w:color w:val="auto"/>
                    </w:rPr>
                    <w:t>（GB18599-2020）要 求，渗透系数</w:t>
                  </w:r>
                </w:p>
                <w:p w14:paraId="51105E3A">
                  <w:pPr>
                    <w:rPr>
                      <w:color w:val="auto"/>
                    </w:rPr>
                  </w:pPr>
                  <w:r>
                    <w:rPr>
                      <w:color w:val="auto"/>
                    </w:rPr>
                    <w:t>≤10</w:t>
                  </w:r>
                  <w:r>
                    <w:rPr>
                      <w:color w:val="auto"/>
                      <w:vertAlign w:val="superscript"/>
                    </w:rPr>
                    <w:t>-7</w:t>
                  </w:r>
                  <w:r>
                    <w:rPr>
                      <w:color w:val="auto"/>
                    </w:rPr>
                    <w:t>cm/s；</w:t>
                  </w:r>
                </w:p>
              </w:tc>
              <w:tc>
                <w:tcPr>
                  <w:tcW w:w="2438" w:type="dxa"/>
                  <w:noWrap w:val="0"/>
                  <w:vAlign w:val="top"/>
                </w:tcPr>
                <w:p w14:paraId="68314EAD">
                  <w:pPr>
                    <w:rPr>
                      <w:color w:val="auto"/>
                    </w:rPr>
                  </w:pPr>
                  <w:r>
                    <w:rPr>
                      <w:color w:val="auto"/>
                    </w:rPr>
                    <w:t>防渗性能应不低于1.5 m 厚、渗透系数不高于 1.0×10</w:t>
                  </w:r>
                  <w:r>
                    <w:rPr>
                      <w:color w:val="auto"/>
                      <w:vertAlign w:val="superscript"/>
                    </w:rPr>
                    <w:t>-7</w:t>
                  </w:r>
                  <w:r>
                    <w:rPr>
                      <w:color w:val="auto"/>
                    </w:rPr>
                    <w:t>cm/s的等效黏土防渗层</w:t>
                  </w:r>
                </w:p>
              </w:tc>
            </w:tr>
            <w:tr w14:paraId="22548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9" w:hRule="atLeast"/>
              </w:trPr>
              <w:tc>
                <w:tcPr>
                  <w:tcW w:w="969" w:type="dxa"/>
                  <w:noWrap w:val="0"/>
                  <w:vAlign w:val="top"/>
                </w:tcPr>
                <w:p w14:paraId="1E57B709">
                  <w:pPr>
                    <w:rPr>
                      <w:color w:val="auto"/>
                    </w:rPr>
                  </w:pPr>
                  <w:r>
                    <w:rPr>
                      <w:color w:val="auto"/>
                    </w:rPr>
                    <w:t>简单防 渗区</w:t>
                  </w:r>
                </w:p>
              </w:tc>
              <w:tc>
                <w:tcPr>
                  <w:tcW w:w="1307" w:type="dxa"/>
                  <w:noWrap w:val="0"/>
                  <w:vAlign w:val="top"/>
                </w:tcPr>
                <w:p w14:paraId="754FD54D">
                  <w:pPr>
                    <w:rPr>
                      <w:color w:val="auto"/>
                    </w:rPr>
                  </w:pPr>
                  <w:r>
                    <w:rPr>
                      <w:color w:val="auto"/>
                    </w:rPr>
                    <w:t>除污染区的其 余区域</w:t>
                  </w:r>
                </w:p>
              </w:tc>
              <w:tc>
                <w:tcPr>
                  <w:tcW w:w="1417" w:type="dxa"/>
                  <w:noWrap w:val="0"/>
                  <w:vAlign w:val="top"/>
                </w:tcPr>
                <w:p w14:paraId="5E68725D">
                  <w:pPr>
                    <w:rPr>
                      <w:color w:val="auto"/>
                    </w:rPr>
                  </w:pPr>
                  <w:r>
                    <w:rPr>
                      <w:color w:val="auto"/>
                    </w:rPr>
                    <w:t>办公生活区、厂 区道路、仓库</w:t>
                  </w:r>
                </w:p>
              </w:tc>
              <w:tc>
                <w:tcPr>
                  <w:tcW w:w="1979" w:type="dxa"/>
                  <w:noWrap w:val="0"/>
                  <w:vAlign w:val="top"/>
                </w:tcPr>
                <w:p w14:paraId="7FCE6305">
                  <w:pPr>
                    <w:rPr>
                      <w:color w:val="auto"/>
                    </w:rPr>
                  </w:pPr>
                  <w:r>
                    <w:rPr>
                      <w:color w:val="auto"/>
                    </w:rPr>
                    <w:t>一般地面硬化</w:t>
                  </w:r>
                </w:p>
              </w:tc>
              <w:tc>
                <w:tcPr>
                  <w:tcW w:w="2438" w:type="dxa"/>
                  <w:noWrap w:val="0"/>
                  <w:vAlign w:val="top"/>
                </w:tcPr>
                <w:p w14:paraId="7D8E0D3F">
                  <w:pPr>
                    <w:rPr>
                      <w:color w:val="auto"/>
                    </w:rPr>
                  </w:pPr>
                  <w:r>
                    <w:rPr>
                      <w:color w:val="auto"/>
                    </w:rPr>
                    <w:t>/</w:t>
                  </w:r>
                </w:p>
              </w:tc>
            </w:tr>
          </w:tbl>
          <w:p w14:paraId="61A13E56">
            <w:pPr>
              <w:pStyle w:val="22"/>
              <w:spacing w:after="0" w:line="360" w:lineRule="auto"/>
              <w:ind w:left="0" w:leftChars="0" w:firstLine="482" w:firstLineChars="200"/>
              <w:rPr>
                <w:rFonts w:hint="eastAsia"/>
                <w:b/>
                <w:bCs/>
                <w:color w:val="auto"/>
                <w:sz w:val="24"/>
              </w:rPr>
            </w:pPr>
            <w:r>
              <w:rPr>
                <w:rStyle w:val="56"/>
                <w:rFonts w:hint="eastAsia"/>
                <w:b/>
                <w:color w:val="auto"/>
                <w:sz w:val="24"/>
              </w:rPr>
              <w:t>6</w:t>
            </w:r>
            <w:r>
              <w:rPr>
                <w:rFonts w:hint="eastAsia"/>
                <w:b/>
                <w:bCs/>
                <w:color w:val="auto"/>
                <w:sz w:val="24"/>
              </w:rPr>
              <w:t>、环境风险</w:t>
            </w:r>
          </w:p>
          <w:p w14:paraId="16C463CC">
            <w:pPr>
              <w:pStyle w:val="3"/>
              <w:adjustRightInd w:val="0"/>
              <w:snapToGrid w:val="0"/>
              <w:spacing w:before="0" w:beforeAutospacing="0" w:after="0" w:afterAutospacing="0" w:line="360" w:lineRule="auto"/>
              <w:ind w:firstLine="241" w:firstLineChars="100"/>
              <w:outlineLvl w:val="1"/>
              <w:rPr>
                <w:rFonts w:ascii="Times New Roman" w:hAnsi="Times New Roman" w:cs="Times New Roman"/>
                <w:bCs/>
                <w:color w:val="auto"/>
                <w:sz w:val="24"/>
                <w:szCs w:val="24"/>
              </w:rPr>
            </w:pPr>
            <w:r>
              <w:rPr>
                <w:rFonts w:ascii="Times New Roman" w:hAnsi="Times New Roman" w:cs="Times New Roman"/>
                <w:bCs/>
                <w:color w:val="auto"/>
                <w:sz w:val="24"/>
                <w:szCs w:val="24"/>
              </w:rPr>
              <w:t>（1）风险物质调查</w:t>
            </w:r>
          </w:p>
          <w:p w14:paraId="64F17531">
            <w:pPr>
              <w:spacing w:line="360" w:lineRule="auto"/>
              <w:ind w:firstLine="480" w:firstLineChars="200"/>
              <w:rPr>
                <w:color w:val="auto"/>
                <w:sz w:val="24"/>
              </w:rPr>
            </w:pPr>
            <w:r>
              <w:rPr>
                <w:color w:val="auto"/>
                <w:sz w:val="24"/>
              </w:rPr>
              <w:t>根据《建设项目环境风险评价技术导则》（HT169-2018）附录B、《危险化学品名录》（2018版）</w:t>
            </w:r>
            <w:r>
              <w:rPr>
                <w:rFonts w:hint="eastAsia"/>
                <w:color w:val="auto"/>
                <w:sz w:val="24"/>
              </w:rPr>
              <w:t>、</w:t>
            </w:r>
            <w:r>
              <w:rPr>
                <w:color w:val="auto"/>
                <w:sz w:val="24"/>
              </w:rPr>
              <w:t>《危险化学品重大危险源辨识》（GB18218-20</w:t>
            </w:r>
            <w:r>
              <w:rPr>
                <w:rFonts w:hint="eastAsia"/>
                <w:color w:val="auto"/>
                <w:sz w:val="24"/>
              </w:rPr>
              <w:t>21</w:t>
            </w:r>
            <w:r>
              <w:rPr>
                <w:color w:val="auto"/>
                <w:sz w:val="24"/>
              </w:rPr>
              <w:t>）</w:t>
            </w:r>
            <w:r>
              <w:rPr>
                <w:rFonts w:hint="eastAsia"/>
                <w:color w:val="auto"/>
                <w:sz w:val="24"/>
              </w:rPr>
              <w:t>、</w:t>
            </w:r>
            <w:r>
              <w:rPr>
                <w:color w:val="auto"/>
                <w:sz w:val="24"/>
              </w:rPr>
              <w:t>《危险废物鉴别标准》（GB5085.7-2019），及物质本身的危险性、毒理性指标和毒性等级分类，并考虑其燃烧爆炸性，进行识别</w:t>
            </w:r>
            <w:r>
              <w:rPr>
                <w:rFonts w:hint="eastAsia"/>
                <w:color w:val="auto"/>
                <w:sz w:val="24"/>
              </w:rPr>
              <w:t>；</w:t>
            </w:r>
            <w:r>
              <w:rPr>
                <w:color w:val="auto"/>
                <w:sz w:val="24"/>
              </w:rPr>
              <w:t>项目主要危险物质</w:t>
            </w:r>
            <w:r>
              <w:rPr>
                <w:rFonts w:hint="eastAsia"/>
                <w:color w:val="auto"/>
                <w:sz w:val="24"/>
              </w:rPr>
              <w:t>见表4-14其理化特性及毒性见表4-15。</w:t>
            </w:r>
          </w:p>
          <w:p w14:paraId="388838A1">
            <w:pPr>
              <w:jc w:val="center"/>
              <w:rPr>
                <w:b/>
                <w:bCs/>
                <w:color w:val="auto"/>
                <w:sz w:val="24"/>
              </w:rPr>
            </w:pPr>
            <w:r>
              <w:rPr>
                <w:b/>
                <w:bCs/>
                <w:color w:val="auto"/>
                <w:sz w:val="24"/>
              </w:rPr>
              <w:t>表</w:t>
            </w:r>
            <w:r>
              <w:rPr>
                <w:rFonts w:hint="eastAsia"/>
                <w:b/>
                <w:bCs/>
                <w:color w:val="auto"/>
                <w:sz w:val="24"/>
              </w:rPr>
              <w:t>4-14</w:t>
            </w:r>
            <w:r>
              <w:rPr>
                <w:b/>
                <w:bCs/>
                <w:color w:val="auto"/>
                <w:sz w:val="24"/>
              </w:rPr>
              <w:t xml:space="preserve"> 环境风险因子及其危险性一览表</w:t>
            </w:r>
          </w:p>
          <w:tbl>
            <w:tblPr>
              <w:tblStyle w:val="23"/>
              <w:tblW w:w="8014" w:type="dxa"/>
              <w:tblInd w:w="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20"/>
              <w:gridCol w:w="1660"/>
              <w:gridCol w:w="1797"/>
              <w:gridCol w:w="1710"/>
              <w:gridCol w:w="1527"/>
            </w:tblGrid>
            <w:tr w14:paraId="4DAB7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trPr>
              <w:tc>
                <w:tcPr>
                  <w:tcW w:w="1320" w:type="dxa"/>
                  <w:noWrap w:val="0"/>
                  <w:vAlign w:val="top"/>
                </w:tcPr>
                <w:p w14:paraId="5D85BD05">
                  <w:pPr>
                    <w:pStyle w:val="54"/>
                    <w:spacing w:before="33" w:line="221" w:lineRule="auto"/>
                    <w:jc w:val="center"/>
                    <w:rPr>
                      <w:b/>
                      <w:bCs/>
                      <w:color w:val="auto"/>
                    </w:rPr>
                  </w:pPr>
                  <w:r>
                    <w:rPr>
                      <w:b/>
                      <w:bCs/>
                      <w:color w:val="auto"/>
                      <w:spacing w:val="-2"/>
                    </w:rPr>
                    <w:t>类别名称</w:t>
                  </w:r>
                </w:p>
              </w:tc>
              <w:tc>
                <w:tcPr>
                  <w:tcW w:w="1660" w:type="dxa"/>
                  <w:noWrap w:val="0"/>
                  <w:vAlign w:val="top"/>
                </w:tcPr>
                <w:p w14:paraId="6E7E7BB7">
                  <w:pPr>
                    <w:pStyle w:val="54"/>
                    <w:spacing w:before="33" w:line="221" w:lineRule="auto"/>
                    <w:jc w:val="center"/>
                    <w:rPr>
                      <w:b/>
                      <w:bCs/>
                      <w:color w:val="auto"/>
                    </w:rPr>
                  </w:pPr>
                  <w:r>
                    <w:rPr>
                      <w:b/>
                      <w:bCs/>
                      <w:color w:val="auto"/>
                      <w:spacing w:val="-2"/>
                    </w:rPr>
                    <w:t>风险特征</w:t>
                  </w:r>
                </w:p>
              </w:tc>
              <w:tc>
                <w:tcPr>
                  <w:tcW w:w="1797" w:type="dxa"/>
                  <w:noWrap w:val="0"/>
                  <w:vAlign w:val="top"/>
                </w:tcPr>
                <w:p w14:paraId="1AB13979">
                  <w:pPr>
                    <w:pStyle w:val="54"/>
                    <w:spacing w:before="33" w:line="221" w:lineRule="auto"/>
                    <w:jc w:val="center"/>
                    <w:rPr>
                      <w:b/>
                      <w:bCs/>
                      <w:color w:val="auto"/>
                    </w:rPr>
                  </w:pPr>
                  <w:r>
                    <w:rPr>
                      <w:b/>
                      <w:bCs/>
                      <w:color w:val="auto"/>
                      <w:spacing w:val="-2"/>
                    </w:rPr>
                    <w:t>所在位置</w:t>
                  </w:r>
                </w:p>
              </w:tc>
              <w:tc>
                <w:tcPr>
                  <w:tcW w:w="1710" w:type="dxa"/>
                  <w:noWrap w:val="0"/>
                  <w:vAlign w:val="top"/>
                </w:tcPr>
                <w:p w14:paraId="452E0B50">
                  <w:pPr>
                    <w:pStyle w:val="54"/>
                    <w:spacing w:before="33" w:line="221" w:lineRule="auto"/>
                    <w:jc w:val="center"/>
                    <w:rPr>
                      <w:b/>
                      <w:bCs/>
                      <w:color w:val="auto"/>
                    </w:rPr>
                  </w:pPr>
                  <w:r>
                    <w:rPr>
                      <w:b/>
                      <w:bCs/>
                      <w:color w:val="auto"/>
                      <w:spacing w:val="-2"/>
                    </w:rPr>
                    <w:t>最大储存量</w:t>
                  </w:r>
                </w:p>
              </w:tc>
              <w:tc>
                <w:tcPr>
                  <w:tcW w:w="1527" w:type="dxa"/>
                  <w:noWrap w:val="0"/>
                  <w:vAlign w:val="top"/>
                </w:tcPr>
                <w:p w14:paraId="4FFE656A">
                  <w:pPr>
                    <w:pStyle w:val="54"/>
                    <w:spacing w:before="69" w:line="217" w:lineRule="auto"/>
                    <w:ind w:left="238"/>
                    <w:jc w:val="center"/>
                    <w:rPr>
                      <w:b/>
                      <w:bCs/>
                      <w:color w:val="auto"/>
                      <w:spacing w:val="-2"/>
                    </w:rPr>
                  </w:pPr>
                  <w:r>
                    <w:rPr>
                      <w:b/>
                      <w:bCs/>
                      <w:color w:val="auto"/>
                      <w:spacing w:val="-2"/>
                    </w:rPr>
                    <w:t>临界量</w:t>
                  </w:r>
                  <w:r>
                    <w:rPr>
                      <w:rFonts w:ascii="Times New Roman" w:hAnsi="Times New Roman" w:eastAsia="Times New Roman" w:cs="Times New Roman"/>
                      <w:b/>
                      <w:bCs/>
                      <w:color w:val="auto"/>
                      <w:spacing w:val="-2"/>
                    </w:rPr>
                    <w:t>Q</w:t>
                  </w:r>
                  <w:r>
                    <w:rPr>
                      <w:b/>
                      <w:bCs/>
                      <w:color w:val="auto"/>
                      <w:spacing w:val="-2"/>
                    </w:rPr>
                    <w:t>（</w:t>
                  </w:r>
                  <w:r>
                    <w:rPr>
                      <w:rFonts w:ascii="Times New Roman" w:hAnsi="Times New Roman" w:eastAsia="Times New Roman" w:cs="Times New Roman"/>
                      <w:b/>
                      <w:bCs/>
                      <w:color w:val="auto"/>
                      <w:spacing w:val="-2"/>
                    </w:rPr>
                    <w:t>t</w:t>
                  </w:r>
                  <w:r>
                    <w:rPr>
                      <w:b/>
                      <w:bCs/>
                      <w:color w:val="auto"/>
                      <w:spacing w:val="-2"/>
                    </w:rPr>
                    <w:t>）</w:t>
                  </w:r>
                </w:p>
              </w:tc>
            </w:tr>
            <w:tr w14:paraId="4A363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trPr>
              <w:tc>
                <w:tcPr>
                  <w:tcW w:w="1320" w:type="dxa"/>
                  <w:noWrap w:val="0"/>
                  <w:vAlign w:val="top"/>
                </w:tcPr>
                <w:p w14:paraId="0293645F">
                  <w:pPr>
                    <w:jc w:val="center"/>
                    <w:rPr>
                      <w:rFonts w:hint="eastAsia"/>
                      <w:color w:val="auto"/>
                    </w:rPr>
                  </w:pPr>
                  <w:r>
                    <w:rPr>
                      <w:color w:val="auto"/>
                    </w:rPr>
                    <w:t>炭化废气</w:t>
                  </w:r>
                  <w:r>
                    <w:rPr>
                      <w:rFonts w:hint="eastAsia"/>
                      <w:color w:val="auto"/>
                    </w:rPr>
                    <w:t>（木煤气）</w:t>
                  </w:r>
                </w:p>
              </w:tc>
              <w:tc>
                <w:tcPr>
                  <w:tcW w:w="1660" w:type="dxa"/>
                  <w:noWrap w:val="0"/>
                  <w:vAlign w:val="top"/>
                </w:tcPr>
                <w:p w14:paraId="6A90CFA4">
                  <w:pPr>
                    <w:jc w:val="center"/>
                    <w:rPr>
                      <w:color w:val="auto"/>
                    </w:rPr>
                  </w:pPr>
                  <w:r>
                    <w:rPr>
                      <w:color w:val="auto"/>
                    </w:rPr>
                    <w:t>易燃易爆有毒气体</w:t>
                  </w:r>
                </w:p>
              </w:tc>
              <w:tc>
                <w:tcPr>
                  <w:tcW w:w="1797" w:type="dxa"/>
                  <w:noWrap w:val="0"/>
                  <w:vAlign w:val="top"/>
                </w:tcPr>
                <w:p w14:paraId="0E61FAC9">
                  <w:pPr>
                    <w:jc w:val="center"/>
                    <w:rPr>
                      <w:rFonts w:hint="eastAsia"/>
                      <w:color w:val="auto"/>
                    </w:rPr>
                  </w:pPr>
                  <w:r>
                    <w:rPr>
                      <w:color w:val="auto"/>
                    </w:rPr>
                    <w:t>炭化窑、</w:t>
                  </w:r>
                  <w:r>
                    <w:rPr>
                      <w:rFonts w:hint="eastAsia"/>
                      <w:color w:val="auto"/>
                    </w:rPr>
                    <w:t>热风炉</w:t>
                  </w:r>
                  <w:r>
                    <w:rPr>
                      <w:color w:val="auto"/>
                    </w:rPr>
                    <w:t>燃烧室</w:t>
                  </w:r>
                  <w:r>
                    <w:rPr>
                      <w:rFonts w:hint="eastAsia"/>
                      <w:color w:val="auto"/>
                    </w:rPr>
                    <w:t>、输送管道</w:t>
                  </w:r>
                </w:p>
              </w:tc>
              <w:tc>
                <w:tcPr>
                  <w:tcW w:w="1710" w:type="dxa"/>
                  <w:noWrap w:val="0"/>
                  <w:vAlign w:val="top"/>
                </w:tcPr>
                <w:p w14:paraId="472D24FA">
                  <w:pPr>
                    <w:jc w:val="center"/>
                    <w:rPr>
                      <w:color w:val="auto"/>
                    </w:rPr>
                  </w:pPr>
                  <w:r>
                    <w:rPr>
                      <w:color w:val="auto"/>
                    </w:rPr>
                    <w:t>0.</w:t>
                  </w:r>
                  <w:r>
                    <w:rPr>
                      <w:rFonts w:hint="eastAsia"/>
                      <w:color w:val="auto"/>
                    </w:rPr>
                    <w:t>19</w:t>
                  </w:r>
                  <w:r>
                    <w:rPr>
                      <w:color w:val="auto"/>
                    </w:rPr>
                    <w:t>t（</w:t>
                  </w:r>
                  <w:r>
                    <w:rPr>
                      <w:rFonts w:hint="eastAsia"/>
                      <w:color w:val="auto"/>
                    </w:rPr>
                    <w:t>1h</w:t>
                  </w:r>
                  <w:r>
                    <w:rPr>
                      <w:color w:val="auto"/>
                    </w:rPr>
                    <w:t>的在线量）</w:t>
                  </w:r>
                </w:p>
              </w:tc>
              <w:tc>
                <w:tcPr>
                  <w:tcW w:w="1527" w:type="dxa"/>
                  <w:noWrap w:val="0"/>
                  <w:vAlign w:val="top"/>
                </w:tcPr>
                <w:p w14:paraId="35E6459C">
                  <w:pPr>
                    <w:spacing w:before="206" w:line="187" w:lineRule="auto"/>
                    <w:jc w:val="center"/>
                    <w:rPr>
                      <w:color w:val="auto"/>
                    </w:rPr>
                  </w:pPr>
                  <w:r>
                    <w:rPr>
                      <w:rFonts w:eastAsia="Times New Roman"/>
                      <w:color w:val="auto"/>
                      <w:spacing w:val="-3"/>
                      <w:szCs w:val="21"/>
                    </w:rPr>
                    <w:t>50</w:t>
                  </w:r>
                </w:p>
              </w:tc>
            </w:tr>
            <w:tr w14:paraId="48C2C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7" w:hRule="atLeast"/>
              </w:trPr>
              <w:tc>
                <w:tcPr>
                  <w:tcW w:w="1320" w:type="dxa"/>
                  <w:noWrap w:val="0"/>
                  <w:vAlign w:val="top"/>
                </w:tcPr>
                <w:p w14:paraId="2BBDBC42">
                  <w:pPr>
                    <w:jc w:val="center"/>
                    <w:rPr>
                      <w:color w:val="auto"/>
                    </w:rPr>
                  </w:pPr>
                  <w:r>
                    <w:rPr>
                      <w:rFonts w:hint="eastAsia"/>
                      <w:color w:val="auto"/>
                    </w:rPr>
                    <w:t>木</w:t>
                  </w:r>
                  <w:r>
                    <w:rPr>
                      <w:color w:val="auto"/>
                    </w:rPr>
                    <w:t>焦油</w:t>
                  </w:r>
                  <w:r>
                    <w:rPr>
                      <w:rFonts w:hint="eastAsia"/>
                      <w:color w:val="auto"/>
                    </w:rPr>
                    <w:t>木</w:t>
                  </w:r>
                  <w:r>
                    <w:rPr>
                      <w:color w:val="auto"/>
                    </w:rPr>
                    <w:t>醋混合液</w:t>
                  </w:r>
                </w:p>
              </w:tc>
              <w:tc>
                <w:tcPr>
                  <w:tcW w:w="1660" w:type="dxa"/>
                  <w:noWrap w:val="0"/>
                  <w:vAlign w:val="top"/>
                </w:tcPr>
                <w:p w14:paraId="21710556">
                  <w:pPr>
                    <w:jc w:val="center"/>
                    <w:rPr>
                      <w:color w:val="auto"/>
                    </w:rPr>
                  </w:pPr>
                  <w:r>
                    <w:rPr>
                      <w:color w:val="auto"/>
                    </w:rPr>
                    <w:t>有毒、易燃液体</w:t>
                  </w:r>
                </w:p>
              </w:tc>
              <w:tc>
                <w:tcPr>
                  <w:tcW w:w="1797" w:type="dxa"/>
                  <w:noWrap w:val="0"/>
                  <w:vAlign w:val="top"/>
                </w:tcPr>
                <w:p w14:paraId="2B70EB4B">
                  <w:pPr>
                    <w:jc w:val="center"/>
                    <w:rPr>
                      <w:color w:val="auto"/>
                    </w:rPr>
                  </w:pPr>
                  <w:r>
                    <w:rPr>
                      <w:color w:val="auto"/>
                    </w:rPr>
                    <w:t>炭化窑、</w:t>
                  </w:r>
                  <w:r>
                    <w:rPr>
                      <w:rFonts w:hint="eastAsia"/>
                      <w:color w:val="auto"/>
                    </w:rPr>
                    <w:t>热风炉</w:t>
                  </w:r>
                  <w:r>
                    <w:rPr>
                      <w:color w:val="auto"/>
                    </w:rPr>
                    <w:t>燃烧室</w:t>
                  </w:r>
                  <w:r>
                    <w:rPr>
                      <w:rFonts w:hint="eastAsia"/>
                      <w:color w:val="auto"/>
                    </w:rPr>
                    <w:t>、输送管道</w:t>
                  </w:r>
                </w:p>
              </w:tc>
              <w:tc>
                <w:tcPr>
                  <w:tcW w:w="1710" w:type="dxa"/>
                  <w:noWrap w:val="0"/>
                  <w:vAlign w:val="top"/>
                </w:tcPr>
                <w:p w14:paraId="0D35479E">
                  <w:pPr>
                    <w:jc w:val="center"/>
                    <w:rPr>
                      <w:color w:val="auto"/>
                    </w:rPr>
                  </w:pPr>
                  <w:r>
                    <w:rPr>
                      <w:color w:val="auto"/>
                    </w:rPr>
                    <w:t>0.</w:t>
                  </w:r>
                  <w:r>
                    <w:rPr>
                      <w:rFonts w:hint="eastAsia"/>
                      <w:color w:val="auto"/>
                    </w:rPr>
                    <w:t>5</w:t>
                  </w:r>
                  <w:r>
                    <w:rPr>
                      <w:color w:val="auto"/>
                    </w:rPr>
                    <w:t>t（</w:t>
                  </w:r>
                  <w:r>
                    <w:rPr>
                      <w:rFonts w:hint="eastAsia"/>
                      <w:color w:val="auto"/>
                    </w:rPr>
                    <w:t>1h</w:t>
                  </w:r>
                  <w:r>
                    <w:rPr>
                      <w:color w:val="auto"/>
                    </w:rPr>
                    <w:t>的在线量）</w:t>
                  </w:r>
                </w:p>
              </w:tc>
              <w:tc>
                <w:tcPr>
                  <w:tcW w:w="1527" w:type="dxa"/>
                  <w:noWrap w:val="0"/>
                  <w:vAlign w:val="top"/>
                </w:tcPr>
                <w:p w14:paraId="17C270A1">
                  <w:pPr>
                    <w:spacing w:before="212" w:line="187" w:lineRule="auto"/>
                    <w:jc w:val="center"/>
                    <w:rPr>
                      <w:color w:val="auto"/>
                    </w:rPr>
                  </w:pPr>
                  <w:r>
                    <w:rPr>
                      <w:rFonts w:eastAsia="Times New Roman"/>
                      <w:color w:val="auto"/>
                      <w:spacing w:val="-1"/>
                      <w:szCs w:val="21"/>
                    </w:rPr>
                    <w:t>2500</w:t>
                  </w:r>
                </w:p>
              </w:tc>
            </w:tr>
            <w:tr w14:paraId="6D4FC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1" w:hRule="atLeast"/>
              </w:trPr>
              <w:tc>
                <w:tcPr>
                  <w:tcW w:w="1320" w:type="dxa"/>
                  <w:noWrap w:val="0"/>
                  <w:vAlign w:val="top"/>
                </w:tcPr>
                <w:p w14:paraId="04CE5C55">
                  <w:pPr>
                    <w:jc w:val="center"/>
                    <w:rPr>
                      <w:color w:val="auto"/>
                    </w:rPr>
                  </w:pPr>
                  <w:r>
                    <w:rPr>
                      <w:color w:val="auto"/>
                    </w:rPr>
                    <w:t>废</w:t>
                  </w:r>
                  <w:r>
                    <w:rPr>
                      <w:rFonts w:hint="eastAsia"/>
                      <w:color w:val="auto"/>
                    </w:rPr>
                    <w:t>机</w:t>
                  </w:r>
                  <w:r>
                    <w:rPr>
                      <w:color w:val="auto"/>
                    </w:rPr>
                    <w:t>油</w:t>
                  </w:r>
                </w:p>
              </w:tc>
              <w:tc>
                <w:tcPr>
                  <w:tcW w:w="1660" w:type="dxa"/>
                  <w:noWrap w:val="0"/>
                  <w:vAlign w:val="top"/>
                </w:tcPr>
                <w:p w14:paraId="5AC2A9E5">
                  <w:pPr>
                    <w:jc w:val="center"/>
                    <w:rPr>
                      <w:color w:val="auto"/>
                    </w:rPr>
                  </w:pPr>
                  <w:r>
                    <w:rPr>
                      <w:color w:val="auto"/>
                    </w:rPr>
                    <w:t>有毒、易燃液体</w:t>
                  </w:r>
                </w:p>
              </w:tc>
              <w:tc>
                <w:tcPr>
                  <w:tcW w:w="1797" w:type="dxa"/>
                  <w:noWrap w:val="0"/>
                  <w:vAlign w:val="top"/>
                </w:tcPr>
                <w:p w14:paraId="022F5FBE">
                  <w:pPr>
                    <w:jc w:val="center"/>
                    <w:rPr>
                      <w:color w:val="auto"/>
                    </w:rPr>
                  </w:pPr>
                  <w:r>
                    <w:rPr>
                      <w:color w:val="auto"/>
                    </w:rPr>
                    <w:t>危废暂存间</w:t>
                  </w:r>
                </w:p>
              </w:tc>
              <w:tc>
                <w:tcPr>
                  <w:tcW w:w="1710" w:type="dxa"/>
                  <w:noWrap w:val="0"/>
                  <w:vAlign w:val="top"/>
                </w:tcPr>
                <w:p w14:paraId="7CB78513">
                  <w:pPr>
                    <w:jc w:val="center"/>
                    <w:rPr>
                      <w:color w:val="auto"/>
                    </w:rPr>
                  </w:pPr>
                  <w:r>
                    <w:rPr>
                      <w:color w:val="auto"/>
                    </w:rPr>
                    <w:t>0.</w:t>
                  </w:r>
                  <w:r>
                    <w:rPr>
                      <w:rFonts w:hint="eastAsia"/>
                      <w:color w:val="auto"/>
                    </w:rPr>
                    <w:t>2</w:t>
                  </w:r>
                  <w:r>
                    <w:rPr>
                      <w:color w:val="auto"/>
                    </w:rPr>
                    <w:t>t</w:t>
                  </w:r>
                </w:p>
              </w:tc>
              <w:tc>
                <w:tcPr>
                  <w:tcW w:w="1527" w:type="dxa"/>
                  <w:noWrap w:val="0"/>
                  <w:vAlign w:val="top"/>
                </w:tcPr>
                <w:p w14:paraId="4539C456">
                  <w:pPr>
                    <w:spacing w:before="178" w:line="187" w:lineRule="auto"/>
                    <w:jc w:val="center"/>
                    <w:rPr>
                      <w:color w:val="auto"/>
                    </w:rPr>
                  </w:pPr>
                  <w:r>
                    <w:rPr>
                      <w:rFonts w:eastAsia="Times New Roman"/>
                      <w:color w:val="auto"/>
                      <w:spacing w:val="-1"/>
                      <w:szCs w:val="21"/>
                    </w:rPr>
                    <w:t>2500</w:t>
                  </w:r>
                </w:p>
              </w:tc>
            </w:tr>
            <w:tr w14:paraId="1F784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1" w:hRule="atLeast"/>
              </w:trPr>
              <w:tc>
                <w:tcPr>
                  <w:tcW w:w="1320" w:type="dxa"/>
                  <w:noWrap w:val="0"/>
                  <w:vAlign w:val="top"/>
                </w:tcPr>
                <w:p w14:paraId="39498802">
                  <w:pPr>
                    <w:jc w:val="center"/>
                    <w:rPr>
                      <w:color w:val="auto"/>
                    </w:rPr>
                  </w:pPr>
                  <w:r>
                    <w:rPr>
                      <w:rFonts w:hint="eastAsia"/>
                      <w:color w:val="auto"/>
                    </w:rPr>
                    <w:t>原料、产品</w:t>
                  </w:r>
                </w:p>
              </w:tc>
              <w:tc>
                <w:tcPr>
                  <w:tcW w:w="1660" w:type="dxa"/>
                  <w:noWrap w:val="0"/>
                  <w:vAlign w:val="top"/>
                </w:tcPr>
                <w:p w14:paraId="78030101">
                  <w:pPr>
                    <w:jc w:val="center"/>
                    <w:rPr>
                      <w:rFonts w:hint="eastAsia"/>
                      <w:color w:val="auto"/>
                    </w:rPr>
                  </w:pPr>
                  <w:r>
                    <w:rPr>
                      <w:rFonts w:hint="eastAsia"/>
                      <w:color w:val="auto"/>
                    </w:rPr>
                    <w:t>火灾</w:t>
                  </w:r>
                </w:p>
              </w:tc>
              <w:tc>
                <w:tcPr>
                  <w:tcW w:w="1797" w:type="dxa"/>
                  <w:noWrap w:val="0"/>
                  <w:vAlign w:val="top"/>
                </w:tcPr>
                <w:p w14:paraId="57EB9302">
                  <w:pPr>
                    <w:jc w:val="center"/>
                    <w:rPr>
                      <w:rFonts w:hint="eastAsia"/>
                      <w:color w:val="auto"/>
                    </w:rPr>
                  </w:pPr>
                  <w:r>
                    <w:rPr>
                      <w:rFonts w:hint="eastAsia"/>
                      <w:color w:val="auto"/>
                    </w:rPr>
                    <w:t>/</w:t>
                  </w:r>
                </w:p>
              </w:tc>
              <w:tc>
                <w:tcPr>
                  <w:tcW w:w="1710" w:type="dxa"/>
                  <w:noWrap w:val="0"/>
                  <w:vAlign w:val="top"/>
                </w:tcPr>
                <w:p w14:paraId="287E75C4">
                  <w:pPr>
                    <w:jc w:val="center"/>
                    <w:rPr>
                      <w:rFonts w:hint="eastAsia"/>
                      <w:color w:val="auto"/>
                    </w:rPr>
                  </w:pPr>
                  <w:r>
                    <w:rPr>
                      <w:rFonts w:hint="eastAsia"/>
                      <w:color w:val="auto"/>
                    </w:rPr>
                    <w:t>/</w:t>
                  </w:r>
                </w:p>
              </w:tc>
              <w:tc>
                <w:tcPr>
                  <w:tcW w:w="1527" w:type="dxa"/>
                  <w:noWrap w:val="0"/>
                  <w:vAlign w:val="top"/>
                </w:tcPr>
                <w:p w14:paraId="0D6F25C8">
                  <w:pPr>
                    <w:spacing w:before="178" w:line="187" w:lineRule="auto"/>
                    <w:jc w:val="center"/>
                    <w:rPr>
                      <w:rFonts w:hint="eastAsia"/>
                      <w:color w:val="auto"/>
                      <w:spacing w:val="-1"/>
                      <w:szCs w:val="21"/>
                    </w:rPr>
                  </w:pPr>
                  <w:r>
                    <w:rPr>
                      <w:rFonts w:hint="eastAsia"/>
                      <w:color w:val="auto"/>
                      <w:spacing w:val="-1"/>
                      <w:szCs w:val="21"/>
                    </w:rPr>
                    <w:t>/</w:t>
                  </w:r>
                </w:p>
              </w:tc>
            </w:tr>
            <w:tr w14:paraId="7FC7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1" w:hRule="atLeast"/>
              </w:trPr>
              <w:tc>
                <w:tcPr>
                  <w:tcW w:w="1320" w:type="dxa"/>
                  <w:noWrap w:val="0"/>
                  <w:vAlign w:val="top"/>
                </w:tcPr>
                <w:p w14:paraId="1A44A0F9">
                  <w:pPr>
                    <w:jc w:val="center"/>
                    <w:rPr>
                      <w:color w:val="auto"/>
                    </w:rPr>
                  </w:pPr>
                  <w:r>
                    <w:rPr>
                      <w:rFonts w:hint="eastAsia"/>
                      <w:color w:val="auto"/>
                    </w:rPr>
                    <w:t>生产车间</w:t>
                  </w:r>
                </w:p>
              </w:tc>
              <w:tc>
                <w:tcPr>
                  <w:tcW w:w="1660" w:type="dxa"/>
                  <w:noWrap w:val="0"/>
                  <w:vAlign w:val="top"/>
                </w:tcPr>
                <w:p w14:paraId="56CCDE3B">
                  <w:pPr>
                    <w:jc w:val="center"/>
                    <w:rPr>
                      <w:color w:val="auto"/>
                    </w:rPr>
                  </w:pPr>
                  <w:r>
                    <w:rPr>
                      <w:rFonts w:hint="eastAsia"/>
                      <w:color w:val="auto"/>
                    </w:rPr>
                    <w:t>粉尘爆炸</w:t>
                  </w:r>
                </w:p>
              </w:tc>
              <w:tc>
                <w:tcPr>
                  <w:tcW w:w="1797" w:type="dxa"/>
                  <w:noWrap w:val="0"/>
                  <w:vAlign w:val="top"/>
                </w:tcPr>
                <w:p w14:paraId="2C193903">
                  <w:pPr>
                    <w:jc w:val="center"/>
                    <w:rPr>
                      <w:rFonts w:hint="eastAsia"/>
                      <w:color w:val="auto"/>
                    </w:rPr>
                  </w:pPr>
                  <w:r>
                    <w:rPr>
                      <w:rFonts w:hint="eastAsia"/>
                      <w:color w:val="auto"/>
                    </w:rPr>
                    <w:t>/</w:t>
                  </w:r>
                </w:p>
              </w:tc>
              <w:tc>
                <w:tcPr>
                  <w:tcW w:w="1710" w:type="dxa"/>
                  <w:noWrap w:val="0"/>
                  <w:vAlign w:val="top"/>
                </w:tcPr>
                <w:p w14:paraId="0E580B81">
                  <w:pPr>
                    <w:jc w:val="center"/>
                    <w:rPr>
                      <w:rFonts w:hint="eastAsia"/>
                      <w:color w:val="auto"/>
                    </w:rPr>
                  </w:pPr>
                  <w:r>
                    <w:rPr>
                      <w:rFonts w:hint="eastAsia"/>
                      <w:color w:val="auto"/>
                    </w:rPr>
                    <w:t>/</w:t>
                  </w:r>
                </w:p>
              </w:tc>
              <w:tc>
                <w:tcPr>
                  <w:tcW w:w="1527" w:type="dxa"/>
                  <w:noWrap w:val="0"/>
                  <w:vAlign w:val="top"/>
                </w:tcPr>
                <w:p w14:paraId="09ED9F24">
                  <w:pPr>
                    <w:spacing w:before="178" w:line="187" w:lineRule="auto"/>
                    <w:jc w:val="center"/>
                    <w:rPr>
                      <w:rFonts w:hint="eastAsia"/>
                      <w:color w:val="auto"/>
                      <w:spacing w:val="-1"/>
                      <w:szCs w:val="21"/>
                    </w:rPr>
                  </w:pPr>
                  <w:r>
                    <w:rPr>
                      <w:rFonts w:hint="eastAsia"/>
                      <w:color w:val="auto"/>
                      <w:spacing w:val="-1"/>
                      <w:szCs w:val="21"/>
                    </w:rPr>
                    <w:t>/</w:t>
                  </w:r>
                </w:p>
              </w:tc>
            </w:tr>
          </w:tbl>
          <w:p w14:paraId="305FE181">
            <w:pPr>
              <w:spacing w:before="54" w:line="247" w:lineRule="auto"/>
              <w:ind w:left="140" w:right="131"/>
              <w:rPr>
                <w:rFonts w:ascii="宋体" w:hAnsi="宋体" w:cs="宋体"/>
                <w:color w:val="auto"/>
                <w:spacing w:val="-4"/>
                <w:szCs w:val="21"/>
              </w:rPr>
            </w:pPr>
            <w:r>
              <w:rPr>
                <w:rFonts w:ascii="宋体" w:hAnsi="宋体" w:cs="宋体"/>
                <w:color w:val="auto"/>
                <w:spacing w:val="-8"/>
                <w:szCs w:val="21"/>
              </w:rPr>
              <w:t>说明：炭化废气（主要成分为</w:t>
            </w:r>
            <w:r>
              <w:rPr>
                <w:rFonts w:hint="eastAsia" w:ascii="宋体" w:hAnsi="宋体" w:cs="宋体"/>
                <w:color w:val="auto"/>
                <w:spacing w:val="-8"/>
                <w:szCs w:val="21"/>
              </w:rPr>
              <w:t>木</w:t>
            </w:r>
            <w:r>
              <w:rPr>
                <w:rFonts w:ascii="宋体" w:hAnsi="宋体" w:cs="宋体"/>
                <w:color w:val="auto"/>
                <w:spacing w:val="-8"/>
                <w:szCs w:val="21"/>
              </w:rPr>
              <w:t>煤气、</w:t>
            </w:r>
            <w:r>
              <w:rPr>
                <w:rFonts w:hint="eastAsia" w:ascii="宋体" w:hAnsi="宋体" w:cs="宋体"/>
                <w:color w:val="auto"/>
                <w:spacing w:val="-8"/>
                <w:szCs w:val="21"/>
              </w:rPr>
              <w:t>木</w:t>
            </w:r>
            <w:r>
              <w:rPr>
                <w:rFonts w:ascii="宋体" w:hAnsi="宋体" w:cs="宋体"/>
                <w:color w:val="auto"/>
                <w:spacing w:val="-8"/>
                <w:szCs w:val="21"/>
              </w:rPr>
              <w:t>焦油、</w:t>
            </w:r>
            <w:r>
              <w:rPr>
                <w:rFonts w:hint="eastAsia" w:ascii="宋体" w:hAnsi="宋体" w:cs="宋体"/>
                <w:color w:val="auto"/>
                <w:spacing w:val="-8"/>
                <w:szCs w:val="21"/>
              </w:rPr>
              <w:t>木</w:t>
            </w:r>
            <w:r>
              <w:rPr>
                <w:rFonts w:ascii="宋体" w:hAnsi="宋体" w:cs="宋体"/>
                <w:color w:val="auto"/>
                <w:spacing w:val="-8"/>
                <w:szCs w:val="21"/>
              </w:rPr>
              <w:t>醋液）引入</w:t>
            </w:r>
            <w:r>
              <w:rPr>
                <w:rFonts w:hint="eastAsia" w:ascii="宋体" w:hAnsi="宋体" w:cs="宋体"/>
                <w:color w:val="auto"/>
                <w:spacing w:val="-8"/>
                <w:szCs w:val="21"/>
              </w:rPr>
              <w:t>热风炉</w:t>
            </w:r>
            <w:r>
              <w:rPr>
                <w:rFonts w:ascii="宋体" w:hAnsi="宋体" w:cs="宋体"/>
                <w:color w:val="auto"/>
                <w:spacing w:val="-8"/>
                <w:szCs w:val="21"/>
              </w:rPr>
              <w:t>燃烧室内燃烧，不存储，取最</w:t>
            </w:r>
            <w:r>
              <w:rPr>
                <w:rFonts w:ascii="宋体" w:hAnsi="宋体" w:cs="宋体"/>
                <w:color w:val="auto"/>
                <w:spacing w:val="-4"/>
                <w:szCs w:val="21"/>
              </w:rPr>
              <w:t>大储存量取</w:t>
            </w:r>
            <w:r>
              <w:rPr>
                <w:rFonts w:eastAsia="Times New Roman"/>
                <w:color w:val="auto"/>
                <w:spacing w:val="-4"/>
                <w:szCs w:val="21"/>
              </w:rPr>
              <w:t>1h</w:t>
            </w:r>
            <w:r>
              <w:rPr>
                <w:rFonts w:ascii="宋体" w:hAnsi="宋体" w:cs="宋体"/>
                <w:color w:val="auto"/>
                <w:spacing w:val="-4"/>
                <w:szCs w:val="21"/>
              </w:rPr>
              <w:t>产生量。</w:t>
            </w:r>
          </w:p>
          <w:p w14:paraId="37677053">
            <w:pPr>
              <w:jc w:val="center"/>
              <w:rPr>
                <w:b/>
                <w:bCs/>
                <w:color w:val="auto"/>
                <w:sz w:val="24"/>
              </w:rPr>
            </w:pPr>
            <w:r>
              <w:rPr>
                <w:b/>
                <w:bCs/>
                <w:color w:val="auto"/>
                <w:sz w:val="24"/>
              </w:rPr>
              <w:t>表</w:t>
            </w:r>
            <w:r>
              <w:rPr>
                <w:rFonts w:hint="eastAsia"/>
                <w:b/>
                <w:bCs/>
                <w:color w:val="auto"/>
                <w:sz w:val="24"/>
              </w:rPr>
              <w:t>4-15</w:t>
            </w:r>
            <w:r>
              <w:rPr>
                <w:b/>
                <w:bCs/>
                <w:color w:val="auto"/>
                <w:sz w:val="24"/>
              </w:rPr>
              <w:t xml:space="preserve"> 主要危险有害物质因素的特性表</w:t>
            </w:r>
          </w:p>
          <w:tbl>
            <w:tblPr>
              <w:tblStyle w:val="23"/>
              <w:tblW w:w="7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0"/>
              <w:gridCol w:w="787"/>
              <w:gridCol w:w="1151"/>
              <w:gridCol w:w="5500"/>
            </w:tblGrid>
            <w:tr w14:paraId="399BC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atLeast"/>
                <w:jc w:val="center"/>
              </w:trPr>
              <w:tc>
                <w:tcPr>
                  <w:tcW w:w="460" w:type="dxa"/>
                  <w:noWrap w:val="0"/>
                  <w:textDirection w:val="tbRlV"/>
                  <w:vAlign w:val="top"/>
                </w:tcPr>
                <w:p w14:paraId="419D4B10">
                  <w:pPr>
                    <w:pStyle w:val="54"/>
                    <w:spacing w:before="145" w:line="207" w:lineRule="auto"/>
                    <w:ind w:left="35"/>
                    <w:rPr>
                      <w:rFonts w:hint="eastAsia" w:ascii="宋体" w:hAnsi="宋体" w:eastAsia="宋体" w:cs="宋体"/>
                      <w:b/>
                      <w:bCs/>
                      <w:color w:val="auto"/>
                      <w:sz w:val="21"/>
                      <w:szCs w:val="21"/>
                    </w:rPr>
                  </w:pPr>
                  <w:r>
                    <w:rPr>
                      <w:rFonts w:hint="eastAsia" w:ascii="宋体" w:hAnsi="宋体" w:eastAsia="宋体" w:cs="宋体"/>
                      <w:b/>
                      <w:bCs/>
                      <w:color w:val="auto"/>
                      <w:spacing w:val="31"/>
                      <w:sz w:val="21"/>
                      <w:szCs w:val="21"/>
                    </w:rPr>
                    <w:t>编号</w:t>
                  </w:r>
                </w:p>
              </w:tc>
              <w:tc>
                <w:tcPr>
                  <w:tcW w:w="787" w:type="dxa"/>
                  <w:noWrap w:val="0"/>
                  <w:vAlign w:val="top"/>
                </w:tcPr>
                <w:p w14:paraId="36D87BC4">
                  <w:pPr>
                    <w:pStyle w:val="54"/>
                    <w:spacing w:before="35" w:line="239" w:lineRule="auto"/>
                    <w:ind w:left="139"/>
                    <w:rPr>
                      <w:rFonts w:hint="eastAsia" w:ascii="宋体" w:hAnsi="宋体" w:eastAsia="宋体" w:cs="宋体"/>
                      <w:b/>
                      <w:bCs/>
                      <w:color w:val="auto"/>
                      <w:sz w:val="21"/>
                      <w:szCs w:val="21"/>
                    </w:rPr>
                  </w:pPr>
                  <w:r>
                    <w:rPr>
                      <w:rFonts w:hint="eastAsia" w:ascii="宋体" w:hAnsi="宋体" w:eastAsia="宋体" w:cs="宋体"/>
                      <w:b/>
                      <w:bCs/>
                      <w:color w:val="auto"/>
                      <w:spacing w:val="-2"/>
                      <w:sz w:val="21"/>
                      <w:szCs w:val="21"/>
                    </w:rPr>
                    <w:t>物质</w:t>
                  </w:r>
                </w:p>
                <w:p w14:paraId="682C69F4">
                  <w:pPr>
                    <w:pStyle w:val="54"/>
                    <w:spacing w:line="207" w:lineRule="auto"/>
                    <w:ind w:left="141"/>
                    <w:rPr>
                      <w:rFonts w:hint="eastAsia" w:ascii="宋体" w:hAnsi="宋体" w:eastAsia="宋体" w:cs="宋体"/>
                      <w:b/>
                      <w:bCs/>
                      <w:color w:val="auto"/>
                      <w:sz w:val="21"/>
                      <w:szCs w:val="21"/>
                    </w:rPr>
                  </w:pPr>
                  <w:r>
                    <w:rPr>
                      <w:rFonts w:hint="eastAsia" w:ascii="宋体" w:hAnsi="宋体" w:eastAsia="宋体" w:cs="宋体"/>
                      <w:b/>
                      <w:bCs/>
                      <w:color w:val="auto"/>
                      <w:spacing w:val="-3"/>
                      <w:sz w:val="21"/>
                      <w:szCs w:val="21"/>
                    </w:rPr>
                    <w:t>名称</w:t>
                  </w:r>
                </w:p>
              </w:tc>
              <w:tc>
                <w:tcPr>
                  <w:tcW w:w="1151" w:type="dxa"/>
                  <w:noWrap w:val="0"/>
                  <w:vAlign w:val="top"/>
                </w:tcPr>
                <w:p w14:paraId="06B5012A">
                  <w:pPr>
                    <w:pStyle w:val="54"/>
                    <w:spacing w:before="35" w:line="221" w:lineRule="auto"/>
                    <w:ind w:left="482"/>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性状</w:t>
                  </w:r>
                </w:p>
              </w:tc>
              <w:tc>
                <w:tcPr>
                  <w:tcW w:w="5500" w:type="dxa"/>
                  <w:noWrap w:val="0"/>
                  <w:vAlign w:val="top"/>
                </w:tcPr>
                <w:p w14:paraId="13519517">
                  <w:pPr>
                    <w:pStyle w:val="54"/>
                    <w:spacing w:before="35" w:line="221" w:lineRule="auto"/>
                    <w:ind w:left="255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危险特征</w:t>
                  </w:r>
                </w:p>
              </w:tc>
            </w:tr>
            <w:tr w14:paraId="0EA0C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0" w:hRule="atLeast"/>
                <w:jc w:val="center"/>
              </w:trPr>
              <w:tc>
                <w:tcPr>
                  <w:tcW w:w="460" w:type="dxa"/>
                  <w:noWrap w:val="0"/>
                  <w:vAlign w:val="top"/>
                </w:tcPr>
                <w:p w14:paraId="21B8EAE8">
                  <w:pPr>
                    <w:spacing w:line="271" w:lineRule="auto"/>
                    <w:rPr>
                      <w:rFonts w:hint="eastAsia" w:ascii="宋体" w:hAnsi="宋体" w:eastAsia="宋体" w:cs="宋体"/>
                      <w:color w:val="auto"/>
                      <w:sz w:val="21"/>
                      <w:szCs w:val="21"/>
                    </w:rPr>
                  </w:pPr>
                </w:p>
                <w:p w14:paraId="20EC339B">
                  <w:pPr>
                    <w:spacing w:line="271" w:lineRule="auto"/>
                    <w:rPr>
                      <w:rFonts w:hint="eastAsia" w:ascii="宋体" w:hAnsi="宋体" w:eastAsia="宋体" w:cs="宋体"/>
                      <w:color w:val="auto"/>
                      <w:sz w:val="21"/>
                      <w:szCs w:val="21"/>
                    </w:rPr>
                  </w:pPr>
                </w:p>
                <w:p w14:paraId="41356738">
                  <w:pPr>
                    <w:spacing w:line="271" w:lineRule="auto"/>
                    <w:rPr>
                      <w:rFonts w:hint="eastAsia" w:ascii="宋体" w:hAnsi="宋体" w:eastAsia="宋体" w:cs="宋体"/>
                      <w:color w:val="auto"/>
                      <w:sz w:val="21"/>
                      <w:szCs w:val="21"/>
                    </w:rPr>
                  </w:pPr>
                </w:p>
                <w:p w14:paraId="2ACE5C59">
                  <w:pPr>
                    <w:spacing w:line="271" w:lineRule="auto"/>
                    <w:rPr>
                      <w:rFonts w:hint="eastAsia" w:ascii="宋体" w:hAnsi="宋体" w:eastAsia="宋体" w:cs="宋体"/>
                      <w:color w:val="auto"/>
                      <w:sz w:val="21"/>
                      <w:szCs w:val="21"/>
                    </w:rPr>
                  </w:pPr>
                </w:p>
                <w:p w14:paraId="52C92C9F">
                  <w:pPr>
                    <w:spacing w:line="271" w:lineRule="auto"/>
                    <w:rPr>
                      <w:rFonts w:hint="eastAsia" w:ascii="宋体" w:hAnsi="宋体" w:eastAsia="宋体" w:cs="宋体"/>
                      <w:color w:val="auto"/>
                      <w:sz w:val="21"/>
                      <w:szCs w:val="21"/>
                    </w:rPr>
                  </w:pPr>
                </w:p>
                <w:p w14:paraId="45FCBA69">
                  <w:pPr>
                    <w:spacing w:line="272" w:lineRule="auto"/>
                    <w:rPr>
                      <w:rFonts w:hint="eastAsia" w:ascii="宋体" w:hAnsi="宋体" w:eastAsia="宋体" w:cs="宋体"/>
                      <w:color w:val="auto"/>
                      <w:sz w:val="21"/>
                      <w:szCs w:val="21"/>
                    </w:rPr>
                  </w:pPr>
                </w:p>
                <w:p w14:paraId="3A1804D5">
                  <w:pPr>
                    <w:spacing w:before="60" w:line="187" w:lineRule="auto"/>
                    <w:ind w:left="203"/>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787" w:type="dxa"/>
                  <w:noWrap w:val="0"/>
                  <w:vAlign w:val="top"/>
                </w:tcPr>
                <w:p w14:paraId="2D8D7ECE">
                  <w:pPr>
                    <w:spacing w:line="242" w:lineRule="auto"/>
                    <w:rPr>
                      <w:rFonts w:hint="eastAsia" w:ascii="宋体" w:hAnsi="宋体" w:eastAsia="宋体" w:cs="宋体"/>
                      <w:color w:val="auto"/>
                      <w:sz w:val="21"/>
                      <w:szCs w:val="21"/>
                    </w:rPr>
                  </w:pPr>
                </w:p>
                <w:p w14:paraId="2B219518">
                  <w:pPr>
                    <w:spacing w:line="242" w:lineRule="auto"/>
                    <w:rPr>
                      <w:rFonts w:hint="eastAsia" w:ascii="宋体" w:hAnsi="宋体" w:eastAsia="宋体" w:cs="宋体"/>
                      <w:color w:val="auto"/>
                      <w:sz w:val="21"/>
                      <w:szCs w:val="21"/>
                    </w:rPr>
                  </w:pPr>
                </w:p>
                <w:p w14:paraId="73445ED5">
                  <w:pPr>
                    <w:spacing w:line="242" w:lineRule="auto"/>
                    <w:rPr>
                      <w:rFonts w:hint="eastAsia" w:ascii="宋体" w:hAnsi="宋体" w:eastAsia="宋体" w:cs="宋体"/>
                      <w:color w:val="auto"/>
                      <w:sz w:val="21"/>
                      <w:szCs w:val="21"/>
                    </w:rPr>
                  </w:pPr>
                </w:p>
                <w:p w14:paraId="41B6C4DA">
                  <w:pPr>
                    <w:spacing w:line="242" w:lineRule="auto"/>
                    <w:rPr>
                      <w:rFonts w:hint="eastAsia" w:ascii="宋体" w:hAnsi="宋体" w:eastAsia="宋体" w:cs="宋体"/>
                      <w:color w:val="auto"/>
                      <w:sz w:val="21"/>
                      <w:szCs w:val="21"/>
                    </w:rPr>
                  </w:pPr>
                </w:p>
                <w:p w14:paraId="4EC5F431">
                  <w:pPr>
                    <w:spacing w:line="242" w:lineRule="auto"/>
                    <w:rPr>
                      <w:rFonts w:hint="eastAsia" w:ascii="宋体" w:hAnsi="宋体" w:eastAsia="宋体" w:cs="宋体"/>
                      <w:color w:val="auto"/>
                      <w:sz w:val="21"/>
                      <w:szCs w:val="21"/>
                    </w:rPr>
                  </w:pPr>
                </w:p>
                <w:p w14:paraId="6A5BF1D6">
                  <w:pPr>
                    <w:spacing w:line="242" w:lineRule="auto"/>
                    <w:rPr>
                      <w:rFonts w:hint="eastAsia" w:ascii="宋体" w:hAnsi="宋体" w:eastAsia="宋体" w:cs="宋体"/>
                      <w:color w:val="auto"/>
                      <w:sz w:val="21"/>
                      <w:szCs w:val="21"/>
                    </w:rPr>
                  </w:pPr>
                </w:p>
                <w:p w14:paraId="2E395F43">
                  <w:pPr>
                    <w:pStyle w:val="54"/>
                    <w:spacing w:before="69" w:line="238" w:lineRule="auto"/>
                    <w:ind w:left="139"/>
                    <w:rPr>
                      <w:rFonts w:hint="eastAsia" w:ascii="宋体" w:hAnsi="宋体" w:eastAsia="宋体" w:cs="宋体"/>
                      <w:color w:val="auto"/>
                      <w:sz w:val="21"/>
                      <w:szCs w:val="21"/>
                    </w:rPr>
                  </w:pPr>
                  <w:r>
                    <w:rPr>
                      <w:rFonts w:hint="eastAsia" w:ascii="宋体" w:hAnsi="宋体" w:eastAsia="宋体" w:cs="宋体"/>
                      <w:color w:val="auto"/>
                      <w:spacing w:val="-2"/>
                      <w:sz w:val="21"/>
                      <w:szCs w:val="21"/>
                      <w:lang w:eastAsia="zh-CN"/>
                    </w:rPr>
                    <w:t>木</w:t>
                  </w:r>
                  <w:r>
                    <w:rPr>
                      <w:rFonts w:hint="eastAsia" w:ascii="宋体" w:hAnsi="宋体" w:eastAsia="宋体" w:cs="宋体"/>
                      <w:color w:val="auto"/>
                      <w:spacing w:val="-2"/>
                      <w:sz w:val="21"/>
                      <w:szCs w:val="21"/>
                    </w:rPr>
                    <w:t>煤</w:t>
                  </w:r>
                </w:p>
                <w:p w14:paraId="6CF8C429">
                  <w:pPr>
                    <w:pStyle w:val="54"/>
                    <w:spacing w:line="222" w:lineRule="auto"/>
                    <w:ind w:left="243"/>
                    <w:rPr>
                      <w:rFonts w:hint="eastAsia" w:ascii="宋体" w:hAnsi="宋体" w:eastAsia="宋体" w:cs="宋体"/>
                      <w:color w:val="auto"/>
                      <w:sz w:val="21"/>
                      <w:szCs w:val="21"/>
                    </w:rPr>
                  </w:pPr>
                  <w:r>
                    <w:rPr>
                      <w:rFonts w:hint="eastAsia" w:ascii="宋体" w:hAnsi="宋体" w:eastAsia="宋体" w:cs="宋体"/>
                      <w:color w:val="auto"/>
                      <w:sz w:val="21"/>
                      <w:szCs w:val="21"/>
                    </w:rPr>
                    <w:t>气</w:t>
                  </w:r>
                </w:p>
              </w:tc>
              <w:tc>
                <w:tcPr>
                  <w:tcW w:w="1151" w:type="dxa"/>
                  <w:noWrap w:val="0"/>
                  <w:vAlign w:val="top"/>
                </w:tcPr>
                <w:p w14:paraId="44F3EC82">
                  <w:pPr>
                    <w:spacing w:line="295" w:lineRule="auto"/>
                    <w:rPr>
                      <w:rFonts w:hint="default" w:ascii="Times New Roman" w:hAnsi="Times New Roman" w:eastAsia="宋体" w:cs="Times New Roman"/>
                      <w:color w:val="auto"/>
                      <w:sz w:val="21"/>
                      <w:szCs w:val="21"/>
                    </w:rPr>
                  </w:pPr>
                </w:p>
                <w:p w14:paraId="45EEE8BC">
                  <w:pPr>
                    <w:spacing w:line="295" w:lineRule="auto"/>
                    <w:rPr>
                      <w:rFonts w:hint="default" w:ascii="Times New Roman" w:hAnsi="Times New Roman" w:eastAsia="宋体" w:cs="Times New Roman"/>
                      <w:color w:val="auto"/>
                      <w:sz w:val="21"/>
                      <w:szCs w:val="21"/>
                    </w:rPr>
                  </w:pPr>
                </w:p>
                <w:p w14:paraId="1A63ACD1">
                  <w:pPr>
                    <w:spacing w:line="295" w:lineRule="auto"/>
                    <w:rPr>
                      <w:rFonts w:hint="default" w:ascii="Times New Roman" w:hAnsi="Times New Roman" w:eastAsia="宋体" w:cs="Times New Roman"/>
                      <w:color w:val="auto"/>
                      <w:sz w:val="21"/>
                      <w:szCs w:val="21"/>
                    </w:rPr>
                  </w:pPr>
                </w:p>
                <w:p w14:paraId="739AEBF2">
                  <w:pPr>
                    <w:spacing w:line="295" w:lineRule="auto"/>
                    <w:rPr>
                      <w:rFonts w:hint="default" w:ascii="Times New Roman" w:hAnsi="Times New Roman" w:eastAsia="宋体" w:cs="Times New Roman"/>
                      <w:color w:val="auto"/>
                      <w:sz w:val="21"/>
                      <w:szCs w:val="21"/>
                    </w:rPr>
                  </w:pPr>
                </w:p>
                <w:p w14:paraId="43F7AE21">
                  <w:pPr>
                    <w:pStyle w:val="54"/>
                    <w:spacing w:before="68" w:line="233" w:lineRule="auto"/>
                    <w:ind w:right="107"/>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6"/>
                      <w:sz w:val="21"/>
                      <w:szCs w:val="21"/>
                      <w:lang w:eastAsia="zh-CN"/>
                    </w:rPr>
                    <w:t>气体，一氧化</w:t>
                  </w:r>
                  <w:r>
                    <w:rPr>
                      <w:rFonts w:hint="default" w:ascii="Times New Roman" w:hAnsi="Times New Roman" w:eastAsia="宋体" w:cs="Times New Roman"/>
                      <w:color w:val="auto"/>
                      <w:spacing w:val="2"/>
                      <w:sz w:val="21"/>
                      <w:szCs w:val="21"/>
                      <w:lang w:eastAsia="zh-CN"/>
                    </w:rPr>
                    <w:t xml:space="preserve"> </w:t>
                  </w:r>
                  <w:r>
                    <w:rPr>
                      <w:rFonts w:hint="default" w:ascii="Times New Roman" w:hAnsi="Times New Roman" w:eastAsia="宋体" w:cs="Times New Roman"/>
                      <w:color w:val="auto"/>
                      <w:spacing w:val="-16"/>
                      <w:sz w:val="21"/>
                      <w:szCs w:val="21"/>
                      <w:lang w:eastAsia="zh-CN"/>
                    </w:rPr>
                    <w:t>碳、氢气、甲</w:t>
                  </w:r>
                  <w:r>
                    <w:rPr>
                      <w:rFonts w:hint="default" w:ascii="Times New Roman" w:hAnsi="Times New Roman" w:eastAsia="宋体" w:cs="Times New Roman"/>
                      <w:color w:val="auto"/>
                      <w:spacing w:val="2"/>
                      <w:sz w:val="21"/>
                      <w:szCs w:val="21"/>
                      <w:lang w:eastAsia="zh-CN"/>
                    </w:rPr>
                    <w:t xml:space="preserve"> </w:t>
                  </w:r>
                  <w:r>
                    <w:rPr>
                      <w:rFonts w:hint="default" w:ascii="Times New Roman" w:hAnsi="Times New Roman" w:eastAsia="宋体" w:cs="Times New Roman"/>
                      <w:color w:val="auto"/>
                      <w:spacing w:val="-16"/>
                      <w:sz w:val="21"/>
                      <w:szCs w:val="21"/>
                      <w:lang w:eastAsia="zh-CN"/>
                    </w:rPr>
                    <w:t>烷、氮气等混</w:t>
                  </w:r>
                </w:p>
                <w:p w14:paraId="012C651D">
                  <w:pPr>
                    <w:pStyle w:val="54"/>
                    <w:spacing w:before="23" w:line="222" w:lineRule="auto"/>
                    <w:ind w:left="37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合物。</w:t>
                  </w:r>
                </w:p>
              </w:tc>
              <w:tc>
                <w:tcPr>
                  <w:tcW w:w="5500" w:type="dxa"/>
                  <w:noWrap w:val="0"/>
                  <w:vAlign w:val="top"/>
                </w:tcPr>
                <w:p w14:paraId="36A28453">
                  <w:pPr>
                    <w:pStyle w:val="54"/>
                    <w:spacing w:before="33" w:line="229" w:lineRule="auto"/>
                    <w:ind w:left="111" w:right="203"/>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lang w:eastAsia="zh-CN"/>
                    </w:rPr>
                    <w:t>危险货物编号</w:t>
                  </w:r>
                  <w:r>
                    <w:rPr>
                      <w:rFonts w:hint="default" w:ascii="Times New Roman" w:hAnsi="Times New Roman" w:eastAsia="宋体" w:cs="Times New Roman"/>
                      <w:color w:val="auto"/>
                      <w:spacing w:val="-37"/>
                      <w:sz w:val="21"/>
                      <w:szCs w:val="21"/>
                      <w:lang w:eastAsia="zh-CN"/>
                    </w:rPr>
                    <w:t xml:space="preserve"> </w:t>
                  </w:r>
                  <w:r>
                    <w:rPr>
                      <w:rFonts w:hint="default" w:ascii="Times New Roman" w:hAnsi="Times New Roman" w:eastAsia="宋体" w:cs="Times New Roman"/>
                      <w:color w:val="auto"/>
                      <w:spacing w:val="-1"/>
                      <w:sz w:val="21"/>
                      <w:szCs w:val="21"/>
                      <w:lang w:eastAsia="zh-CN"/>
                    </w:rPr>
                    <w:t>23030。在血液中与血红蛋白结合而造成组织缺</w:t>
                  </w:r>
                  <w:r>
                    <w:rPr>
                      <w:rFonts w:hint="default" w:ascii="Times New Roman" w:hAnsi="Times New Roman" w:eastAsia="宋体" w:cs="Times New Roman"/>
                      <w:color w:val="auto"/>
                      <w:spacing w:val="-2"/>
                      <w:sz w:val="21"/>
                      <w:szCs w:val="21"/>
                      <w:lang w:eastAsia="zh-CN"/>
                    </w:rPr>
                    <w:t>血，即俗称的煤气中毒。</w:t>
                  </w:r>
                </w:p>
                <w:p w14:paraId="77DB6CC6">
                  <w:pPr>
                    <w:pStyle w:val="54"/>
                    <w:spacing w:before="23" w:line="229" w:lineRule="auto"/>
                    <w:ind w:left="119" w:right="174" w:hanging="3"/>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5"/>
                      <w:sz w:val="21"/>
                      <w:szCs w:val="21"/>
                      <w:lang w:eastAsia="zh-CN"/>
                    </w:rPr>
                    <w:t>急性中毒：轻度中毒者出现头痛、头晕、耳鸣、心悸、恶心、</w:t>
                  </w:r>
                  <w:r>
                    <w:rPr>
                      <w:rFonts w:hint="default" w:ascii="Times New Roman" w:hAnsi="Times New Roman" w:eastAsia="宋体" w:cs="Times New Roman"/>
                      <w:color w:val="auto"/>
                      <w:spacing w:val="-2"/>
                      <w:sz w:val="21"/>
                      <w:szCs w:val="21"/>
                      <w:lang w:eastAsia="zh-CN"/>
                    </w:rPr>
                    <w:t>呕吐、无力，血液碳氧血红蛋白浓度可高于</w:t>
                  </w:r>
                  <w:r>
                    <w:rPr>
                      <w:rFonts w:hint="default" w:ascii="Times New Roman" w:hAnsi="Times New Roman" w:eastAsia="宋体" w:cs="Times New Roman"/>
                      <w:color w:val="auto"/>
                      <w:spacing w:val="-21"/>
                      <w:sz w:val="21"/>
                      <w:szCs w:val="21"/>
                      <w:lang w:eastAsia="zh-CN"/>
                    </w:rPr>
                    <w:t xml:space="preserve"> </w:t>
                  </w:r>
                  <w:r>
                    <w:rPr>
                      <w:rFonts w:hint="default" w:ascii="Times New Roman" w:hAnsi="Times New Roman" w:eastAsia="宋体" w:cs="Times New Roman"/>
                      <w:color w:val="auto"/>
                      <w:spacing w:val="-2"/>
                      <w:sz w:val="21"/>
                      <w:szCs w:val="21"/>
                      <w:lang w:eastAsia="zh-CN"/>
                    </w:rPr>
                    <w:t>10%；</w:t>
                  </w:r>
                </w:p>
                <w:p w14:paraId="674A6802">
                  <w:pPr>
                    <w:pStyle w:val="54"/>
                    <w:spacing w:before="23" w:line="234" w:lineRule="auto"/>
                    <w:ind w:left="109" w:right="142" w:firstLine="1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lang w:eastAsia="zh-CN"/>
                    </w:rPr>
                    <w:t>中度中毒者除上述症状外，还有皮肤黏膜呈樱红色、脉快、烦</w:t>
                  </w:r>
                  <w:r>
                    <w:rPr>
                      <w:rFonts w:hint="default" w:ascii="Times New Roman" w:hAnsi="Times New Roman" w:eastAsia="宋体" w:cs="Times New Roman"/>
                      <w:color w:val="auto"/>
                      <w:spacing w:val="17"/>
                      <w:sz w:val="21"/>
                      <w:szCs w:val="21"/>
                      <w:lang w:eastAsia="zh-CN"/>
                    </w:rPr>
                    <w:t xml:space="preserve"> </w:t>
                  </w:r>
                  <w:r>
                    <w:rPr>
                      <w:rFonts w:hint="default" w:ascii="Times New Roman" w:hAnsi="Times New Roman" w:eastAsia="宋体" w:cs="Times New Roman"/>
                      <w:color w:val="auto"/>
                      <w:spacing w:val="-4"/>
                      <w:sz w:val="21"/>
                      <w:szCs w:val="21"/>
                      <w:lang w:eastAsia="zh-CN"/>
                    </w:rPr>
                    <w:t>躁、步态不稳、浅至中度昏迷，血液碳氧血红蛋白浓度可高于</w:t>
                  </w:r>
                  <w:r>
                    <w:rPr>
                      <w:rFonts w:hint="default" w:ascii="Times New Roman" w:hAnsi="Times New Roman" w:eastAsia="宋体" w:cs="Times New Roman"/>
                      <w:color w:val="auto"/>
                      <w:spacing w:val="4"/>
                      <w:sz w:val="21"/>
                      <w:szCs w:val="21"/>
                      <w:lang w:eastAsia="zh-CN"/>
                    </w:rPr>
                    <w:t xml:space="preserve"> </w:t>
                  </w:r>
                  <w:r>
                    <w:rPr>
                      <w:rFonts w:hint="default" w:ascii="Times New Roman" w:hAnsi="Times New Roman" w:eastAsia="宋体" w:cs="Times New Roman"/>
                      <w:color w:val="auto"/>
                      <w:spacing w:val="-2"/>
                      <w:sz w:val="21"/>
                      <w:szCs w:val="21"/>
                      <w:lang w:eastAsia="zh-CN"/>
                    </w:rPr>
                    <w:t>30%；</w:t>
                  </w:r>
                </w:p>
                <w:p w14:paraId="4797B456">
                  <w:pPr>
                    <w:pStyle w:val="54"/>
                    <w:spacing w:before="17" w:line="232" w:lineRule="auto"/>
                    <w:ind w:left="110" w:right="94"/>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重度患者深度昏迷、瞳孔缩小、肌张力增强、频繁抽</w:t>
                  </w:r>
                  <w:r>
                    <w:rPr>
                      <w:rFonts w:hint="default" w:ascii="Times New Roman" w:hAnsi="Times New Roman" w:eastAsia="宋体" w:cs="Times New Roman"/>
                      <w:color w:val="auto"/>
                      <w:spacing w:val="-1"/>
                      <w:sz w:val="21"/>
                      <w:szCs w:val="21"/>
                      <w:lang w:eastAsia="zh-CN"/>
                    </w:rPr>
                    <w:t>搐、大小</w:t>
                  </w:r>
                  <w:r>
                    <w:rPr>
                      <w:rFonts w:hint="default" w:ascii="Times New Roman" w:hAnsi="Times New Roman" w:eastAsia="宋体" w:cs="Times New Roman"/>
                      <w:color w:val="auto"/>
                      <w:sz w:val="21"/>
                      <w:szCs w:val="21"/>
                      <w:lang w:eastAsia="zh-CN"/>
                    </w:rPr>
                    <w:t>便失禁、休克、肺水肿、严重心肌损害等，血液碳氧</w:t>
                  </w:r>
                  <w:r>
                    <w:rPr>
                      <w:rFonts w:hint="default" w:ascii="Times New Roman" w:hAnsi="Times New Roman" w:eastAsia="宋体" w:cs="Times New Roman"/>
                      <w:color w:val="auto"/>
                      <w:spacing w:val="-1"/>
                      <w:sz w:val="21"/>
                      <w:szCs w:val="21"/>
                      <w:lang w:eastAsia="zh-CN"/>
                    </w:rPr>
                    <w:t>血红蛋白</w:t>
                  </w:r>
                  <w:r>
                    <w:rPr>
                      <w:rFonts w:hint="default" w:ascii="Times New Roman" w:hAnsi="Times New Roman" w:eastAsia="宋体" w:cs="Times New Roman"/>
                      <w:color w:val="auto"/>
                      <w:spacing w:val="-5"/>
                      <w:sz w:val="21"/>
                      <w:szCs w:val="21"/>
                      <w:lang w:eastAsia="zh-CN"/>
                    </w:rPr>
                    <w:t>可高于</w:t>
                  </w:r>
                  <w:r>
                    <w:rPr>
                      <w:rFonts w:hint="default" w:ascii="Times New Roman" w:hAnsi="Times New Roman" w:eastAsia="宋体" w:cs="Times New Roman"/>
                      <w:color w:val="auto"/>
                      <w:spacing w:val="-42"/>
                      <w:sz w:val="21"/>
                      <w:szCs w:val="21"/>
                      <w:lang w:eastAsia="zh-CN"/>
                    </w:rPr>
                    <w:t xml:space="preserve"> </w:t>
                  </w:r>
                  <w:r>
                    <w:rPr>
                      <w:rFonts w:hint="default" w:ascii="Times New Roman" w:hAnsi="Times New Roman" w:eastAsia="宋体" w:cs="Times New Roman"/>
                      <w:color w:val="auto"/>
                      <w:spacing w:val="-5"/>
                      <w:sz w:val="21"/>
                      <w:szCs w:val="21"/>
                      <w:lang w:eastAsia="zh-CN"/>
                    </w:rPr>
                    <w:t>50%。部分患者昏迷苏醒后，</w:t>
                  </w:r>
                  <w:r>
                    <w:rPr>
                      <w:rFonts w:hint="default" w:ascii="Times New Roman" w:hAnsi="Times New Roman" w:eastAsia="宋体" w:cs="Times New Roman"/>
                      <w:color w:val="auto"/>
                      <w:spacing w:val="-60"/>
                      <w:sz w:val="21"/>
                      <w:szCs w:val="21"/>
                      <w:lang w:eastAsia="zh-CN"/>
                    </w:rPr>
                    <w:t xml:space="preserve"> </w:t>
                  </w:r>
                  <w:r>
                    <w:rPr>
                      <w:rFonts w:hint="default" w:ascii="Times New Roman" w:hAnsi="Times New Roman" w:eastAsia="宋体" w:cs="Times New Roman"/>
                      <w:color w:val="auto"/>
                      <w:spacing w:val="-5"/>
                      <w:sz w:val="21"/>
                      <w:szCs w:val="21"/>
                      <w:lang w:eastAsia="zh-CN"/>
                    </w:rPr>
                    <w:t>约经</w:t>
                  </w:r>
                  <w:r>
                    <w:rPr>
                      <w:rFonts w:hint="default" w:ascii="Times New Roman" w:hAnsi="Times New Roman" w:eastAsia="宋体" w:cs="Times New Roman"/>
                      <w:color w:val="auto"/>
                      <w:spacing w:val="-49"/>
                      <w:sz w:val="21"/>
                      <w:szCs w:val="21"/>
                      <w:lang w:eastAsia="zh-CN"/>
                    </w:rPr>
                    <w:t xml:space="preserve"> </w:t>
                  </w:r>
                  <w:r>
                    <w:rPr>
                      <w:rFonts w:hint="default" w:ascii="Times New Roman" w:hAnsi="Times New Roman" w:eastAsia="宋体" w:cs="Times New Roman"/>
                      <w:color w:val="auto"/>
                      <w:spacing w:val="-5"/>
                      <w:sz w:val="21"/>
                      <w:szCs w:val="21"/>
                      <w:lang w:eastAsia="zh-CN"/>
                    </w:rPr>
                    <w:t>2~6</w:t>
                  </w:r>
                  <w:r>
                    <w:rPr>
                      <w:rFonts w:hint="default" w:ascii="Times New Roman" w:hAnsi="Times New Roman" w:eastAsia="宋体" w:cs="Times New Roman"/>
                      <w:color w:val="auto"/>
                      <w:spacing w:val="-6"/>
                      <w:sz w:val="21"/>
                      <w:szCs w:val="21"/>
                      <w:lang w:eastAsia="zh-CN"/>
                    </w:rPr>
                    <w:t>0</w:t>
                  </w:r>
                  <w:r>
                    <w:rPr>
                      <w:rFonts w:hint="default" w:ascii="Times New Roman" w:hAnsi="Times New Roman" w:eastAsia="宋体" w:cs="Times New Roman"/>
                      <w:color w:val="auto"/>
                      <w:spacing w:val="13"/>
                      <w:sz w:val="21"/>
                      <w:szCs w:val="21"/>
                      <w:lang w:eastAsia="zh-CN"/>
                    </w:rPr>
                    <w:t xml:space="preserve"> </w:t>
                  </w:r>
                  <w:r>
                    <w:rPr>
                      <w:rFonts w:hint="default" w:ascii="Times New Roman" w:hAnsi="Times New Roman" w:eastAsia="宋体" w:cs="Times New Roman"/>
                      <w:color w:val="auto"/>
                      <w:spacing w:val="-6"/>
                      <w:sz w:val="21"/>
                      <w:szCs w:val="21"/>
                      <w:lang w:eastAsia="zh-CN"/>
                    </w:rPr>
                    <w:t>天的症状和解期</w:t>
                  </w:r>
                  <w:r>
                    <w:rPr>
                      <w:rFonts w:hint="default" w:ascii="Times New Roman" w:hAnsi="Times New Roman" w:eastAsia="宋体" w:cs="Times New Roman"/>
                      <w:color w:val="auto"/>
                      <w:sz w:val="21"/>
                      <w:szCs w:val="21"/>
                      <w:lang w:eastAsia="zh-CN"/>
                    </w:rPr>
                    <w:t>后，又可能出现迟发性脑病，以意识精神障碍、锥体</w:t>
                  </w:r>
                  <w:r>
                    <w:rPr>
                      <w:rFonts w:hint="default" w:ascii="Times New Roman" w:hAnsi="Times New Roman" w:eastAsia="宋体" w:cs="Times New Roman"/>
                      <w:color w:val="auto"/>
                      <w:spacing w:val="-1"/>
                      <w:sz w:val="21"/>
                      <w:szCs w:val="21"/>
                      <w:lang w:eastAsia="zh-CN"/>
                    </w:rPr>
                    <w:t>系或锥体</w:t>
                  </w:r>
                  <w:r>
                    <w:rPr>
                      <w:rFonts w:hint="default" w:ascii="Times New Roman" w:hAnsi="Times New Roman" w:eastAsia="宋体" w:cs="Times New Roman"/>
                      <w:color w:val="auto"/>
                      <w:sz w:val="21"/>
                      <w:szCs w:val="21"/>
                      <w:lang w:eastAsia="zh-CN"/>
                    </w:rPr>
                    <w:t>外系损害为主。慢性影响：能否造成慢性中毒及对心</w:t>
                  </w:r>
                  <w:r>
                    <w:rPr>
                      <w:rFonts w:hint="default" w:ascii="Times New Roman" w:hAnsi="Times New Roman" w:eastAsia="宋体" w:cs="Times New Roman"/>
                      <w:color w:val="auto"/>
                      <w:spacing w:val="-1"/>
                      <w:sz w:val="21"/>
                      <w:szCs w:val="21"/>
                      <w:lang w:eastAsia="zh-CN"/>
                    </w:rPr>
                    <w:t>血管影响</w:t>
                  </w:r>
                  <w:r>
                    <w:rPr>
                      <w:rFonts w:hint="default" w:ascii="Times New Roman" w:hAnsi="Times New Roman" w:eastAsia="宋体" w:cs="Times New Roman"/>
                      <w:color w:val="auto"/>
                      <w:spacing w:val="-2"/>
                      <w:sz w:val="21"/>
                      <w:szCs w:val="21"/>
                      <w:lang w:eastAsia="zh-CN"/>
                    </w:rPr>
                    <w:t>无定论。</w:t>
                  </w:r>
                </w:p>
              </w:tc>
            </w:tr>
            <w:tr w14:paraId="2CA0B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3" w:hRule="atLeast"/>
                <w:jc w:val="center"/>
              </w:trPr>
              <w:tc>
                <w:tcPr>
                  <w:tcW w:w="460" w:type="dxa"/>
                  <w:noWrap w:val="0"/>
                  <w:vAlign w:val="top"/>
                </w:tcPr>
                <w:p w14:paraId="49887732">
                  <w:pPr>
                    <w:spacing w:line="424" w:lineRule="auto"/>
                    <w:rPr>
                      <w:rFonts w:hint="eastAsia" w:ascii="宋体" w:hAnsi="宋体" w:eastAsia="宋体" w:cs="宋体"/>
                      <w:color w:val="auto"/>
                      <w:sz w:val="21"/>
                      <w:szCs w:val="21"/>
                    </w:rPr>
                  </w:pPr>
                </w:p>
                <w:p w14:paraId="537A1863">
                  <w:pPr>
                    <w:spacing w:before="61" w:line="187" w:lineRule="auto"/>
                    <w:ind w:left="183"/>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787" w:type="dxa"/>
                  <w:noWrap w:val="0"/>
                  <w:vAlign w:val="top"/>
                </w:tcPr>
                <w:p w14:paraId="2CF30715">
                  <w:pPr>
                    <w:spacing w:line="249" w:lineRule="auto"/>
                    <w:rPr>
                      <w:rFonts w:hint="eastAsia" w:ascii="宋体" w:hAnsi="宋体" w:eastAsia="宋体" w:cs="宋体"/>
                      <w:color w:val="auto"/>
                      <w:sz w:val="21"/>
                      <w:szCs w:val="21"/>
                    </w:rPr>
                  </w:pPr>
                </w:p>
                <w:p w14:paraId="4A71D3B8">
                  <w:pPr>
                    <w:pStyle w:val="54"/>
                    <w:spacing w:before="69" w:line="222" w:lineRule="auto"/>
                    <w:ind w:left="139"/>
                    <w:rPr>
                      <w:rFonts w:hint="eastAsia" w:ascii="宋体" w:hAnsi="宋体" w:eastAsia="宋体" w:cs="宋体"/>
                      <w:color w:val="auto"/>
                      <w:sz w:val="21"/>
                      <w:szCs w:val="21"/>
                    </w:rPr>
                  </w:pPr>
                  <w:r>
                    <w:rPr>
                      <w:rFonts w:hint="eastAsia" w:ascii="宋体" w:hAnsi="宋体" w:eastAsia="宋体" w:cs="宋体"/>
                      <w:color w:val="auto"/>
                      <w:spacing w:val="-2"/>
                      <w:sz w:val="21"/>
                      <w:szCs w:val="21"/>
                      <w:lang w:eastAsia="zh-CN"/>
                    </w:rPr>
                    <w:t>木</w:t>
                  </w:r>
                  <w:r>
                    <w:rPr>
                      <w:rFonts w:hint="eastAsia" w:ascii="宋体" w:hAnsi="宋体" w:eastAsia="宋体" w:cs="宋体"/>
                      <w:color w:val="auto"/>
                      <w:spacing w:val="-2"/>
                      <w:sz w:val="21"/>
                      <w:szCs w:val="21"/>
                    </w:rPr>
                    <w:t>焦</w:t>
                  </w:r>
                </w:p>
                <w:p w14:paraId="1E876C71">
                  <w:pPr>
                    <w:pStyle w:val="54"/>
                    <w:spacing w:before="18" w:line="225" w:lineRule="auto"/>
                    <w:ind w:left="245"/>
                    <w:rPr>
                      <w:rFonts w:hint="eastAsia" w:ascii="宋体" w:hAnsi="宋体" w:eastAsia="宋体" w:cs="宋体"/>
                      <w:color w:val="auto"/>
                      <w:sz w:val="21"/>
                      <w:szCs w:val="21"/>
                    </w:rPr>
                  </w:pPr>
                  <w:r>
                    <w:rPr>
                      <w:rFonts w:hint="eastAsia" w:ascii="宋体" w:hAnsi="宋体" w:eastAsia="宋体" w:cs="宋体"/>
                      <w:color w:val="auto"/>
                      <w:sz w:val="21"/>
                      <w:szCs w:val="21"/>
                    </w:rPr>
                    <w:t>油</w:t>
                  </w:r>
                </w:p>
              </w:tc>
              <w:tc>
                <w:tcPr>
                  <w:tcW w:w="1151" w:type="dxa"/>
                  <w:noWrap w:val="0"/>
                  <w:vAlign w:val="top"/>
                </w:tcPr>
                <w:p w14:paraId="599A4EA3">
                  <w:pPr>
                    <w:pStyle w:val="54"/>
                    <w:spacing w:before="46" w:line="233" w:lineRule="auto"/>
                    <w:ind w:right="107"/>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6"/>
                      <w:sz w:val="21"/>
                      <w:szCs w:val="21"/>
                      <w:lang w:eastAsia="zh-CN"/>
                    </w:rPr>
                    <w:t>液体，主要成</w:t>
                  </w:r>
                  <w:r>
                    <w:rPr>
                      <w:rFonts w:hint="default" w:ascii="Times New Roman" w:hAnsi="Times New Roman" w:eastAsia="宋体" w:cs="Times New Roman"/>
                      <w:color w:val="auto"/>
                      <w:spacing w:val="1"/>
                      <w:sz w:val="21"/>
                      <w:szCs w:val="21"/>
                      <w:lang w:eastAsia="zh-CN"/>
                    </w:rPr>
                    <w:t xml:space="preserve"> </w:t>
                  </w:r>
                  <w:r>
                    <w:rPr>
                      <w:rFonts w:hint="default" w:ascii="Times New Roman" w:hAnsi="Times New Roman" w:eastAsia="宋体" w:cs="Times New Roman"/>
                      <w:color w:val="auto"/>
                      <w:spacing w:val="-16"/>
                      <w:sz w:val="21"/>
                      <w:szCs w:val="21"/>
                      <w:lang w:eastAsia="zh-CN"/>
                    </w:rPr>
                    <w:t>分为烃类、酚</w:t>
                  </w:r>
                  <w:r>
                    <w:rPr>
                      <w:rFonts w:hint="default" w:ascii="Times New Roman" w:hAnsi="Times New Roman" w:eastAsia="宋体" w:cs="Times New Roman"/>
                      <w:color w:val="auto"/>
                      <w:spacing w:val="2"/>
                      <w:sz w:val="21"/>
                      <w:szCs w:val="21"/>
                      <w:lang w:eastAsia="zh-CN"/>
                    </w:rPr>
                    <w:t xml:space="preserve"> </w:t>
                  </w:r>
                  <w:r>
                    <w:rPr>
                      <w:rFonts w:hint="default" w:ascii="Times New Roman" w:hAnsi="Times New Roman" w:eastAsia="宋体" w:cs="Times New Roman"/>
                      <w:color w:val="auto"/>
                      <w:spacing w:val="-16"/>
                      <w:sz w:val="21"/>
                      <w:szCs w:val="21"/>
                      <w:lang w:eastAsia="zh-CN"/>
                    </w:rPr>
                    <w:t>类、酸类等化</w:t>
                  </w:r>
                  <w:r>
                    <w:rPr>
                      <w:rFonts w:hint="default" w:ascii="Times New Roman" w:hAnsi="Times New Roman" w:eastAsia="宋体" w:cs="Times New Roman"/>
                      <w:color w:val="auto"/>
                      <w:spacing w:val="-8"/>
                      <w:sz w:val="21"/>
                      <w:szCs w:val="21"/>
                      <w:lang w:eastAsia="zh-CN"/>
                    </w:rPr>
                    <w:t>合物。</w:t>
                  </w:r>
                </w:p>
              </w:tc>
              <w:tc>
                <w:tcPr>
                  <w:tcW w:w="5500" w:type="dxa"/>
                  <w:noWrap w:val="0"/>
                  <w:vAlign w:val="top"/>
                </w:tcPr>
                <w:p w14:paraId="7939A5FA">
                  <w:pPr>
                    <w:spacing w:line="250" w:lineRule="auto"/>
                    <w:rPr>
                      <w:rFonts w:hint="default" w:ascii="Times New Roman" w:hAnsi="Times New Roman" w:eastAsia="宋体" w:cs="Times New Roman"/>
                      <w:color w:val="auto"/>
                      <w:sz w:val="21"/>
                      <w:szCs w:val="21"/>
                    </w:rPr>
                  </w:pPr>
                </w:p>
                <w:p w14:paraId="13DD0D31">
                  <w:pPr>
                    <w:pStyle w:val="54"/>
                    <w:spacing w:before="69" w:line="229" w:lineRule="auto"/>
                    <w:ind w:left="111" w:right="94"/>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3"/>
                      <w:sz w:val="21"/>
                      <w:szCs w:val="21"/>
                      <w:lang w:eastAsia="zh-CN"/>
                    </w:rPr>
                    <w:t>危险货物编号</w:t>
                  </w:r>
                  <w:r>
                    <w:rPr>
                      <w:rFonts w:hint="default" w:ascii="Times New Roman" w:hAnsi="Times New Roman" w:eastAsia="宋体" w:cs="Times New Roman"/>
                      <w:color w:val="auto"/>
                      <w:spacing w:val="-41"/>
                      <w:sz w:val="21"/>
                      <w:szCs w:val="21"/>
                      <w:lang w:eastAsia="zh-CN"/>
                    </w:rPr>
                    <w:t xml:space="preserve"> </w:t>
                  </w:r>
                  <w:r>
                    <w:rPr>
                      <w:rFonts w:hint="default" w:ascii="Times New Roman" w:hAnsi="Times New Roman" w:eastAsia="宋体" w:cs="Times New Roman"/>
                      <w:color w:val="auto"/>
                      <w:spacing w:val="-3"/>
                      <w:sz w:val="21"/>
                      <w:szCs w:val="21"/>
                      <w:lang w:eastAsia="zh-CN"/>
                    </w:rPr>
                    <w:t>32192。燃点</w:t>
                  </w:r>
                  <w:r>
                    <w:rPr>
                      <w:rFonts w:hint="default" w:ascii="Times New Roman" w:hAnsi="Times New Roman" w:eastAsia="宋体" w:cs="Times New Roman"/>
                      <w:color w:val="auto"/>
                      <w:spacing w:val="-39"/>
                      <w:sz w:val="21"/>
                      <w:szCs w:val="21"/>
                      <w:lang w:eastAsia="zh-CN"/>
                    </w:rPr>
                    <w:t xml:space="preserve"> </w:t>
                  </w:r>
                  <w:r>
                    <w:rPr>
                      <w:rFonts w:hint="default" w:ascii="Times New Roman" w:hAnsi="Times New Roman" w:eastAsia="宋体" w:cs="Times New Roman"/>
                      <w:color w:val="auto"/>
                      <w:spacing w:val="-3"/>
                      <w:sz w:val="21"/>
                      <w:szCs w:val="21"/>
                      <w:lang w:eastAsia="zh-CN"/>
                    </w:rPr>
                    <w:t>84~86℃。木杂酚油是木焦油的主要</w:t>
                  </w:r>
                  <w:r>
                    <w:rPr>
                      <w:rFonts w:hint="default" w:ascii="Times New Roman" w:hAnsi="Times New Roman" w:eastAsia="宋体" w:cs="Times New Roman"/>
                      <w:color w:val="auto"/>
                      <w:spacing w:val="-16"/>
                      <w:sz w:val="21"/>
                      <w:szCs w:val="21"/>
                      <w:lang w:eastAsia="zh-CN"/>
                    </w:rPr>
                    <w:t>成分，有烟味，有腐蚀性。</w:t>
                  </w:r>
                </w:p>
              </w:tc>
            </w:tr>
            <w:tr w14:paraId="2A7D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1" w:hRule="atLeast"/>
                <w:jc w:val="center"/>
              </w:trPr>
              <w:tc>
                <w:tcPr>
                  <w:tcW w:w="460" w:type="dxa"/>
                  <w:noWrap w:val="0"/>
                  <w:vAlign w:val="top"/>
                </w:tcPr>
                <w:p w14:paraId="175544B1">
                  <w:pPr>
                    <w:spacing w:line="428" w:lineRule="auto"/>
                    <w:rPr>
                      <w:rFonts w:hint="eastAsia" w:ascii="宋体" w:hAnsi="宋体" w:eastAsia="宋体" w:cs="宋体"/>
                      <w:color w:val="auto"/>
                      <w:sz w:val="21"/>
                      <w:szCs w:val="21"/>
                    </w:rPr>
                  </w:pPr>
                </w:p>
                <w:p w14:paraId="65BBFE91">
                  <w:pPr>
                    <w:spacing w:before="61" w:line="187" w:lineRule="auto"/>
                    <w:ind w:left="187"/>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787" w:type="dxa"/>
                  <w:noWrap w:val="0"/>
                  <w:vAlign w:val="top"/>
                </w:tcPr>
                <w:p w14:paraId="1CFE85C5">
                  <w:pPr>
                    <w:spacing w:line="254" w:lineRule="auto"/>
                    <w:rPr>
                      <w:rFonts w:hint="eastAsia" w:ascii="宋体" w:hAnsi="宋体" w:eastAsia="宋体" w:cs="宋体"/>
                      <w:color w:val="auto"/>
                      <w:sz w:val="21"/>
                      <w:szCs w:val="21"/>
                    </w:rPr>
                  </w:pPr>
                </w:p>
                <w:p w14:paraId="276F368B">
                  <w:pPr>
                    <w:pStyle w:val="54"/>
                    <w:spacing w:before="68" w:line="238" w:lineRule="auto"/>
                    <w:ind w:left="139"/>
                    <w:rPr>
                      <w:rFonts w:hint="eastAsia" w:ascii="宋体" w:hAnsi="宋体" w:eastAsia="宋体" w:cs="宋体"/>
                      <w:color w:val="auto"/>
                      <w:sz w:val="21"/>
                      <w:szCs w:val="21"/>
                    </w:rPr>
                  </w:pPr>
                  <w:r>
                    <w:rPr>
                      <w:rFonts w:hint="eastAsia" w:ascii="宋体" w:hAnsi="宋体" w:eastAsia="宋体" w:cs="宋体"/>
                      <w:color w:val="auto"/>
                      <w:spacing w:val="-2"/>
                      <w:sz w:val="21"/>
                      <w:szCs w:val="21"/>
                      <w:lang w:eastAsia="zh-CN"/>
                    </w:rPr>
                    <w:t>木</w:t>
                  </w:r>
                  <w:r>
                    <w:rPr>
                      <w:rFonts w:hint="eastAsia" w:ascii="宋体" w:hAnsi="宋体" w:eastAsia="宋体" w:cs="宋体"/>
                      <w:color w:val="auto"/>
                      <w:spacing w:val="-2"/>
                      <w:sz w:val="21"/>
                      <w:szCs w:val="21"/>
                    </w:rPr>
                    <w:t>醋</w:t>
                  </w:r>
                </w:p>
                <w:p w14:paraId="44FDB31F">
                  <w:pPr>
                    <w:pStyle w:val="54"/>
                    <w:spacing w:line="221" w:lineRule="auto"/>
                    <w:ind w:left="244"/>
                    <w:rPr>
                      <w:rFonts w:hint="eastAsia" w:ascii="宋体" w:hAnsi="宋体" w:eastAsia="宋体" w:cs="宋体"/>
                      <w:color w:val="auto"/>
                      <w:sz w:val="21"/>
                      <w:szCs w:val="21"/>
                    </w:rPr>
                  </w:pPr>
                  <w:r>
                    <w:rPr>
                      <w:rFonts w:hint="eastAsia" w:ascii="宋体" w:hAnsi="宋体" w:eastAsia="宋体" w:cs="宋体"/>
                      <w:color w:val="auto"/>
                      <w:sz w:val="21"/>
                      <w:szCs w:val="21"/>
                    </w:rPr>
                    <w:t>液</w:t>
                  </w:r>
                </w:p>
              </w:tc>
              <w:tc>
                <w:tcPr>
                  <w:tcW w:w="1151" w:type="dxa"/>
                  <w:noWrap w:val="0"/>
                  <w:vAlign w:val="top"/>
                </w:tcPr>
                <w:p w14:paraId="5159EE71">
                  <w:pPr>
                    <w:pStyle w:val="54"/>
                    <w:spacing w:before="51" w:line="231" w:lineRule="auto"/>
                    <w:ind w:right="51"/>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6"/>
                      <w:sz w:val="21"/>
                      <w:szCs w:val="21"/>
                      <w:lang w:eastAsia="zh-CN"/>
                    </w:rPr>
                    <w:t>液体，主要成</w:t>
                  </w:r>
                  <w:r>
                    <w:rPr>
                      <w:rFonts w:hint="default" w:ascii="Times New Roman" w:hAnsi="Times New Roman" w:eastAsia="宋体" w:cs="Times New Roman"/>
                      <w:color w:val="auto"/>
                      <w:spacing w:val="1"/>
                      <w:sz w:val="21"/>
                      <w:szCs w:val="21"/>
                      <w:lang w:eastAsia="zh-CN"/>
                    </w:rPr>
                    <w:t xml:space="preserve"> </w:t>
                  </w:r>
                  <w:r>
                    <w:rPr>
                      <w:rFonts w:hint="default" w:ascii="Times New Roman" w:hAnsi="Times New Roman" w:eastAsia="宋体" w:cs="Times New Roman"/>
                      <w:color w:val="auto"/>
                      <w:spacing w:val="7"/>
                      <w:sz w:val="21"/>
                      <w:szCs w:val="21"/>
                      <w:lang w:eastAsia="zh-CN"/>
                    </w:rPr>
                    <w:t>分为水、乙</w:t>
                  </w:r>
                  <w:r>
                    <w:rPr>
                      <w:rFonts w:hint="default" w:ascii="Times New Roman" w:hAnsi="Times New Roman" w:eastAsia="宋体" w:cs="Times New Roman"/>
                      <w:color w:val="auto"/>
                      <w:spacing w:val="1"/>
                      <w:sz w:val="21"/>
                      <w:szCs w:val="21"/>
                      <w:lang w:eastAsia="zh-CN"/>
                    </w:rPr>
                    <w:t xml:space="preserve">  </w:t>
                  </w:r>
                  <w:r>
                    <w:rPr>
                      <w:rFonts w:hint="default" w:ascii="Times New Roman" w:hAnsi="Times New Roman" w:eastAsia="宋体" w:cs="Times New Roman"/>
                      <w:color w:val="auto"/>
                      <w:spacing w:val="-16"/>
                      <w:sz w:val="21"/>
                      <w:szCs w:val="21"/>
                      <w:lang w:eastAsia="zh-CN"/>
                    </w:rPr>
                    <w:t>酸、酚类、酮</w:t>
                  </w:r>
                  <w:r>
                    <w:rPr>
                      <w:rFonts w:hint="default" w:ascii="Times New Roman" w:hAnsi="Times New Roman" w:eastAsia="宋体" w:cs="Times New Roman"/>
                      <w:color w:val="auto"/>
                      <w:spacing w:val="2"/>
                      <w:sz w:val="21"/>
                      <w:szCs w:val="21"/>
                      <w:lang w:eastAsia="zh-CN"/>
                    </w:rPr>
                    <w:t xml:space="preserve"> </w:t>
                  </w:r>
                  <w:r>
                    <w:rPr>
                      <w:rFonts w:hint="default" w:ascii="Times New Roman" w:hAnsi="Times New Roman" w:eastAsia="宋体" w:cs="Times New Roman"/>
                      <w:color w:val="auto"/>
                      <w:spacing w:val="-7"/>
                      <w:sz w:val="21"/>
                      <w:szCs w:val="21"/>
                      <w:lang w:eastAsia="zh-CN"/>
                    </w:rPr>
                    <w:t>类等化合物。</w:t>
                  </w:r>
                </w:p>
              </w:tc>
              <w:tc>
                <w:tcPr>
                  <w:tcW w:w="5500" w:type="dxa"/>
                  <w:noWrap w:val="0"/>
                  <w:vAlign w:val="top"/>
                </w:tcPr>
                <w:p w14:paraId="3624D1FC">
                  <w:pPr>
                    <w:spacing w:line="255" w:lineRule="auto"/>
                    <w:rPr>
                      <w:rFonts w:hint="default" w:ascii="Times New Roman" w:hAnsi="Times New Roman" w:eastAsia="宋体" w:cs="Times New Roman"/>
                      <w:color w:val="auto"/>
                      <w:sz w:val="21"/>
                      <w:szCs w:val="21"/>
                    </w:rPr>
                  </w:pPr>
                </w:p>
                <w:p w14:paraId="60800948">
                  <w:pPr>
                    <w:pStyle w:val="54"/>
                    <w:spacing w:before="68" w:line="229" w:lineRule="auto"/>
                    <w:ind w:left="110" w:right="142"/>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无相关资料。由于其中含乙酸、酚类、酮类等化合</w:t>
                  </w:r>
                  <w:r>
                    <w:rPr>
                      <w:rFonts w:hint="default" w:ascii="Times New Roman" w:hAnsi="Times New Roman" w:eastAsia="宋体" w:cs="Times New Roman"/>
                      <w:color w:val="auto"/>
                      <w:spacing w:val="-1"/>
                      <w:sz w:val="21"/>
                      <w:szCs w:val="21"/>
                      <w:lang w:eastAsia="zh-CN"/>
                    </w:rPr>
                    <w:t>物，使其具</w:t>
                  </w:r>
                  <w:r>
                    <w:rPr>
                      <w:rFonts w:hint="default" w:ascii="Times New Roman" w:hAnsi="Times New Roman" w:eastAsia="宋体" w:cs="Times New Roman"/>
                      <w:color w:val="auto"/>
                      <w:spacing w:val="-2"/>
                      <w:sz w:val="21"/>
                      <w:szCs w:val="21"/>
                      <w:lang w:eastAsia="zh-CN"/>
                    </w:rPr>
                    <w:t>有一定的腐蚀性和毒性。</w:t>
                  </w:r>
                </w:p>
              </w:tc>
            </w:tr>
          </w:tbl>
          <w:p w14:paraId="2E3FDE80">
            <w:pPr>
              <w:spacing w:line="360" w:lineRule="auto"/>
              <w:ind w:firstLine="482" w:firstLineChars="200"/>
              <w:rPr>
                <w:b/>
                <w:bCs/>
                <w:color w:val="auto"/>
                <w:sz w:val="24"/>
              </w:rPr>
            </w:pPr>
            <w:r>
              <w:rPr>
                <w:b/>
                <w:bCs/>
                <w:color w:val="auto"/>
                <w:sz w:val="24"/>
              </w:rPr>
              <w:t>（2）风险源分布及影响途径</w:t>
            </w:r>
          </w:p>
          <w:p w14:paraId="5F78114C">
            <w:pPr>
              <w:spacing w:line="360" w:lineRule="auto"/>
              <w:ind w:firstLine="480" w:firstLineChars="200"/>
              <w:rPr>
                <w:color w:val="auto"/>
                <w:sz w:val="24"/>
              </w:rPr>
            </w:pPr>
            <w:r>
              <w:rPr>
                <w:color w:val="auto"/>
                <w:sz w:val="24"/>
              </w:rPr>
              <w:t>（1）风险物质及分布：炭化窑、</w:t>
            </w:r>
            <w:r>
              <w:rPr>
                <w:rFonts w:hint="eastAsia"/>
                <w:color w:val="auto"/>
                <w:sz w:val="24"/>
                <w:lang w:eastAsia="zh-CN"/>
              </w:rPr>
              <w:t>收集池、</w:t>
            </w:r>
            <w:r>
              <w:rPr>
                <w:color w:val="auto"/>
                <w:sz w:val="24"/>
              </w:rPr>
              <w:t>输送管道、热风炉燃烧室内的木煤气及</w:t>
            </w:r>
            <w:r>
              <w:rPr>
                <w:rFonts w:hint="eastAsia"/>
                <w:color w:val="auto"/>
                <w:sz w:val="24"/>
              </w:rPr>
              <w:t>木</w:t>
            </w:r>
            <w:r>
              <w:rPr>
                <w:color w:val="auto"/>
                <w:sz w:val="24"/>
              </w:rPr>
              <w:t>焦油、</w:t>
            </w:r>
            <w:r>
              <w:rPr>
                <w:rFonts w:hint="eastAsia"/>
                <w:color w:val="auto"/>
                <w:sz w:val="24"/>
              </w:rPr>
              <w:t>木</w:t>
            </w:r>
            <w:r>
              <w:rPr>
                <w:color w:val="auto"/>
                <w:sz w:val="24"/>
              </w:rPr>
              <w:t>醋液，危废暂存间的废机油，原料库、产品等。</w:t>
            </w:r>
          </w:p>
          <w:p w14:paraId="5B50A4D2">
            <w:pPr>
              <w:spacing w:line="360" w:lineRule="auto"/>
              <w:ind w:firstLine="480" w:firstLineChars="200"/>
              <w:rPr>
                <w:color w:val="auto"/>
                <w:sz w:val="24"/>
              </w:rPr>
            </w:pPr>
            <w:r>
              <w:rPr>
                <w:color w:val="auto"/>
                <w:sz w:val="24"/>
              </w:rPr>
              <w:t>（2）</w:t>
            </w:r>
            <w:r>
              <w:rPr>
                <w:rFonts w:hint="eastAsia"/>
                <w:color w:val="auto"/>
                <w:sz w:val="24"/>
              </w:rPr>
              <w:t>木</w:t>
            </w:r>
            <w:r>
              <w:rPr>
                <w:color w:val="auto"/>
                <w:sz w:val="24"/>
              </w:rPr>
              <w:t>煤气及</w:t>
            </w:r>
            <w:r>
              <w:rPr>
                <w:rFonts w:hint="eastAsia"/>
                <w:color w:val="auto"/>
                <w:sz w:val="24"/>
              </w:rPr>
              <w:t>木</w:t>
            </w:r>
            <w:r>
              <w:rPr>
                <w:color w:val="auto"/>
                <w:sz w:val="24"/>
              </w:rPr>
              <w:t>焦油、</w:t>
            </w:r>
            <w:r>
              <w:rPr>
                <w:rFonts w:hint="eastAsia"/>
                <w:color w:val="auto"/>
                <w:sz w:val="24"/>
              </w:rPr>
              <w:t>木</w:t>
            </w:r>
            <w:r>
              <w:rPr>
                <w:color w:val="auto"/>
                <w:sz w:val="24"/>
              </w:rPr>
              <w:t>醋混合气体泄漏会影响周边的环境空气，以及泄漏引发的次生环境污染事件。</w:t>
            </w:r>
            <w:r>
              <w:rPr>
                <w:rFonts w:hint="eastAsia"/>
                <w:color w:val="auto"/>
                <w:sz w:val="24"/>
              </w:rPr>
              <w:t>风险物质</w:t>
            </w:r>
            <w:r>
              <w:rPr>
                <w:color w:val="auto"/>
                <w:sz w:val="24"/>
              </w:rPr>
              <w:t>接触火源、电气设备短路等可能导致火灾事故，因此生产中存在火灾事故的风险。火灾事故对环境的影响较为严重。火灾事故的一旦发生，不但会造成人员的伤亡，财产的损失，还将影响和妨碍作物生长，燃烧产生的大量碳氢化合物、一氧化碳、烟尘等污染物还会造成大气污染，火灾事故主要危害集中在事故现场。</w:t>
            </w:r>
          </w:p>
          <w:p w14:paraId="425F0B04">
            <w:pPr>
              <w:spacing w:line="360" w:lineRule="auto"/>
              <w:ind w:firstLine="480" w:firstLineChars="200"/>
              <w:rPr>
                <w:color w:val="auto"/>
                <w:sz w:val="24"/>
              </w:rPr>
            </w:pPr>
            <w:r>
              <w:rPr>
                <w:color w:val="auto"/>
                <w:sz w:val="24"/>
              </w:rPr>
              <w:t>（3）炭化窑、炭化窑、输送管道、热风炉燃烧室内的</w:t>
            </w:r>
            <w:r>
              <w:rPr>
                <w:rFonts w:hint="eastAsia"/>
                <w:color w:val="auto"/>
                <w:sz w:val="24"/>
              </w:rPr>
              <w:t>木</w:t>
            </w:r>
            <w:r>
              <w:rPr>
                <w:color w:val="auto"/>
                <w:sz w:val="24"/>
              </w:rPr>
              <w:t>焦油</w:t>
            </w:r>
            <w:r>
              <w:rPr>
                <w:rFonts w:hint="eastAsia"/>
                <w:color w:val="auto"/>
                <w:sz w:val="24"/>
              </w:rPr>
              <w:t>木</w:t>
            </w:r>
            <w:r>
              <w:rPr>
                <w:color w:val="auto"/>
                <w:sz w:val="24"/>
              </w:rPr>
              <w:t>醋混合液，危废暂存间内的废</w:t>
            </w:r>
            <w:r>
              <w:rPr>
                <w:rFonts w:hint="eastAsia"/>
                <w:color w:val="auto"/>
                <w:sz w:val="24"/>
              </w:rPr>
              <w:t>机油</w:t>
            </w:r>
            <w:r>
              <w:rPr>
                <w:color w:val="auto"/>
                <w:sz w:val="24"/>
              </w:rPr>
              <w:t>，发生泄漏，下渗，污染周边土壤、地下水。</w:t>
            </w:r>
          </w:p>
          <w:p w14:paraId="630946BE">
            <w:pPr>
              <w:spacing w:line="360" w:lineRule="auto"/>
              <w:ind w:firstLine="480" w:firstLineChars="200"/>
              <w:rPr>
                <w:color w:val="auto"/>
                <w:sz w:val="24"/>
              </w:rPr>
            </w:pPr>
            <w:r>
              <w:rPr>
                <w:color w:val="auto"/>
                <w:sz w:val="24"/>
              </w:rPr>
              <w:t>（4）主要影响途径为：环境空气、地表水、地下水和土壤。本项目参照《建设项目环境风险评价技术导则》（HJ169-2018）进行风险识别、源项分析和对事故影响进行简要分析，提出防范、减缓和应急措施。</w:t>
            </w:r>
          </w:p>
          <w:p w14:paraId="635B90F2">
            <w:pPr>
              <w:spacing w:line="360" w:lineRule="auto"/>
              <w:ind w:firstLine="482" w:firstLineChars="200"/>
              <w:rPr>
                <w:b/>
                <w:bCs/>
                <w:color w:val="auto"/>
                <w:sz w:val="24"/>
              </w:rPr>
            </w:pPr>
            <w:r>
              <w:rPr>
                <w:b/>
                <w:bCs/>
                <w:color w:val="auto"/>
                <w:sz w:val="24"/>
              </w:rPr>
              <w:t>（3）风险预防措施</w:t>
            </w:r>
          </w:p>
          <w:p w14:paraId="75AAED33">
            <w:pPr>
              <w:spacing w:line="360" w:lineRule="auto"/>
              <w:ind w:firstLine="482" w:firstLineChars="200"/>
              <w:rPr>
                <w:b/>
                <w:bCs/>
                <w:color w:val="auto"/>
                <w:sz w:val="24"/>
              </w:rPr>
            </w:pPr>
            <w:r>
              <w:rPr>
                <w:b/>
                <w:bCs/>
                <w:color w:val="auto"/>
                <w:sz w:val="24"/>
              </w:rPr>
              <w:t>1、</w:t>
            </w:r>
            <w:r>
              <w:rPr>
                <w:rFonts w:hint="eastAsia"/>
                <w:b/>
                <w:bCs/>
                <w:color w:val="auto"/>
                <w:sz w:val="24"/>
              </w:rPr>
              <w:t>木</w:t>
            </w:r>
            <w:r>
              <w:rPr>
                <w:b/>
                <w:bCs/>
                <w:color w:val="auto"/>
                <w:sz w:val="24"/>
              </w:rPr>
              <w:t>煤气及</w:t>
            </w:r>
            <w:r>
              <w:rPr>
                <w:rFonts w:hint="eastAsia"/>
                <w:b/>
                <w:bCs/>
                <w:color w:val="auto"/>
                <w:sz w:val="24"/>
              </w:rPr>
              <w:t>木</w:t>
            </w:r>
            <w:r>
              <w:rPr>
                <w:b/>
                <w:bCs/>
                <w:color w:val="auto"/>
                <w:sz w:val="24"/>
              </w:rPr>
              <w:t>焦油、</w:t>
            </w:r>
            <w:r>
              <w:rPr>
                <w:rFonts w:hint="eastAsia"/>
                <w:b/>
                <w:bCs/>
                <w:color w:val="auto"/>
                <w:sz w:val="24"/>
              </w:rPr>
              <w:t>木</w:t>
            </w:r>
            <w:r>
              <w:rPr>
                <w:b/>
                <w:bCs/>
                <w:color w:val="auto"/>
                <w:sz w:val="24"/>
              </w:rPr>
              <w:t>醋混合气体泄漏</w:t>
            </w:r>
          </w:p>
          <w:p w14:paraId="363D4219">
            <w:pPr>
              <w:spacing w:line="360" w:lineRule="auto"/>
              <w:ind w:firstLine="480" w:firstLineChars="200"/>
              <w:rPr>
                <w:color w:val="auto"/>
                <w:sz w:val="24"/>
              </w:rPr>
            </w:pPr>
            <w:r>
              <w:rPr>
                <w:color w:val="auto"/>
                <w:sz w:val="24"/>
              </w:rPr>
              <w:t>为了防范事故和减少灾害，</w:t>
            </w:r>
            <w:r>
              <w:rPr>
                <w:rFonts w:hint="eastAsia"/>
                <w:color w:val="auto"/>
                <w:sz w:val="24"/>
              </w:rPr>
              <w:t>木</w:t>
            </w:r>
            <w:r>
              <w:rPr>
                <w:color w:val="auto"/>
                <w:sz w:val="24"/>
              </w:rPr>
              <w:t>煤气及</w:t>
            </w:r>
            <w:r>
              <w:rPr>
                <w:rFonts w:hint="eastAsia"/>
                <w:color w:val="auto"/>
                <w:sz w:val="24"/>
              </w:rPr>
              <w:t>木</w:t>
            </w:r>
            <w:r>
              <w:rPr>
                <w:color w:val="auto"/>
                <w:sz w:val="24"/>
              </w:rPr>
              <w:t>焦油、</w:t>
            </w:r>
            <w:r>
              <w:rPr>
                <w:rFonts w:hint="eastAsia"/>
                <w:color w:val="auto"/>
                <w:sz w:val="24"/>
              </w:rPr>
              <w:t>木</w:t>
            </w:r>
            <w:r>
              <w:rPr>
                <w:color w:val="auto"/>
                <w:sz w:val="24"/>
              </w:rPr>
              <w:t>醋混合气体管道及其他设施的设计、制造、施工、运行、管理和维修等，应严格执行</w:t>
            </w:r>
            <w:r>
              <w:rPr>
                <w:rFonts w:hint="eastAsia"/>
                <w:color w:val="auto"/>
                <w:sz w:val="24"/>
              </w:rPr>
              <w:t>相关</w:t>
            </w:r>
            <w:r>
              <w:rPr>
                <w:color w:val="auto"/>
                <w:sz w:val="24"/>
              </w:rPr>
              <w:t>安全规程》的要求，必须制定风险事故的防范措施和应急预案。事故的防范措施是项目风险评价的重要内容。为防止事故的发生，项目的环境风险评价从管理、安全设计、防火、防毒等方面提出风险事故的以下防范措施：</w:t>
            </w:r>
          </w:p>
          <w:p w14:paraId="4B30A66A">
            <w:pPr>
              <w:spacing w:line="360" w:lineRule="auto"/>
              <w:ind w:firstLine="480" w:firstLineChars="200"/>
              <w:rPr>
                <w:color w:val="auto"/>
                <w:sz w:val="24"/>
              </w:rPr>
            </w:pPr>
            <w:r>
              <w:rPr>
                <w:color w:val="auto"/>
                <w:sz w:val="24"/>
              </w:rPr>
              <w:t>①在对煤气设施运行及停气检修时必须严格按照有关安全生产的规定进行。煤气管道及煤气燃烧设备的设计和施工中，应严格按照</w:t>
            </w:r>
            <w:r>
              <w:rPr>
                <w:rFonts w:hint="eastAsia"/>
                <w:color w:val="auto"/>
                <w:sz w:val="24"/>
              </w:rPr>
              <w:t>相关</w:t>
            </w:r>
            <w:r>
              <w:rPr>
                <w:color w:val="auto"/>
                <w:sz w:val="24"/>
              </w:rPr>
              <w:t>安全规程</w:t>
            </w:r>
            <w:r>
              <w:rPr>
                <w:rFonts w:hint="eastAsia"/>
                <w:color w:val="auto"/>
                <w:sz w:val="24"/>
              </w:rPr>
              <w:t>、</w:t>
            </w:r>
            <w:r>
              <w:rPr>
                <w:color w:val="auto"/>
                <w:sz w:val="24"/>
              </w:rPr>
              <w:t>安全生产的有关规定进行。</w:t>
            </w:r>
          </w:p>
          <w:p w14:paraId="2ACA57EC">
            <w:pPr>
              <w:spacing w:line="360" w:lineRule="auto"/>
              <w:ind w:firstLine="480" w:firstLineChars="200"/>
              <w:rPr>
                <w:color w:val="auto"/>
                <w:sz w:val="24"/>
              </w:rPr>
            </w:pPr>
            <w:r>
              <w:rPr>
                <w:color w:val="auto"/>
                <w:sz w:val="24"/>
              </w:rPr>
              <w:t>②加强员工的思想、道德教育，提高员工的责任心和主观能动性；完善并严格遵守相关的操作规程，加强岗位培训， 落实岗位责任制；加强设备管理，特别是对易产生有毒物质泄漏的部位加强检查。</w:t>
            </w:r>
          </w:p>
          <w:p w14:paraId="1465B77D">
            <w:pPr>
              <w:spacing w:line="360" w:lineRule="auto"/>
              <w:ind w:firstLine="480" w:firstLineChars="200"/>
              <w:rPr>
                <w:color w:val="auto"/>
                <w:sz w:val="24"/>
              </w:rPr>
            </w:pPr>
            <w:r>
              <w:rPr>
                <w:color w:val="auto"/>
                <w:sz w:val="24"/>
              </w:rPr>
              <w:t>③建立事故预防、监测、检验、报警系统；采取技术、工艺、设备、管理等综合预防措施；在易产生泄漏的位置设置检测仪和自动报警器，当发生泄漏事故时能及时报警，使事故能够得到及时扼杀；生产场所应设置相应的通风设施，确保工作人员不受有害气体的危害；对输送管道、管件等以及与之相关的设备进行重点安全监督。</w:t>
            </w:r>
          </w:p>
          <w:p w14:paraId="007F138F">
            <w:pPr>
              <w:spacing w:line="360" w:lineRule="auto"/>
              <w:ind w:firstLine="480" w:firstLineChars="200"/>
              <w:rPr>
                <w:color w:val="auto"/>
                <w:sz w:val="24"/>
              </w:rPr>
            </w:pPr>
            <w:r>
              <w:rPr>
                <w:color w:val="auto"/>
                <w:sz w:val="24"/>
              </w:rPr>
              <w:t>④提高项目生产的自动化控制水平，减少生产系统的操作偏差，确保项目的生产安全。</w:t>
            </w:r>
          </w:p>
          <w:p w14:paraId="5B97D551">
            <w:pPr>
              <w:spacing w:line="360" w:lineRule="auto"/>
              <w:ind w:firstLine="480" w:firstLineChars="200"/>
              <w:rPr>
                <w:color w:val="auto"/>
                <w:sz w:val="24"/>
              </w:rPr>
            </w:pPr>
            <w:r>
              <w:rPr>
                <w:color w:val="auto"/>
                <w:sz w:val="24"/>
              </w:rPr>
              <w:t>⑤加强事故管理， 在生产过程中注意</w:t>
            </w:r>
            <w:r>
              <w:rPr>
                <w:rFonts w:hint="eastAsia"/>
                <w:color w:val="auto"/>
                <w:sz w:val="24"/>
                <w:lang w:eastAsia="zh-CN"/>
              </w:rPr>
              <w:t>对其他</w:t>
            </w:r>
            <w:r>
              <w:rPr>
                <w:color w:val="auto"/>
                <w:sz w:val="24"/>
              </w:rPr>
              <w:t>单位相关事故的研究，充分吸取经验教训。</w:t>
            </w:r>
          </w:p>
          <w:p w14:paraId="5E01902D">
            <w:pPr>
              <w:spacing w:line="360" w:lineRule="auto"/>
              <w:ind w:firstLine="482" w:firstLineChars="200"/>
              <w:rPr>
                <w:b/>
                <w:bCs/>
                <w:color w:val="auto"/>
                <w:sz w:val="24"/>
              </w:rPr>
            </w:pPr>
            <w:r>
              <w:rPr>
                <w:b/>
                <w:bCs/>
                <w:color w:val="auto"/>
                <w:sz w:val="24"/>
              </w:rPr>
              <w:t>2、</w:t>
            </w:r>
            <w:r>
              <w:rPr>
                <w:rFonts w:hint="eastAsia"/>
                <w:b/>
                <w:bCs/>
                <w:color w:val="auto"/>
                <w:sz w:val="24"/>
              </w:rPr>
              <w:t>木</w:t>
            </w:r>
            <w:r>
              <w:rPr>
                <w:b/>
                <w:bCs/>
                <w:color w:val="auto"/>
                <w:sz w:val="24"/>
              </w:rPr>
              <w:t>焦油</w:t>
            </w:r>
            <w:r>
              <w:rPr>
                <w:rFonts w:hint="eastAsia"/>
                <w:b/>
                <w:bCs/>
                <w:color w:val="auto"/>
                <w:sz w:val="24"/>
              </w:rPr>
              <w:t>木</w:t>
            </w:r>
            <w:r>
              <w:rPr>
                <w:b/>
                <w:bCs/>
                <w:color w:val="auto"/>
                <w:sz w:val="24"/>
              </w:rPr>
              <w:t>醋混合液、废</w:t>
            </w:r>
            <w:r>
              <w:rPr>
                <w:rFonts w:hint="eastAsia"/>
                <w:b/>
                <w:bCs/>
                <w:color w:val="auto"/>
                <w:sz w:val="24"/>
              </w:rPr>
              <w:t>机油</w:t>
            </w:r>
            <w:r>
              <w:rPr>
                <w:b/>
                <w:bCs/>
                <w:color w:val="auto"/>
                <w:sz w:val="24"/>
              </w:rPr>
              <w:t>泄漏</w:t>
            </w:r>
          </w:p>
          <w:p w14:paraId="53A1BC8A">
            <w:pPr>
              <w:spacing w:line="360" w:lineRule="auto"/>
              <w:ind w:firstLine="480" w:firstLineChars="200"/>
              <w:rPr>
                <w:color w:val="auto"/>
                <w:sz w:val="24"/>
              </w:rPr>
            </w:pPr>
            <w:r>
              <w:rPr>
                <w:color w:val="auto"/>
                <w:sz w:val="24"/>
              </w:rPr>
              <w:t>①分区防渗： 对危废暂存间、燃烧室、</w:t>
            </w:r>
            <w:r>
              <w:rPr>
                <w:rFonts w:hint="eastAsia"/>
                <w:color w:val="auto"/>
                <w:sz w:val="24"/>
              </w:rPr>
              <w:t>输送管道</w:t>
            </w:r>
            <w:r>
              <w:rPr>
                <w:color w:val="auto"/>
                <w:sz w:val="24"/>
              </w:rPr>
              <w:t>系统采取重点防渗；前期处理区、窑区、原料堆放区、一般固废间采取一般防渗，其余区域简单防渗。</w:t>
            </w:r>
          </w:p>
          <w:p w14:paraId="63690DA9">
            <w:pPr>
              <w:spacing w:line="360" w:lineRule="auto"/>
              <w:ind w:firstLine="480" w:firstLineChars="200"/>
              <w:rPr>
                <w:color w:val="auto"/>
                <w:sz w:val="24"/>
              </w:rPr>
            </w:pPr>
            <w:r>
              <w:rPr>
                <w:color w:val="auto"/>
                <w:sz w:val="24"/>
              </w:rPr>
              <w:t>②炭化窑密闭，</w:t>
            </w:r>
            <w:r>
              <w:rPr>
                <w:rFonts w:hint="eastAsia"/>
                <w:color w:val="auto"/>
                <w:sz w:val="24"/>
              </w:rPr>
              <w:t>木</w:t>
            </w:r>
            <w:r>
              <w:rPr>
                <w:color w:val="auto"/>
                <w:sz w:val="24"/>
              </w:rPr>
              <w:t>焦油、</w:t>
            </w:r>
            <w:r>
              <w:rPr>
                <w:rFonts w:hint="eastAsia"/>
                <w:color w:val="auto"/>
                <w:sz w:val="24"/>
              </w:rPr>
              <w:t>木</w:t>
            </w:r>
            <w:r>
              <w:rPr>
                <w:color w:val="auto"/>
                <w:sz w:val="24"/>
              </w:rPr>
              <w:t>醋液由密闭的专用管道收集，防止遗撒、泄漏。</w:t>
            </w:r>
          </w:p>
          <w:p w14:paraId="6CAF2D19">
            <w:pPr>
              <w:spacing w:line="360" w:lineRule="auto"/>
              <w:ind w:firstLine="480" w:firstLineChars="200"/>
              <w:rPr>
                <w:color w:val="auto"/>
                <w:sz w:val="24"/>
              </w:rPr>
            </w:pPr>
            <w:r>
              <w:rPr>
                <w:color w:val="auto"/>
                <w:sz w:val="24"/>
              </w:rPr>
              <w:t>③项目产生的危险废物均委托有资质单位进行处置，废</w:t>
            </w:r>
            <w:r>
              <w:rPr>
                <w:rFonts w:hint="eastAsia"/>
                <w:color w:val="auto"/>
                <w:sz w:val="24"/>
              </w:rPr>
              <w:t>机油</w:t>
            </w:r>
            <w:r>
              <w:rPr>
                <w:color w:val="auto"/>
                <w:sz w:val="24"/>
              </w:rPr>
              <w:t>放置在专门的 容器内。危废暂存间按照《危险废物贮存污染控制标准》（GB18597-2023）中的要求，采取严格的防泄漏、防溢流、 防腐蚀等措施，防止污染地下水</w:t>
            </w:r>
            <w:r>
              <w:rPr>
                <w:rFonts w:hint="eastAsia"/>
                <w:color w:val="auto"/>
                <w:sz w:val="24"/>
              </w:rPr>
              <w:t>、土壤</w:t>
            </w:r>
            <w:r>
              <w:rPr>
                <w:color w:val="auto"/>
                <w:sz w:val="24"/>
              </w:rPr>
              <w:t>。</w:t>
            </w:r>
          </w:p>
          <w:p w14:paraId="39A4E920">
            <w:pPr>
              <w:spacing w:line="360" w:lineRule="auto"/>
              <w:ind w:firstLine="480" w:firstLineChars="200"/>
              <w:rPr>
                <w:b/>
                <w:bCs/>
                <w:color w:val="auto"/>
                <w:sz w:val="24"/>
              </w:rPr>
            </w:pPr>
            <w:r>
              <w:rPr>
                <w:rFonts w:hint="eastAsia"/>
                <w:color w:val="auto"/>
                <w:sz w:val="24"/>
              </w:rPr>
              <w:t>3、</w:t>
            </w:r>
            <w:r>
              <w:rPr>
                <w:rFonts w:hint="eastAsia" w:asciiTheme="majorEastAsia" w:hAnsiTheme="majorEastAsia" w:eastAsiaTheme="majorEastAsia" w:cstheme="majorEastAsia"/>
                <w:b/>
                <w:bCs/>
                <w:color w:val="auto"/>
                <w:sz w:val="24"/>
              </w:rPr>
              <w:t>其他风险预防措施</w:t>
            </w:r>
          </w:p>
          <w:p w14:paraId="75676EC3">
            <w:pPr>
              <w:pStyle w:val="40"/>
              <w:snapToGrid w:val="0"/>
              <w:ind w:firstLine="480"/>
              <w:rPr>
                <w:rFonts w:hint="eastAsia" w:ascii="宋体" w:hAnsi="宋体" w:cs="宋体"/>
                <w:color w:val="auto"/>
              </w:rPr>
            </w:pPr>
            <w:r>
              <w:rPr>
                <w:rFonts w:hint="eastAsia" w:ascii="宋体" w:hAnsi="宋体" w:cs="宋体"/>
                <w:color w:val="auto"/>
              </w:rPr>
              <w:t xml:space="preserve"> ①消除粉尘源：采用良好的除尘设施来控制厂房内的粉尘是首要的，可用的措施有封闭设备/润湿降尘等。粉尘车间各部位应平滑，尽量避免设置一些其他无关设施（如窗幕、门帘等）。管线等尽量不要穿越粉尘车间，宜在墙内敷设，防止粉尘积聚；在车间内做好清洁工作，及时人工清扫，也是消除粉尘源的好方法。</w:t>
            </w:r>
          </w:p>
          <w:p w14:paraId="7993BB3E">
            <w:pPr>
              <w:pStyle w:val="40"/>
              <w:snapToGrid w:val="0"/>
              <w:ind w:firstLine="480"/>
              <w:rPr>
                <w:rFonts w:hint="eastAsia" w:ascii="宋体" w:hAnsi="宋体" w:cs="宋体"/>
                <w:color w:val="auto"/>
              </w:rPr>
            </w:pPr>
            <w:r>
              <w:rPr>
                <w:rFonts w:hint="eastAsia" w:ascii="宋体" w:hAnsi="宋体" w:cs="宋体"/>
                <w:color w:val="auto"/>
              </w:rPr>
              <w:t xml:space="preserve"> ②严格控制点火源：消除点火源是预防粉尘爆炸的最实用、最有效的措施。在常见点火源中，电火花、静电、摩擦火花、明火、高温物体表面、焊接切割火花等是引起粉尘爆炸的主要原因。因此，应对此高度重视。此类场所的电气设备应严格按照《爆炸和火灾危险环境电力装置设计规范》进行设计、安装，达到整体防爆要求，尽量不安装或少安装不易产生静电，撞击不产生火花的材料制作，并采取静电接地保护措施。</w:t>
            </w:r>
          </w:p>
          <w:p w14:paraId="501BE596">
            <w:pPr>
              <w:pStyle w:val="57"/>
              <w:adjustRightInd w:val="0"/>
              <w:snapToGrid w:val="0"/>
              <w:ind w:firstLine="480"/>
              <w:rPr>
                <w:rFonts w:hint="eastAsia" w:ascii="宋体" w:hAnsi="宋体" w:cs="宋体"/>
              </w:rPr>
            </w:pPr>
            <w:r>
              <w:rPr>
                <w:rFonts w:hint="eastAsia" w:ascii="宋体" w:hAnsi="宋体" w:cs="宋体"/>
              </w:rPr>
              <w:t xml:space="preserve"> ③项目加强木材的贮存管理，加强相关隔离措施，生产车间应设置“严禁烟火”的警示牌，严禁火源进入木材堆放区，对明火严格控制，明火发生源为火柴、打火机等，维修用火控制，对设备维修检查，需进行维修焊接，应经安全部门确认、准许，并有记录在案。汽车、拖拉机等机动车在装置区内行驶，须安装阻火器，必要设备安装防火、防爆装置。</w:t>
            </w:r>
          </w:p>
          <w:p w14:paraId="029CD941">
            <w:pPr>
              <w:pStyle w:val="57"/>
              <w:adjustRightInd w:val="0"/>
              <w:snapToGrid w:val="0"/>
              <w:ind w:firstLine="480"/>
              <w:rPr>
                <w:rFonts w:hint="eastAsia" w:ascii="宋体" w:hAnsi="宋体" w:cs="宋体"/>
              </w:rPr>
            </w:pPr>
            <w:r>
              <w:rPr>
                <w:rFonts w:hint="eastAsia" w:ascii="宋体" w:hAnsi="宋体" w:cs="宋体"/>
              </w:rPr>
              <w:t>④电气设备的安装使用和线路的敷设应符合《电气设备安装规程》的要求， 加强设备、电力系统检查维护管理，对不符合要求的，要督促更换、检修、保证用电安全。根据需要配备防爆装置，采取一定的防静电措施，及时消除隐患，确保安全可靠；储存场所保持阴凉、干燥、通风，远离火种、热源；配备消防、防护器材设施；定期开展应急演练，提高应变能力。制定和落实防火安全责任制及消防安全规章制度，除加强对员工的消防知识培训，对消防安全责任人及员工也定期进行消防知识培训，消防安全管理人员持证上岗。</w:t>
            </w:r>
          </w:p>
          <w:p w14:paraId="318D9F18">
            <w:pPr>
              <w:pStyle w:val="57"/>
              <w:adjustRightInd w:val="0"/>
              <w:snapToGrid w:val="0"/>
              <w:ind w:firstLine="480"/>
              <w:rPr>
                <w:rFonts w:hint="eastAsia" w:ascii="宋体" w:hAnsi="宋体" w:cs="宋体"/>
              </w:rPr>
            </w:pPr>
            <w:r>
              <w:rPr>
                <w:rFonts w:hint="eastAsia" w:ascii="宋体" w:hAnsi="宋体" w:cs="宋体"/>
              </w:rPr>
              <w:t>⑤制定灭火和应急疏散预案，同时设置安全疏散通道。灭火器应布置在明显便于取用的地方，并定期维护检查，确保能正常使用。发生着火事故：报警，可移动的物料立即转移至安全区域，洒水冷却，着火物可使用二氧化碳、干粉、泡沫等灭火，消防人员必须穿全身防火防毒服，在上风向灭火。灭火时尽可能将容器从火场移至空旷处。</w:t>
            </w:r>
          </w:p>
          <w:p w14:paraId="7540A33C">
            <w:pPr>
              <w:tabs>
                <w:tab w:val="left" w:pos="457"/>
              </w:tabs>
              <w:spacing w:line="360" w:lineRule="auto"/>
              <w:ind w:left="420" w:leftChars="200"/>
              <w:rPr>
                <w:rStyle w:val="56"/>
                <w:rFonts w:hint="eastAsia"/>
                <w:b/>
                <w:sz w:val="24"/>
              </w:rPr>
            </w:pPr>
            <w:r>
              <w:rPr>
                <w:rStyle w:val="56"/>
                <w:rFonts w:hint="eastAsia"/>
                <w:b/>
                <w:sz w:val="24"/>
              </w:rPr>
              <w:t>（4）突发环境事件应急预案</w:t>
            </w:r>
          </w:p>
          <w:p w14:paraId="0553DBF0">
            <w:pPr>
              <w:spacing w:line="360" w:lineRule="auto"/>
              <w:ind w:firstLine="480" w:firstLineChars="200"/>
              <w:rPr>
                <w:color w:val="auto"/>
                <w:sz w:val="24"/>
              </w:rPr>
            </w:pPr>
            <w:r>
              <w:rPr>
                <w:rFonts w:hint="eastAsia"/>
                <w:color w:val="auto"/>
                <w:sz w:val="24"/>
              </w:rPr>
              <w:t>编制</w:t>
            </w:r>
            <w:r>
              <w:rPr>
                <w:color w:val="auto"/>
                <w:sz w:val="24"/>
              </w:rPr>
              <w:t>风险应急预案</w:t>
            </w:r>
            <w:r>
              <w:rPr>
                <w:rFonts w:hint="eastAsia"/>
                <w:color w:val="auto"/>
                <w:sz w:val="24"/>
              </w:rPr>
              <w:t>，</w:t>
            </w:r>
            <w:r>
              <w:rPr>
                <w:color w:val="auto"/>
                <w:sz w:val="24"/>
                <w:lang w:val="zh-CN"/>
              </w:rPr>
              <w:t>为有效应对突发环境事件，提高应对突发环境事件的能力，将突发环境事件对人员、财产和环境造成的损失降至</w:t>
            </w:r>
            <w:r>
              <w:rPr>
                <w:rFonts w:hint="eastAsia"/>
                <w:color w:val="auto"/>
                <w:sz w:val="24"/>
                <w:lang w:val="zh-CN"/>
              </w:rPr>
              <w:t>最低程度</w:t>
            </w:r>
            <w:r>
              <w:rPr>
                <w:color w:val="auto"/>
                <w:sz w:val="24"/>
                <w:lang w:val="zh-CN"/>
              </w:rPr>
              <w:t>、最大限度地保障人民群众的生命财产安全及环境安全，维护社会稳定，促进企业全面、协调、持续发展。根据《中华人民共和国环境保护法</w:t>
            </w:r>
            <w:r>
              <w:rPr>
                <w:rFonts w:hint="eastAsia"/>
                <w:color w:val="auto"/>
                <w:sz w:val="24"/>
                <w:lang w:val="zh-CN"/>
              </w:rPr>
              <w:t>》《</w:t>
            </w:r>
            <w:r>
              <w:rPr>
                <w:color w:val="auto"/>
                <w:sz w:val="24"/>
                <w:lang w:val="zh-CN"/>
              </w:rPr>
              <w:t>中华人民共和国水污染防治法</w:t>
            </w:r>
            <w:r>
              <w:rPr>
                <w:rFonts w:hint="eastAsia"/>
                <w:color w:val="auto"/>
                <w:sz w:val="24"/>
                <w:lang w:val="zh-CN"/>
              </w:rPr>
              <w:t>》《</w:t>
            </w:r>
            <w:r>
              <w:rPr>
                <w:color w:val="auto"/>
                <w:sz w:val="24"/>
                <w:lang w:val="zh-CN"/>
              </w:rPr>
              <w:t>中华人民共和国大气污染防治法</w:t>
            </w:r>
            <w:r>
              <w:rPr>
                <w:rFonts w:hint="eastAsia"/>
                <w:color w:val="auto"/>
                <w:sz w:val="24"/>
                <w:lang w:val="zh-CN"/>
              </w:rPr>
              <w:t>》《</w:t>
            </w:r>
            <w:r>
              <w:rPr>
                <w:color w:val="auto"/>
                <w:sz w:val="24"/>
                <w:lang w:val="zh-CN"/>
              </w:rPr>
              <w:t>危险化学品安全管理条例》（国务院344号）以及《中华人民共和国安全生产法》的相关规定，结合建设单位的实际情况，建设单位应参照《建设项目环境风险评价技术导则》（HJ169-20</w:t>
            </w:r>
            <w:r>
              <w:rPr>
                <w:color w:val="auto"/>
                <w:sz w:val="24"/>
              </w:rPr>
              <w:t>18</w:t>
            </w:r>
            <w:r>
              <w:rPr>
                <w:color w:val="auto"/>
                <w:sz w:val="24"/>
                <w:lang w:val="zh-CN"/>
              </w:rPr>
              <w:t>）的相关要求，制定</w:t>
            </w:r>
            <w:r>
              <w:rPr>
                <w:color w:val="auto"/>
                <w:sz w:val="24"/>
              </w:rPr>
              <w:t>突发</w:t>
            </w:r>
            <w:r>
              <w:rPr>
                <w:color w:val="auto"/>
                <w:sz w:val="24"/>
                <w:lang w:val="zh-CN"/>
              </w:rPr>
              <w:t>环境风险应急预案，并上报</w:t>
            </w:r>
            <w:r>
              <w:rPr>
                <w:rFonts w:hint="eastAsia"/>
                <w:color w:val="auto"/>
                <w:sz w:val="24"/>
                <w:lang w:val="zh-CN"/>
              </w:rPr>
              <w:t>当地环保部门</w:t>
            </w:r>
            <w:r>
              <w:rPr>
                <w:color w:val="auto"/>
                <w:sz w:val="24"/>
                <w:lang w:val="zh-CN"/>
              </w:rPr>
              <w:t>备案。</w:t>
            </w:r>
          </w:p>
          <w:p w14:paraId="197351AF">
            <w:pPr>
              <w:adjustRightInd w:val="0"/>
              <w:snapToGrid w:val="0"/>
              <w:spacing w:line="360" w:lineRule="auto"/>
              <w:ind w:firstLine="482" w:firstLineChars="200"/>
              <w:jc w:val="left"/>
              <w:rPr>
                <w:b/>
                <w:color w:val="000000"/>
                <w:sz w:val="24"/>
                <w:szCs w:val="21"/>
              </w:rPr>
            </w:pPr>
            <w:r>
              <w:rPr>
                <w:rFonts w:hint="eastAsia"/>
                <w:b/>
                <w:color w:val="000000"/>
                <w:sz w:val="24"/>
                <w:szCs w:val="21"/>
              </w:rPr>
              <w:t>（4）风险分析结论</w:t>
            </w:r>
          </w:p>
          <w:p w14:paraId="1C59345B">
            <w:pPr>
              <w:adjustRightInd w:val="0"/>
              <w:snapToGrid w:val="0"/>
              <w:spacing w:line="360" w:lineRule="auto"/>
              <w:ind w:firstLine="480" w:firstLineChars="200"/>
              <w:jc w:val="left"/>
              <w:rPr>
                <w:bCs/>
                <w:color w:val="000000"/>
                <w:sz w:val="24"/>
              </w:rPr>
            </w:pPr>
            <w:r>
              <w:rPr>
                <w:rFonts w:hint="eastAsia"/>
                <w:color w:val="000000"/>
                <w:sz w:val="24"/>
                <w:szCs w:val="21"/>
              </w:rPr>
              <w:t>通过对企业各个风险源分析表明，风险的发生和前期勘察、预防、生产过程中管理密不可分，生产中要以“预防为主，防治结合”为指导，采取有效的风险预防措施，风险一旦发生，必须立即采取应急措施。企业应加强风险隐患的排查，一旦发现安全隐患立即清除，一旦发生事故立即妥善处理。在严格落实各项安全、环保、应急对策措施后，本厂存在的环境风险是可接受的。</w:t>
            </w:r>
          </w:p>
          <w:p w14:paraId="33486183">
            <w:pPr>
              <w:adjustRightInd w:val="0"/>
              <w:snapToGrid w:val="0"/>
              <w:spacing w:line="360" w:lineRule="auto"/>
              <w:rPr>
                <w:b/>
                <w:spacing w:val="-10"/>
                <w:sz w:val="24"/>
              </w:rPr>
            </w:pPr>
            <w:r>
              <w:rPr>
                <w:rFonts w:hint="eastAsia"/>
                <w:b/>
                <w:spacing w:val="-10"/>
                <w:sz w:val="24"/>
              </w:rPr>
              <w:t>二、环境管理</w:t>
            </w:r>
            <w:r>
              <w:rPr>
                <w:b/>
                <w:spacing w:val="-10"/>
                <w:sz w:val="24"/>
              </w:rPr>
              <w:t>及监测计划</w:t>
            </w:r>
          </w:p>
          <w:p w14:paraId="6650EB35">
            <w:pPr>
              <w:pStyle w:val="58"/>
              <w:spacing w:line="360" w:lineRule="auto"/>
              <w:ind w:firstLine="482" w:firstLineChars="200"/>
              <w:jc w:val="left"/>
              <w:rPr>
                <w:b/>
                <w:sz w:val="24"/>
              </w:rPr>
            </w:pPr>
            <w:r>
              <w:rPr>
                <w:rFonts w:hint="eastAsia"/>
                <w:b/>
                <w:sz w:val="24"/>
              </w:rPr>
              <w:t>（1）</w:t>
            </w:r>
            <w:r>
              <w:rPr>
                <w:b/>
                <w:sz w:val="24"/>
              </w:rPr>
              <w:t>排污许可证管理要求</w:t>
            </w:r>
          </w:p>
          <w:p w14:paraId="53B4A79D">
            <w:pPr>
              <w:bidi w:val="0"/>
              <w:spacing w:line="360" w:lineRule="auto"/>
              <w:ind w:firstLine="480" w:firstLineChars="200"/>
              <w:rPr>
                <w:rFonts w:hint="default"/>
                <w:sz w:val="24"/>
                <w:szCs w:val="24"/>
              </w:rPr>
            </w:pPr>
            <w:r>
              <w:rPr>
                <w:rFonts w:hint="eastAsia"/>
                <w:color w:val="000000"/>
                <w:sz w:val="24"/>
              </w:rPr>
              <w:t>根据《国民经济行业分类》（GB/T 4784-2017）本项目属于林产化学品制造工业2663，根据《固定污染源排污许可分类管理名录》（2019年版本），项目属于林产化学品制造工业2663和通用工序；建设单位于</w:t>
            </w:r>
            <w:r>
              <w:rPr>
                <w:rFonts w:hint="eastAsia"/>
                <w:color w:val="000000"/>
                <w:sz w:val="24"/>
                <w:lang w:val="en-US" w:eastAsia="zh-CN"/>
              </w:rPr>
              <w:t>应在投产前，</w:t>
            </w:r>
            <w:r>
              <w:rPr>
                <w:rFonts w:hint="eastAsia"/>
                <w:color w:val="000000"/>
                <w:sz w:val="24"/>
              </w:rPr>
              <w:t>根据《排污许可证申请与核发技术规范 专用化学产品制造工业》（HJ1103-2020）、《</w:t>
            </w:r>
            <w:r>
              <w:rPr>
                <w:rFonts w:hint="eastAsia"/>
                <w:color w:val="000000"/>
                <w:sz w:val="24"/>
              </w:rPr>
              <w:fldChar w:fldCharType="begin"/>
            </w:r>
            <w:r>
              <w:rPr>
                <w:rFonts w:hint="eastAsia"/>
                <w:color w:val="000000"/>
                <w:sz w:val="24"/>
              </w:rPr>
              <w:instrText xml:space="preserve"> HYPERLINK "https://www.eiacloud.com/hpyzs/lawsRegulations/searchDetail?modelName=%E6%8E%92%E6%B1%A1%E5%90%8D%E5%BD%95&amp;id=925caa972d5c4ba4815b9634b08dfecc" \t "https://www.eiacloud.com/hpyzs/category/_blank" </w:instrText>
            </w:r>
            <w:r>
              <w:rPr>
                <w:rFonts w:hint="eastAsia"/>
                <w:color w:val="000000"/>
                <w:sz w:val="24"/>
              </w:rPr>
              <w:fldChar w:fldCharType="separate"/>
            </w:r>
            <w:r>
              <w:rPr>
                <w:rFonts w:hint="eastAsia"/>
                <w:color w:val="000000"/>
                <w:sz w:val="24"/>
              </w:rPr>
              <w:t>排污许可证申请与核发技术规范 工业固体废物（试行）》（ HJ1200-2021</w:t>
            </w:r>
            <w:r>
              <w:rPr>
                <w:rFonts w:hint="eastAsia"/>
                <w:color w:val="000000"/>
                <w:sz w:val="24"/>
              </w:rPr>
              <w:fldChar w:fldCharType="end"/>
            </w:r>
            <w:r>
              <w:rPr>
                <w:rFonts w:hint="eastAsia"/>
                <w:color w:val="000000"/>
                <w:sz w:val="24"/>
              </w:rPr>
              <w:t>）、《排污单位自行监测技术指南 总则》（HJ819-2017）等相关技术规范</w:t>
            </w:r>
            <w:r>
              <w:rPr>
                <w:rFonts w:hint="eastAsia"/>
                <w:color w:val="000000"/>
                <w:sz w:val="24"/>
                <w:lang w:val="en-US" w:eastAsia="zh-CN"/>
              </w:rPr>
              <w:t>向</w:t>
            </w:r>
            <w:r>
              <w:rPr>
                <w:rFonts w:hint="default"/>
                <w:sz w:val="24"/>
                <w:szCs w:val="24"/>
              </w:rPr>
              <w:t>当地生态环境局申领排污许可证。</w:t>
            </w:r>
          </w:p>
          <w:p w14:paraId="041071B3">
            <w:pPr>
              <w:pStyle w:val="58"/>
              <w:spacing w:line="360" w:lineRule="auto"/>
              <w:jc w:val="left"/>
              <w:rPr>
                <w:b/>
                <w:bCs/>
                <w:sz w:val="24"/>
              </w:rPr>
            </w:pPr>
            <w:r>
              <w:rPr>
                <w:rFonts w:hint="eastAsia"/>
                <w:b/>
                <w:bCs/>
                <w:sz w:val="24"/>
              </w:rPr>
              <w:t>（2）</w:t>
            </w:r>
            <w:r>
              <w:rPr>
                <w:b/>
                <w:bCs/>
                <w:sz w:val="24"/>
              </w:rPr>
              <w:t>竣工环保验收监测</w:t>
            </w:r>
            <w:r>
              <w:rPr>
                <w:rFonts w:hint="eastAsia"/>
                <w:b/>
                <w:bCs/>
                <w:sz w:val="24"/>
              </w:rPr>
              <w:t>及</w:t>
            </w:r>
            <w:r>
              <w:rPr>
                <w:b/>
                <w:bCs/>
                <w:sz w:val="24"/>
              </w:rPr>
              <w:t>自行监测</w:t>
            </w:r>
          </w:p>
          <w:p w14:paraId="2D1A19E9">
            <w:pPr>
              <w:spacing w:line="360" w:lineRule="auto"/>
              <w:ind w:firstLine="480" w:firstLineChars="200"/>
              <w:rPr>
                <w:rFonts w:hint="eastAsia"/>
                <w:kern w:val="0"/>
                <w:sz w:val="24"/>
                <w:szCs w:val="28"/>
              </w:rPr>
            </w:pPr>
            <w:r>
              <w:rPr>
                <w:sz w:val="24"/>
              </w:rPr>
              <w:t>根据</w:t>
            </w:r>
            <w:r>
              <w:rPr>
                <w:rFonts w:hint="eastAsia"/>
                <w:sz w:val="24"/>
              </w:rPr>
              <w:t>生态环境</w:t>
            </w:r>
            <w:r>
              <w:rPr>
                <w:sz w:val="24"/>
              </w:rPr>
              <w:t>部关于《建设项目竣工环境保护验收暂行办法》的公告（国环规环评〔2017〕4 号），建设单位是建设项目竣工环境保护验收的责任主体</w:t>
            </w:r>
            <w:r>
              <w:rPr>
                <w:rFonts w:hint="eastAsia"/>
                <w:sz w:val="24"/>
              </w:rPr>
              <w:t>；</w:t>
            </w:r>
            <w:r>
              <w:rPr>
                <w:sz w:val="24"/>
              </w:rPr>
              <w:t>项目建成后，</w:t>
            </w:r>
            <w:r>
              <w:rPr>
                <w:rFonts w:hint="eastAsia"/>
                <w:sz w:val="24"/>
              </w:rPr>
              <w:t>应该</w:t>
            </w:r>
            <w:r>
              <w:rPr>
                <w:sz w:val="24"/>
              </w:rPr>
              <w:t>根据《建设项目环境保护管理条例》及《建设项目竣工环境保护验收暂行办法》</w:t>
            </w:r>
            <w:r>
              <w:rPr>
                <w:rFonts w:hint="eastAsia"/>
                <w:sz w:val="24"/>
              </w:rPr>
              <w:t>、</w:t>
            </w:r>
            <w:r>
              <w:rPr>
                <w:sz w:val="24"/>
              </w:rPr>
              <w:t>《建设项目竣工环境保护验收技术指南－污染影响类》</w:t>
            </w:r>
            <w:r>
              <w:rPr>
                <w:rFonts w:hint="eastAsia"/>
                <w:sz w:val="24"/>
              </w:rPr>
              <w:t>等</w:t>
            </w:r>
            <w:r>
              <w:rPr>
                <w:sz w:val="24"/>
              </w:rPr>
              <w:t>有关规定自主开展竣工环保验收，待项目验收合格后方可正式投入运行</w:t>
            </w:r>
            <w:r>
              <w:rPr>
                <w:rFonts w:hint="eastAsia"/>
                <w:sz w:val="24"/>
              </w:rPr>
              <w:t>；</w:t>
            </w:r>
            <w:r>
              <w:rPr>
                <w:kern w:val="0"/>
                <w:sz w:val="24"/>
                <w:szCs w:val="28"/>
              </w:rPr>
              <w:t>竣工验收报告必须经过并在网上进行公示，及时向环境监督管理部门进行备案</w:t>
            </w:r>
            <w:r>
              <w:rPr>
                <w:rFonts w:hint="eastAsia"/>
                <w:kern w:val="0"/>
                <w:sz w:val="24"/>
                <w:szCs w:val="28"/>
              </w:rPr>
              <w:t>。</w:t>
            </w:r>
          </w:p>
          <w:p w14:paraId="26510537">
            <w:pPr>
              <w:spacing w:line="360" w:lineRule="auto"/>
              <w:ind w:firstLine="480" w:firstLineChars="200"/>
              <w:rPr>
                <w:sz w:val="24"/>
              </w:rPr>
            </w:pPr>
            <w:r>
              <w:rPr>
                <w:sz w:val="24"/>
              </w:rPr>
              <w:t>项目运营期自行监测、竣工验收监测，不仅为了防止污染事故发生，并为环境管理提供依据</w:t>
            </w:r>
            <w:r>
              <w:rPr>
                <w:rFonts w:hint="eastAsia"/>
                <w:sz w:val="24"/>
              </w:rPr>
              <w:t>；项目环境监测可委托具有监测认证的监测单位进行，项目的监测内容和监测频次参照</w:t>
            </w:r>
            <w:r>
              <w:rPr>
                <w:rFonts w:hint="eastAsia"/>
                <w:color w:val="000000"/>
                <w:sz w:val="24"/>
              </w:rPr>
              <w:t>《排污许可证申请与核发技术规范 专用化学产品制造工业》（HJ1103-2020）、</w:t>
            </w:r>
            <w:r>
              <w:rPr>
                <w:rFonts w:hint="eastAsia"/>
                <w:sz w:val="24"/>
              </w:rPr>
              <w:t>《排污许可证申请与核发技术规范 工业炉窑》( HJ 1121—2020)、《排污单位自行监测技术指南 总则》（HJ819-2017）；监测分析按照原国家环保总局颁发的监测规范和分析方法执行；</w:t>
            </w:r>
            <w:r>
              <w:rPr>
                <w:sz w:val="24"/>
              </w:rPr>
              <w:t>具体监测计划见表4-</w:t>
            </w:r>
            <w:r>
              <w:rPr>
                <w:rFonts w:hint="eastAsia"/>
                <w:sz w:val="24"/>
              </w:rPr>
              <w:t>16</w:t>
            </w:r>
            <w:r>
              <w:rPr>
                <w:sz w:val="24"/>
              </w:rPr>
              <w:t>。</w:t>
            </w:r>
          </w:p>
          <w:p w14:paraId="14E912C2">
            <w:pPr>
              <w:shd w:val="clear" w:color="auto" w:fill="FFFFFF"/>
              <w:jc w:val="center"/>
              <w:rPr>
                <w:b/>
                <w:sz w:val="24"/>
              </w:rPr>
            </w:pPr>
            <w:r>
              <w:rPr>
                <w:b/>
                <w:sz w:val="24"/>
              </w:rPr>
              <w:t>表</w:t>
            </w:r>
            <w:r>
              <w:rPr>
                <w:rFonts w:hint="eastAsia"/>
                <w:b/>
                <w:sz w:val="24"/>
              </w:rPr>
              <w:t>4</w:t>
            </w:r>
            <w:r>
              <w:rPr>
                <w:b/>
                <w:sz w:val="24"/>
              </w:rPr>
              <w:t>-</w:t>
            </w:r>
            <w:r>
              <w:rPr>
                <w:rFonts w:hint="eastAsia"/>
                <w:b/>
                <w:sz w:val="24"/>
              </w:rPr>
              <w:t>16项目竣工环保验收监测和排污许可证自行</w:t>
            </w:r>
            <w:r>
              <w:rPr>
                <w:b/>
                <w:sz w:val="24"/>
              </w:rPr>
              <w:t>监测计划一览表</w:t>
            </w:r>
          </w:p>
          <w:tbl>
            <w:tblPr>
              <w:tblStyle w:val="23"/>
              <w:tblW w:w="49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540"/>
              <w:gridCol w:w="1401"/>
              <w:gridCol w:w="1208"/>
              <w:gridCol w:w="1249"/>
              <w:gridCol w:w="3140"/>
            </w:tblGrid>
            <w:tr w14:paraId="32C62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7" w:hRule="atLeast"/>
                <w:jc w:val="center"/>
              </w:trPr>
              <w:tc>
                <w:tcPr>
                  <w:tcW w:w="614" w:type="pct"/>
                  <w:gridSpan w:val="2"/>
                  <w:noWrap w:val="0"/>
                  <w:vAlign w:val="center"/>
                </w:tcPr>
                <w:p w14:paraId="28A00685">
                  <w:pPr>
                    <w:autoSpaceDE w:val="0"/>
                    <w:autoSpaceDN w:val="0"/>
                    <w:jc w:val="center"/>
                    <w:rPr>
                      <w:b/>
                      <w:bCs/>
                      <w:kern w:val="0"/>
                      <w:szCs w:val="21"/>
                    </w:rPr>
                  </w:pPr>
                  <w:r>
                    <w:rPr>
                      <w:b/>
                      <w:bCs/>
                      <w:kern w:val="0"/>
                      <w:szCs w:val="21"/>
                    </w:rPr>
                    <w:t>分类</w:t>
                  </w:r>
                </w:p>
              </w:tc>
              <w:tc>
                <w:tcPr>
                  <w:tcW w:w="878" w:type="pct"/>
                  <w:noWrap w:val="0"/>
                  <w:vAlign w:val="center"/>
                </w:tcPr>
                <w:p w14:paraId="6842BEC7">
                  <w:pPr>
                    <w:autoSpaceDE w:val="0"/>
                    <w:autoSpaceDN w:val="0"/>
                    <w:jc w:val="center"/>
                    <w:rPr>
                      <w:b/>
                      <w:bCs/>
                      <w:kern w:val="0"/>
                      <w:szCs w:val="21"/>
                    </w:rPr>
                  </w:pPr>
                  <w:r>
                    <w:rPr>
                      <w:b/>
                      <w:bCs/>
                      <w:kern w:val="0"/>
                      <w:szCs w:val="21"/>
                    </w:rPr>
                    <w:t>采样点</w:t>
                  </w:r>
                </w:p>
              </w:tc>
              <w:tc>
                <w:tcPr>
                  <w:tcW w:w="757" w:type="pct"/>
                  <w:noWrap w:val="0"/>
                  <w:vAlign w:val="center"/>
                </w:tcPr>
                <w:p w14:paraId="0E5B5E8A">
                  <w:pPr>
                    <w:autoSpaceDE w:val="0"/>
                    <w:autoSpaceDN w:val="0"/>
                    <w:jc w:val="center"/>
                    <w:rPr>
                      <w:b/>
                      <w:bCs/>
                      <w:kern w:val="0"/>
                      <w:szCs w:val="21"/>
                    </w:rPr>
                  </w:pPr>
                  <w:r>
                    <w:rPr>
                      <w:b/>
                      <w:bCs/>
                      <w:kern w:val="0"/>
                      <w:szCs w:val="21"/>
                    </w:rPr>
                    <w:t>监测指标</w:t>
                  </w:r>
                </w:p>
              </w:tc>
              <w:tc>
                <w:tcPr>
                  <w:tcW w:w="782" w:type="pct"/>
                  <w:noWrap w:val="0"/>
                  <w:vAlign w:val="center"/>
                </w:tcPr>
                <w:p w14:paraId="43C324F1">
                  <w:pPr>
                    <w:autoSpaceDE w:val="0"/>
                    <w:autoSpaceDN w:val="0"/>
                    <w:jc w:val="center"/>
                    <w:rPr>
                      <w:b/>
                      <w:bCs/>
                      <w:kern w:val="0"/>
                      <w:szCs w:val="21"/>
                    </w:rPr>
                  </w:pPr>
                  <w:r>
                    <w:rPr>
                      <w:b/>
                      <w:bCs/>
                      <w:kern w:val="0"/>
                      <w:szCs w:val="21"/>
                    </w:rPr>
                    <w:t>监测频次</w:t>
                  </w:r>
                </w:p>
              </w:tc>
              <w:tc>
                <w:tcPr>
                  <w:tcW w:w="1967" w:type="pct"/>
                  <w:noWrap w:val="0"/>
                  <w:vAlign w:val="center"/>
                </w:tcPr>
                <w:p w14:paraId="1BBBDA42">
                  <w:pPr>
                    <w:autoSpaceDE w:val="0"/>
                    <w:autoSpaceDN w:val="0"/>
                    <w:jc w:val="center"/>
                    <w:rPr>
                      <w:b/>
                      <w:bCs/>
                      <w:kern w:val="0"/>
                      <w:szCs w:val="21"/>
                    </w:rPr>
                  </w:pPr>
                  <w:r>
                    <w:rPr>
                      <w:b/>
                      <w:bCs/>
                      <w:szCs w:val="21"/>
                    </w:rPr>
                    <w:t>执行标准</w:t>
                  </w:r>
                </w:p>
              </w:tc>
            </w:tr>
            <w:tr w14:paraId="73D6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275" w:type="pct"/>
                  <w:vMerge w:val="restart"/>
                  <w:noWrap w:val="0"/>
                  <w:vAlign w:val="center"/>
                </w:tcPr>
                <w:p w14:paraId="0E1002D0">
                  <w:pPr>
                    <w:autoSpaceDE w:val="0"/>
                    <w:autoSpaceDN w:val="0"/>
                    <w:jc w:val="center"/>
                    <w:rPr>
                      <w:kern w:val="0"/>
                      <w:szCs w:val="21"/>
                    </w:rPr>
                  </w:pPr>
                  <w:r>
                    <w:rPr>
                      <w:kern w:val="0"/>
                      <w:szCs w:val="21"/>
                    </w:rPr>
                    <w:t>竣工环保验收</w:t>
                  </w:r>
                </w:p>
              </w:tc>
              <w:tc>
                <w:tcPr>
                  <w:tcW w:w="338" w:type="pct"/>
                  <w:vMerge w:val="restart"/>
                  <w:noWrap w:val="0"/>
                  <w:vAlign w:val="center"/>
                </w:tcPr>
                <w:p w14:paraId="706253EE">
                  <w:pPr>
                    <w:autoSpaceDE w:val="0"/>
                    <w:autoSpaceDN w:val="0"/>
                    <w:jc w:val="center"/>
                    <w:rPr>
                      <w:kern w:val="0"/>
                      <w:szCs w:val="21"/>
                    </w:rPr>
                  </w:pPr>
                  <w:r>
                    <w:rPr>
                      <w:kern w:val="0"/>
                      <w:szCs w:val="21"/>
                    </w:rPr>
                    <w:t>无组织废气</w:t>
                  </w:r>
                </w:p>
              </w:tc>
              <w:tc>
                <w:tcPr>
                  <w:tcW w:w="878" w:type="pct"/>
                  <w:vMerge w:val="restart"/>
                  <w:noWrap w:val="0"/>
                  <w:vAlign w:val="center"/>
                </w:tcPr>
                <w:p w14:paraId="5342ED6B">
                  <w:pPr>
                    <w:autoSpaceDE w:val="0"/>
                    <w:autoSpaceDN w:val="0"/>
                    <w:jc w:val="center"/>
                    <w:rPr>
                      <w:kern w:val="0"/>
                      <w:szCs w:val="21"/>
                    </w:rPr>
                  </w:pPr>
                  <w:r>
                    <w:rPr>
                      <w:kern w:val="0"/>
                      <w:szCs w:val="21"/>
                    </w:rPr>
                    <w:t>厂界</w:t>
                  </w:r>
                  <w:r>
                    <w:rPr>
                      <w:rFonts w:hint="eastAsia"/>
                      <w:kern w:val="0"/>
                      <w:szCs w:val="21"/>
                    </w:rPr>
                    <w:t>外</w:t>
                  </w:r>
                  <w:r>
                    <w:rPr>
                      <w:kern w:val="0"/>
                      <w:szCs w:val="21"/>
                    </w:rPr>
                    <w:t>上风向处设置一个点、下风向两个点</w:t>
                  </w:r>
                </w:p>
              </w:tc>
              <w:tc>
                <w:tcPr>
                  <w:tcW w:w="757" w:type="pct"/>
                  <w:noWrap w:val="0"/>
                  <w:vAlign w:val="center"/>
                </w:tcPr>
                <w:p w14:paraId="13A30528">
                  <w:pPr>
                    <w:autoSpaceDE w:val="0"/>
                    <w:autoSpaceDN w:val="0"/>
                    <w:jc w:val="center"/>
                    <w:rPr>
                      <w:kern w:val="0"/>
                      <w:szCs w:val="21"/>
                    </w:rPr>
                  </w:pPr>
                  <w:r>
                    <w:rPr>
                      <w:kern w:val="0"/>
                      <w:szCs w:val="21"/>
                    </w:rPr>
                    <w:t>颗粒物</w:t>
                  </w:r>
                </w:p>
              </w:tc>
              <w:tc>
                <w:tcPr>
                  <w:tcW w:w="782" w:type="pct"/>
                  <w:vMerge w:val="restart"/>
                  <w:noWrap w:val="0"/>
                  <w:vAlign w:val="center"/>
                </w:tcPr>
                <w:p w14:paraId="11007CE1">
                  <w:pPr>
                    <w:autoSpaceDE w:val="0"/>
                    <w:autoSpaceDN w:val="0"/>
                    <w:jc w:val="center"/>
                    <w:rPr>
                      <w:kern w:val="0"/>
                      <w:szCs w:val="21"/>
                    </w:rPr>
                  </w:pPr>
                  <w:r>
                    <w:rPr>
                      <w:szCs w:val="21"/>
                    </w:rPr>
                    <w:t>连续监测2天，每天3个样</w:t>
                  </w:r>
                </w:p>
              </w:tc>
              <w:tc>
                <w:tcPr>
                  <w:tcW w:w="1967" w:type="pct"/>
                  <w:vMerge w:val="restart"/>
                  <w:noWrap w:val="0"/>
                  <w:vAlign w:val="center"/>
                </w:tcPr>
                <w:p w14:paraId="28623E9E">
                  <w:pPr>
                    <w:autoSpaceDE w:val="0"/>
                    <w:autoSpaceDN w:val="0"/>
                    <w:jc w:val="center"/>
                    <w:rPr>
                      <w:szCs w:val="21"/>
                    </w:rPr>
                  </w:pPr>
                  <w:r>
                    <w:rPr>
                      <w:szCs w:val="21"/>
                    </w:rPr>
                    <w:t>执行《大气污染物综合排放标准》（GB16297-1996）表2新建污染源无组织排放限值要求</w:t>
                  </w:r>
                </w:p>
              </w:tc>
            </w:tr>
            <w:tr w14:paraId="53A0D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275" w:type="pct"/>
                  <w:vMerge w:val="continue"/>
                  <w:noWrap w:val="0"/>
                  <w:vAlign w:val="center"/>
                </w:tcPr>
                <w:p w14:paraId="6DDCE7CD">
                  <w:pPr>
                    <w:autoSpaceDE w:val="0"/>
                    <w:autoSpaceDN w:val="0"/>
                    <w:jc w:val="center"/>
                    <w:rPr>
                      <w:kern w:val="0"/>
                      <w:szCs w:val="21"/>
                    </w:rPr>
                  </w:pPr>
                </w:p>
              </w:tc>
              <w:tc>
                <w:tcPr>
                  <w:tcW w:w="338" w:type="pct"/>
                  <w:vMerge w:val="continue"/>
                  <w:noWrap w:val="0"/>
                  <w:vAlign w:val="center"/>
                </w:tcPr>
                <w:p w14:paraId="64011004">
                  <w:pPr>
                    <w:autoSpaceDE w:val="0"/>
                    <w:autoSpaceDN w:val="0"/>
                    <w:jc w:val="center"/>
                    <w:rPr>
                      <w:kern w:val="0"/>
                      <w:szCs w:val="21"/>
                    </w:rPr>
                  </w:pPr>
                </w:p>
              </w:tc>
              <w:tc>
                <w:tcPr>
                  <w:tcW w:w="878" w:type="pct"/>
                  <w:vMerge w:val="continue"/>
                  <w:noWrap w:val="0"/>
                  <w:vAlign w:val="center"/>
                </w:tcPr>
                <w:p w14:paraId="4731B5F6">
                  <w:pPr>
                    <w:autoSpaceDE w:val="0"/>
                    <w:autoSpaceDN w:val="0"/>
                    <w:jc w:val="center"/>
                    <w:rPr>
                      <w:kern w:val="0"/>
                      <w:szCs w:val="21"/>
                    </w:rPr>
                  </w:pPr>
                </w:p>
              </w:tc>
              <w:tc>
                <w:tcPr>
                  <w:tcW w:w="757" w:type="pct"/>
                  <w:noWrap w:val="0"/>
                  <w:vAlign w:val="center"/>
                </w:tcPr>
                <w:p w14:paraId="1B85D415">
                  <w:pPr>
                    <w:autoSpaceDE w:val="0"/>
                    <w:autoSpaceDN w:val="0"/>
                    <w:jc w:val="center"/>
                    <w:rPr>
                      <w:rFonts w:hint="eastAsia" w:eastAsia="宋体"/>
                      <w:kern w:val="0"/>
                      <w:szCs w:val="21"/>
                      <w:lang w:eastAsia="zh-CN"/>
                    </w:rPr>
                  </w:pPr>
                  <w:r>
                    <w:rPr>
                      <w:rFonts w:hint="eastAsia"/>
                      <w:kern w:val="0"/>
                      <w:szCs w:val="21"/>
                      <w:lang w:eastAsia="zh-CN"/>
                    </w:rPr>
                    <w:t>有机挥发物</w:t>
                  </w:r>
                </w:p>
              </w:tc>
              <w:tc>
                <w:tcPr>
                  <w:tcW w:w="782" w:type="pct"/>
                  <w:vMerge w:val="continue"/>
                  <w:noWrap w:val="0"/>
                  <w:vAlign w:val="center"/>
                </w:tcPr>
                <w:p w14:paraId="00FDF849">
                  <w:pPr>
                    <w:autoSpaceDE w:val="0"/>
                    <w:autoSpaceDN w:val="0"/>
                    <w:jc w:val="center"/>
                    <w:rPr>
                      <w:szCs w:val="21"/>
                    </w:rPr>
                  </w:pPr>
                </w:p>
              </w:tc>
              <w:tc>
                <w:tcPr>
                  <w:tcW w:w="1967" w:type="pct"/>
                  <w:vMerge w:val="continue"/>
                  <w:noWrap w:val="0"/>
                  <w:vAlign w:val="center"/>
                </w:tcPr>
                <w:p w14:paraId="370F66C4">
                  <w:pPr>
                    <w:autoSpaceDE w:val="0"/>
                    <w:autoSpaceDN w:val="0"/>
                    <w:jc w:val="center"/>
                    <w:rPr>
                      <w:szCs w:val="21"/>
                    </w:rPr>
                  </w:pPr>
                </w:p>
              </w:tc>
            </w:tr>
            <w:tr w14:paraId="74B95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275" w:type="pct"/>
                  <w:vMerge w:val="continue"/>
                  <w:noWrap w:val="0"/>
                  <w:vAlign w:val="center"/>
                </w:tcPr>
                <w:p w14:paraId="31DA26C3">
                  <w:pPr>
                    <w:autoSpaceDE w:val="0"/>
                    <w:autoSpaceDN w:val="0"/>
                    <w:jc w:val="center"/>
                    <w:rPr>
                      <w:kern w:val="0"/>
                      <w:szCs w:val="21"/>
                    </w:rPr>
                  </w:pPr>
                </w:p>
              </w:tc>
              <w:tc>
                <w:tcPr>
                  <w:tcW w:w="338" w:type="pct"/>
                  <w:vMerge w:val="continue"/>
                  <w:noWrap w:val="0"/>
                  <w:vAlign w:val="center"/>
                </w:tcPr>
                <w:p w14:paraId="265E7901">
                  <w:pPr>
                    <w:autoSpaceDE w:val="0"/>
                    <w:autoSpaceDN w:val="0"/>
                    <w:jc w:val="center"/>
                    <w:rPr>
                      <w:kern w:val="0"/>
                      <w:szCs w:val="21"/>
                    </w:rPr>
                  </w:pPr>
                </w:p>
              </w:tc>
              <w:tc>
                <w:tcPr>
                  <w:tcW w:w="878" w:type="pct"/>
                  <w:noWrap w:val="0"/>
                  <w:vAlign w:val="center"/>
                </w:tcPr>
                <w:p w14:paraId="377B5953">
                  <w:pPr>
                    <w:autoSpaceDE w:val="0"/>
                    <w:autoSpaceDN w:val="0"/>
                    <w:jc w:val="center"/>
                    <w:rPr>
                      <w:kern w:val="0"/>
                      <w:szCs w:val="21"/>
                    </w:rPr>
                  </w:pPr>
                  <w:r>
                    <w:rPr>
                      <w:rFonts w:hint="eastAsia"/>
                      <w:szCs w:val="21"/>
                    </w:rPr>
                    <w:t>厂界内</w:t>
                  </w:r>
                  <w:r>
                    <w:rPr>
                      <w:szCs w:val="21"/>
                    </w:rPr>
                    <w:t>工业炉窑</w:t>
                  </w:r>
                  <w:r>
                    <w:rPr>
                      <w:rFonts w:hint="eastAsia"/>
                      <w:szCs w:val="21"/>
                    </w:rPr>
                    <w:t>下风向</w:t>
                  </w:r>
                  <w:r>
                    <w:rPr>
                      <w:szCs w:val="21"/>
                    </w:rPr>
                    <w:t>设置1个点</w:t>
                  </w:r>
                </w:p>
              </w:tc>
              <w:tc>
                <w:tcPr>
                  <w:tcW w:w="757" w:type="pct"/>
                  <w:noWrap w:val="0"/>
                  <w:vAlign w:val="center"/>
                </w:tcPr>
                <w:p w14:paraId="5DE5FAD3">
                  <w:pPr>
                    <w:autoSpaceDE w:val="0"/>
                    <w:autoSpaceDN w:val="0"/>
                    <w:jc w:val="center"/>
                    <w:rPr>
                      <w:kern w:val="0"/>
                      <w:szCs w:val="21"/>
                    </w:rPr>
                  </w:pPr>
                  <w:r>
                    <w:rPr>
                      <w:kern w:val="0"/>
                      <w:szCs w:val="21"/>
                    </w:rPr>
                    <w:t>颗粒物</w:t>
                  </w:r>
                </w:p>
              </w:tc>
              <w:tc>
                <w:tcPr>
                  <w:tcW w:w="782" w:type="pct"/>
                  <w:vMerge w:val="continue"/>
                  <w:noWrap w:val="0"/>
                  <w:vAlign w:val="center"/>
                </w:tcPr>
                <w:p w14:paraId="335A8DC5">
                  <w:pPr>
                    <w:autoSpaceDE w:val="0"/>
                    <w:autoSpaceDN w:val="0"/>
                    <w:jc w:val="center"/>
                    <w:rPr>
                      <w:szCs w:val="21"/>
                    </w:rPr>
                  </w:pPr>
                </w:p>
              </w:tc>
              <w:tc>
                <w:tcPr>
                  <w:tcW w:w="1967" w:type="pct"/>
                  <w:noWrap w:val="0"/>
                  <w:vAlign w:val="center"/>
                </w:tcPr>
                <w:p w14:paraId="455BEA19">
                  <w:pPr>
                    <w:autoSpaceDE w:val="0"/>
                    <w:autoSpaceDN w:val="0"/>
                    <w:jc w:val="center"/>
                    <w:rPr>
                      <w:szCs w:val="21"/>
                    </w:rPr>
                  </w:pPr>
                  <w:r>
                    <w:rPr>
                      <w:szCs w:val="21"/>
                    </w:rPr>
                    <w:t>执行《工业炉窑大气污染物排放标准》(GB9078-1996)中表3各种工业炉窑标准；</w:t>
                  </w:r>
                </w:p>
              </w:tc>
            </w:tr>
            <w:tr w14:paraId="78EE7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275" w:type="pct"/>
                  <w:vMerge w:val="continue"/>
                  <w:noWrap w:val="0"/>
                  <w:vAlign w:val="center"/>
                </w:tcPr>
                <w:p w14:paraId="052022FA">
                  <w:pPr>
                    <w:autoSpaceDE w:val="0"/>
                    <w:autoSpaceDN w:val="0"/>
                    <w:jc w:val="center"/>
                    <w:rPr>
                      <w:kern w:val="0"/>
                      <w:szCs w:val="21"/>
                    </w:rPr>
                  </w:pPr>
                </w:p>
              </w:tc>
              <w:tc>
                <w:tcPr>
                  <w:tcW w:w="338" w:type="pct"/>
                  <w:vMerge w:val="continue"/>
                  <w:noWrap w:val="0"/>
                  <w:vAlign w:val="center"/>
                </w:tcPr>
                <w:p w14:paraId="6C5AC6B6">
                  <w:pPr>
                    <w:autoSpaceDE w:val="0"/>
                    <w:autoSpaceDN w:val="0"/>
                    <w:jc w:val="center"/>
                    <w:rPr>
                      <w:kern w:val="0"/>
                      <w:szCs w:val="21"/>
                    </w:rPr>
                  </w:pPr>
                </w:p>
              </w:tc>
              <w:tc>
                <w:tcPr>
                  <w:tcW w:w="878" w:type="pct"/>
                  <w:noWrap w:val="0"/>
                  <w:vAlign w:val="center"/>
                </w:tcPr>
                <w:p w14:paraId="5CD48248">
                  <w:pPr>
                    <w:autoSpaceDE w:val="0"/>
                    <w:autoSpaceDN w:val="0"/>
                    <w:jc w:val="center"/>
                    <w:rPr>
                      <w:kern w:val="0"/>
                      <w:szCs w:val="21"/>
                    </w:rPr>
                  </w:pPr>
                  <w:r>
                    <w:rPr>
                      <w:rFonts w:hint="eastAsia"/>
                      <w:kern w:val="0"/>
                      <w:szCs w:val="21"/>
                    </w:rPr>
                    <w:t>厂界内炭化</w:t>
                  </w:r>
                  <w:r>
                    <w:rPr>
                      <w:kern w:val="0"/>
                      <w:szCs w:val="21"/>
                    </w:rPr>
                    <w:t>窑下风向设置1个点</w:t>
                  </w:r>
                </w:p>
              </w:tc>
              <w:tc>
                <w:tcPr>
                  <w:tcW w:w="757" w:type="pct"/>
                  <w:noWrap w:val="0"/>
                  <w:vAlign w:val="center"/>
                </w:tcPr>
                <w:p w14:paraId="41464C2C">
                  <w:pPr>
                    <w:autoSpaceDE w:val="0"/>
                    <w:autoSpaceDN w:val="0"/>
                    <w:jc w:val="center"/>
                    <w:rPr>
                      <w:rFonts w:hint="eastAsia" w:eastAsia="宋体"/>
                      <w:kern w:val="0"/>
                      <w:szCs w:val="21"/>
                      <w:lang w:eastAsia="zh-CN"/>
                    </w:rPr>
                  </w:pPr>
                  <w:r>
                    <w:rPr>
                      <w:rFonts w:hint="eastAsia"/>
                      <w:kern w:val="0"/>
                      <w:szCs w:val="21"/>
                      <w:lang w:eastAsia="zh-CN"/>
                    </w:rPr>
                    <w:t>有机挥发物</w:t>
                  </w:r>
                </w:p>
              </w:tc>
              <w:tc>
                <w:tcPr>
                  <w:tcW w:w="782" w:type="pct"/>
                  <w:vMerge w:val="continue"/>
                  <w:noWrap w:val="0"/>
                  <w:vAlign w:val="center"/>
                </w:tcPr>
                <w:p w14:paraId="3E71AEA3">
                  <w:pPr>
                    <w:autoSpaceDE w:val="0"/>
                    <w:autoSpaceDN w:val="0"/>
                    <w:jc w:val="center"/>
                    <w:rPr>
                      <w:szCs w:val="21"/>
                    </w:rPr>
                  </w:pPr>
                </w:p>
              </w:tc>
              <w:tc>
                <w:tcPr>
                  <w:tcW w:w="1967" w:type="pct"/>
                  <w:noWrap w:val="0"/>
                  <w:vAlign w:val="center"/>
                </w:tcPr>
                <w:p w14:paraId="41411550">
                  <w:pPr>
                    <w:autoSpaceDE w:val="0"/>
                    <w:autoSpaceDN w:val="0"/>
                    <w:jc w:val="center"/>
                    <w:rPr>
                      <w:szCs w:val="21"/>
                    </w:rPr>
                  </w:pPr>
                  <w:r>
                    <w:rPr>
                      <w:szCs w:val="21"/>
                    </w:rPr>
                    <w:t>执行《挥发性有机物无组织排放控制标准》（GB 37822-2019）附录A，A.1厂区内VOCs无组织排放限值</w:t>
                  </w:r>
                </w:p>
              </w:tc>
            </w:tr>
            <w:tr w14:paraId="4C073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275" w:type="pct"/>
                  <w:vMerge w:val="continue"/>
                  <w:noWrap w:val="0"/>
                  <w:vAlign w:val="center"/>
                </w:tcPr>
                <w:p w14:paraId="734CE2C7">
                  <w:pPr>
                    <w:autoSpaceDE w:val="0"/>
                    <w:autoSpaceDN w:val="0"/>
                    <w:jc w:val="center"/>
                    <w:rPr>
                      <w:kern w:val="0"/>
                      <w:szCs w:val="21"/>
                    </w:rPr>
                  </w:pPr>
                </w:p>
              </w:tc>
              <w:tc>
                <w:tcPr>
                  <w:tcW w:w="338" w:type="pct"/>
                  <w:vMerge w:val="restart"/>
                  <w:noWrap w:val="0"/>
                  <w:vAlign w:val="center"/>
                </w:tcPr>
                <w:p w14:paraId="516734C8">
                  <w:pPr>
                    <w:autoSpaceDE w:val="0"/>
                    <w:autoSpaceDN w:val="0"/>
                    <w:jc w:val="center"/>
                    <w:rPr>
                      <w:kern w:val="0"/>
                      <w:szCs w:val="21"/>
                    </w:rPr>
                  </w:pPr>
                  <w:r>
                    <w:rPr>
                      <w:kern w:val="0"/>
                      <w:szCs w:val="21"/>
                    </w:rPr>
                    <w:t>有组织废气</w:t>
                  </w:r>
                </w:p>
              </w:tc>
              <w:tc>
                <w:tcPr>
                  <w:tcW w:w="878" w:type="pct"/>
                  <w:vMerge w:val="restart"/>
                  <w:noWrap w:val="0"/>
                  <w:vAlign w:val="center"/>
                </w:tcPr>
                <w:p w14:paraId="16AC1ABF">
                  <w:pPr>
                    <w:autoSpaceDE w:val="0"/>
                    <w:autoSpaceDN w:val="0"/>
                    <w:jc w:val="center"/>
                    <w:rPr>
                      <w:kern w:val="0"/>
                      <w:szCs w:val="21"/>
                    </w:rPr>
                  </w:pPr>
                  <w:r>
                    <w:rPr>
                      <w:kern w:val="0"/>
                      <w:szCs w:val="21"/>
                    </w:rPr>
                    <w:t>烘干、制棒、</w:t>
                  </w:r>
                  <w:r>
                    <w:rPr>
                      <w:rFonts w:hint="eastAsia"/>
                      <w:kern w:val="0"/>
                      <w:szCs w:val="21"/>
                    </w:rPr>
                    <w:t>炭化</w:t>
                  </w:r>
                  <w:r>
                    <w:rPr>
                      <w:kern w:val="0"/>
                      <w:szCs w:val="21"/>
                    </w:rPr>
                    <w:t>废气排放口（DA001）</w:t>
                  </w:r>
                </w:p>
                <w:p w14:paraId="30F7A1CE">
                  <w:pPr>
                    <w:autoSpaceDE w:val="0"/>
                    <w:autoSpaceDN w:val="0"/>
                    <w:jc w:val="center"/>
                    <w:rPr>
                      <w:kern w:val="0"/>
                      <w:szCs w:val="21"/>
                    </w:rPr>
                  </w:pPr>
                </w:p>
              </w:tc>
              <w:tc>
                <w:tcPr>
                  <w:tcW w:w="757" w:type="pct"/>
                  <w:noWrap w:val="0"/>
                  <w:vAlign w:val="center"/>
                </w:tcPr>
                <w:p w14:paraId="03FB8D9D">
                  <w:pPr>
                    <w:rPr>
                      <w:kern w:val="0"/>
                      <w:szCs w:val="21"/>
                    </w:rPr>
                  </w:pPr>
                  <w:r>
                    <w:rPr>
                      <w:rFonts w:hint="eastAsia"/>
                      <w:szCs w:val="21"/>
                      <w:lang w:eastAsia="zh-CN"/>
                    </w:rPr>
                    <w:t>有机挥发物</w:t>
                  </w:r>
                  <w:r>
                    <w:rPr>
                      <w:szCs w:val="21"/>
                    </w:rPr>
                    <w:t>、SO</w:t>
                  </w:r>
                  <w:r>
                    <w:rPr>
                      <w:szCs w:val="21"/>
                      <w:vertAlign w:val="subscript"/>
                    </w:rPr>
                    <w:t>2</w:t>
                  </w:r>
                  <w:r>
                    <w:rPr>
                      <w:szCs w:val="21"/>
                    </w:rPr>
                    <w:t>、NO</w:t>
                  </w:r>
                  <w:r>
                    <w:rPr>
                      <w:szCs w:val="21"/>
                      <w:vertAlign w:val="subscript"/>
                    </w:rPr>
                    <w:t>x</w:t>
                  </w:r>
                </w:p>
              </w:tc>
              <w:tc>
                <w:tcPr>
                  <w:tcW w:w="782" w:type="pct"/>
                  <w:vMerge w:val="restart"/>
                  <w:noWrap w:val="0"/>
                  <w:vAlign w:val="center"/>
                </w:tcPr>
                <w:p w14:paraId="156651BB">
                  <w:pPr>
                    <w:jc w:val="center"/>
                    <w:rPr>
                      <w:szCs w:val="21"/>
                    </w:rPr>
                  </w:pPr>
                  <w:r>
                    <w:rPr>
                      <w:szCs w:val="21"/>
                    </w:rPr>
                    <w:t>连续2天，每天3个样</w:t>
                  </w:r>
                </w:p>
              </w:tc>
              <w:tc>
                <w:tcPr>
                  <w:tcW w:w="1967" w:type="pct"/>
                  <w:noWrap w:val="0"/>
                  <w:vAlign w:val="center"/>
                </w:tcPr>
                <w:p w14:paraId="6F3F94CD">
                  <w:pPr>
                    <w:jc w:val="center"/>
                    <w:rPr>
                      <w:szCs w:val="21"/>
                    </w:rPr>
                  </w:pPr>
                  <w:r>
                    <w:rPr>
                      <w:szCs w:val="21"/>
                    </w:rPr>
                    <w:t>执行《大气污染物综合排放标准》（GB16297-1996）中表2二级标准规定的排放限值</w:t>
                  </w:r>
                </w:p>
              </w:tc>
            </w:tr>
            <w:tr w14:paraId="1738C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275" w:type="pct"/>
                  <w:vMerge w:val="continue"/>
                  <w:noWrap w:val="0"/>
                  <w:vAlign w:val="center"/>
                </w:tcPr>
                <w:p w14:paraId="3CDB3B3D">
                  <w:pPr>
                    <w:autoSpaceDE w:val="0"/>
                    <w:autoSpaceDN w:val="0"/>
                    <w:jc w:val="center"/>
                    <w:rPr>
                      <w:kern w:val="0"/>
                      <w:szCs w:val="21"/>
                    </w:rPr>
                  </w:pPr>
                </w:p>
              </w:tc>
              <w:tc>
                <w:tcPr>
                  <w:tcW w:w="338" w:type="pct"/>
                  <w:vMerge w:val="continue"/>
                  <w:noWrap w:val="0"/>
                  <w:vAlign w:val="center"/>
                </w:tcPr>
                <w:p w14:paraId="755B8835">
                  <w:pPr>
                    <w:autoSpaceDE w:val="0"/>
                    <w:autoSpaceDN w:val="0"/>
                    <w:jc w:val="center"/>
                    <w:rPr>
                      <w:kern w:val="0"/>
                      <w:szCs w:val="21"/>
                    </w:rPr>
                  </w:pPr>
                </w:p>
              </w:tc>
              <w:tc>
                <w:tcPr>
                  <w:tcW w:w="878" w:type="pct"/>
                  <w:vMerge w:val="continue"/>
                  <w:noWrap w:val="0"/>
                  <w:vAlign w:val="center"/>
                </w:tcPr>
                <w:p w14:paraId="5605A711">
                  <w:pPr>
                    <w:autoSpaceDE w:val="0"/>
                    <w:autoSpaceDN w:val="0"/>
                    <w:jc w:val="center"/>
                    <w:rPr>
                      <w:kern w:val="0"/>
                      <w:szCs w:val="21"/>
                    </w:rPr>
                  </w:pPr>
                </w:p>
              </w:tc>
              <w:tc>
                <w:tcPr>
                  <w:tcW w:w="757" w:type="pct"/>
                  <w:noWrap w:val="0"/>
                  <w:vAlign w:val="center"/>
                </w:tcPr>
                <w:p w14:paraId="250D779C">
                  <w:pPr>
                    <w:autoSpaceDE w:val="0"/>
                    <w:autoSpaceDN w:val="0"/>
                    <w:rPr>
                      <w:kern w:val="0"/>
                      <w:szCs w:val="21"/>
                    </w:rPr>
                  </w:pPr>
                  <w:r>
                    <w:rPr>
                      <w:kern w:val="0"/>
                      <w:szCs w:val="21"/>
                    </w:rPr>
                    <w:t>烟尘、烟气黑度</w:t>
                  </w:r>
                </w:p>
              </w:tc>
              <w:tc>
                <w:tcPr>
                  <w:tcW w:w="782" w:type="pct"/>
                  <w:vMerge w:val="continue"/>
                  <w:noWrap w:val="0"/>
                  <w:vAlign w:val="center"/>
                </w:tcPr>
                <w:p w14:paraId="40E65CBF">
                  <w:pPr>
                    <w:jc w:val="center"/>
                    <w:rPr>
                      <w:szCs w:val="21"/>
                    </w:rPr>
                  </w:pPr>
                </w:p>
              </w:tc>
              <w:tc>
                <w:tcPr>
                  <w:tcW w:w="1967" w:type="pct"/>
                  <w:noWrap w:val="0"/>
                  <w:vAlign w:val="center"/>
                </w:tcPr>
                <w:p w14:paraId="769C4DCA">
                  <w:pPr>
                    <w:jc w:val="center"/>
                    <w:rPr>
                      <w:szCs w:val="21"/>
                    </w:rPr>
                  </w:pPr>
                  <w:r>
                    <w:rPr>
                      <w:szCs w:val="21"/>
                    </w:rPr>
                    <w:t>执行《工业炉窑大气污染物排放标准》</w:t>
                  </w:r>
                  <w:r>
                    <w:rPr>
                      <w:rFonts w:hint="eastAsia"/>
                      <w:szCs w:val="21"/>
                    </w:rPr>
                    <w:t>（</w:t>
                  </w:r>
                  <w:r>
                    <w:rPr>
                      <w:szCs w:val="21"/>
                    </w:rPr>
                    <w:t>GB9078-1996）表2中干燥炉、窑的二级标准；</w:t>
                  </w:r>
                </w:p>
              </w:tc>
            </w:tr>
            <w:tr w14:paraId="67449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275" w:type="pct"/>
                  <w:vMerge w:val="continue"/>
                  <w:noWrap w:val="0"/>
                  <w:vAlign w:val="center"/>
                </w:tcPr>
                <w:p w14:paraId="686E0B55">
                  <w:pPr>
                    <w:autoSpaceDE w:val="0"/>
                    <w:autoSpaceDN w:val="0"/>
                    <w:jc w:val="center"/>
                    <w:rPr>
                      <w:kern w:val="0"/>
                      <w:szCs w:val="21"/>
                    </w:rPr>
                  </w:pPr>
                </w:p>
              </w:tc>
              <w:tc>
                <w:tcPr>
                  <w:tcW w:w="338" w:type="pct"/>
                  <w:noWrap w:val="0"/>
                  <w:vAlign w:val="center"/>
                </w:tcPr>
                <w:p w14:paraId="6F9F342F">
                  <w:pPr>
                    <w:autoSpaceDE w:val="0"/>
                    <w:autoSpaceDN w:val="0"/>
                    <w:jc w:val="center"/>
                    <w:rPr>
                      <w:kern w:val="0"/>
                      <w:szCs w:val="21"/>
                    </w:rPr>
                  </w:pPr>
                  <w:r>
                    <w:rPr>
                      <w:kern w:val="0"/>
                      <w:szCs w:val="21"/>
                    </w:rPr>
                    <w:t>雨水</w:t>
                  </w:r>
                </w:p>
              </w:tc>
              <w:tc>
                <w:tcPr>
                  <w:tcW w:w="878" w:type="pct"/>
                  <w:noWrap w:val="0"/>
                  <w:vAlign w:val="center"/>
                </w:tcPr>
                <w:p w14:paraId="7E952A8C">
                  <w:pPr>
                    <w:autoSpaceDE w:val="0"/>
                    <w:autoSpaceDN w:val="0"/>
                    <w:rPr>
                      <w:kern w:val="0"/>
                      <w:szCs w:val="21"/>
                    </w:rPr>
                  </w:pPr>
                  <w:r>
                    <w:rPr>
                      <w:kern w:val="0"/>
                      <w:szCs w:val="21"/>
                    </w:rPr>
                    <w:t>雨水排放口（YS001）</w:t>
                  </w:r>
                </w:p>
              </w:tc>
              <w:tc>
                <w:tcPr>
                  <w:tcW w:w="757" w:type="pct"/>
                  <w:noWrap w:val="0"/>
                  <w:vAlign w:val="center"/>
                </w:tcPr>
                <w:p w14:paraId="46DD48E3">
                  <w:pPr>
                    <w:autoSpaceDE w:val="0"/>
                    <w:autoSpaceDN w:val="0"/>
                    <w:rPr>
                      <w:kern w:val="0"/>
                      <w:szCs w:val="21"/>
                    </w:rPr>
                  </w:pPr>
                  <w:r>
                    <w:rPr>
                      <w:position w:val="2"/>
                      <w:szCs w:val="21"/>
                    </w:rPr>
                    <w:t>COD</w:t>
                  </w:r>
                  <w:r>
                    <w:rPr>
                      <w:position w:val="2"/>
                      <w:szCs w:val="21"/>
                      <w:vertAlign w:val="subscript"/>
                    </w:rPr>
                    <w:t>Cr</w:t>
                  </w:r>
                  <w:r>
                    <w:rPr>
                      <w:position w:val="2"/>
                      <w:szCs w:val="21"/>
                    </w:rPr>
                    <w:t xml:space="preserve">、SS </w:t>
                  </w:r>
                </w:p>
              </w:tc>
              <w:tc>
                <w:tcPr>
                  <w:tcW w:w="782" w:type="pct"/>
                  <w:noWrap w:val="0"/>
                  <w:vAlign w:val="center"/>
                </w:tcPr>
                <w:p w14:paraId="0830B6C2">
                  <w:pPr>
                    <w:autoSpaceDE w:val="0"/>
                    <w:autoSpaceDN w:val="0"/>
                    <w:rPr>
                      <w:szCs w:val="21"/>
                    </w:rPr>
                  </w:pPr>
                  <w:r>
                    <w:rPr>
                      <w:szCs w:val="21"/>
                    </w:rPr>
                    <w:t>连续2天，每天4个样</w:t>
                  </w:r>
                </w:p>
              </w:tc>
              <w:tc>
                <w:tcPr>
                  <w:tcW w:w="1967" w:type="pct"/>
                  <w:noWrap w:val="0"/>
                  <w:vAlign w:val="center"/>
                </w:tcPr>
                <w:p w14:paraId="205F8356">
                  <w:pPr>
                    <w:autoSpaceDE w:val="0"/>
                    <w:autoSpaceDN w:val="0"/>
                    <w:jc w:val="center"/>
                    <w:rPr>
                      <w:szCs w:val="21"/>
                    </w:rPr>
                  </w:pPr>
                  <w:r>
                    <w:rPr>
                      <w:szCs w:val="21"/>
                    </w:rPr>
                    <w:t>执行《污水综合排放标准》（GB8978-1996）表4一级标准</w:t>
                  </w:r>
                </w:p>
              </w:tc>
            </w:tr>
            <w:tr w14:paraId="5CD80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275" w:type="pct"/>
                  <w:vMerge w:val="continue"/>
                  <w:noWrap w:val="0"/>
                  <w:vAlign w:val="center"/>
                </w:tcPr>
                <w:p w14:paraId="3982069F">
                  <w:pPr>
                    <w:autoSpaceDE w:val="0"/>
                    <w:autoSpaceDN w:val="0"/>
                    <w:jc w:val="center"/>
                    <w:rPr>
                      <w:kern w:val="0"/>
                      <w:szCs w:val="21"/>
                    </w:rPr>
                  </w:pPr>
                </w:p>
              </w:tc>
              <w:tc>
                <w:tcPr>
                  <w:tcW w:w="338" w:type="pct"/>
                  <w:noWrap w:val="0"/>
                  <w:vAlign w:val="center"/>
                </w:tcPr>
                <w:p w14:paraId="547EA3BD">
                  <w:pPr>
                    <w:autoSpaceDE w:val="0"/>
                    <w:autoSpaceDN w:val="0"/>
                    <w:jc w:val="center"/>
                    <w:rPr>
                      <w:kern w:val="0"/>
                      <w:szCs w:val="21"/>
                    </w:rPr>
                  </w:pPr>
                  <w:r>
                    <w:rPr>
                      <w:kern w:val="0"/>
                      <w:szCs w:val="21"/>
                    </w:rPr>
                    <w:t>噪声</w:t>
                  </w:r>
                </w:p>
              </w:tc>
              <w:tc>
                <w:tcPr>
                  <w:tcW w:w="878" w:type="pct"/>
                  <w:noWrap w:val="0"/>
                  <w:vAlign w:val="center"/>
                </w:tcPr>
                <w:p w14:paraId="74A47D19">
                  <w:pPr>
                    <w:autoSpaceDE w:val="0"/>
                    <w:autoSpaceDN w:val="0"/>
                    <w:jc w:val="center"/>
                    <w:rPr>
                      <w:kern w:val="0"/>
                      <w:szCs w:val="21"/>
                    </w:rPr>
                  </w:pPr>
                  <w:r>
                    <w:rPr>
                      <w:kern w:val="0"/>
                      <w:szCs w:val="21"/>
                    </w:rPr>
                    <w:t>厂界东、南、西、北各一个点</w:t>
                  </w:r>
                </w:p>
              </w:tc>
              <w:tc>
                <w:tcPr>
                  <w:tcW w:w="757" w:type="pct"/>
                  <w:noWrap w:val="0"/>
                  <w:vAlign w:val="center"/>
                </w:tcPr>
                <w:p w14:paraId="455BA169">
                  <w:pPr>
                    <w:autoSpaceDE w:val="0"/>
                    <w:autoSpaceDN w:val="0"/>
                    <w:jc w:val="center"/>
                    <w:rPr>
                      <w:kern w:val="0"/>
                      <w:szCs w:val="21"/>
                    </w:rPr>
                  </w:pPr>
                  <w:r>
                    <w:rPr>
                      <w:kern w:val="0"/>
                      <w:szCs w:val="21"/>
                    </w:rPr>
                    <w:t>厂界噪声</w:t>
                  </w:r>
                </w:p>
              </w:tc>
              <w:tc>
                <w:tcPr>
                  <w:tcW w:w="782" w:type="pct"/>
                  <w:noWrap w:val="0"/>
                  <w:vAlign w:val="center"/>
                </w:tcPr>
                <w:p w14:paraId="7C287923">
                  <w:pPr>
                    <w:autoSpaceDE w:val="0"/>
                    <w:autoSpaceDN w:val="0"/>
                    <w:rPr>
                      <w:kern w:val="0"/>
                      <w:szCs w:val="21"/>
                    </w:rPr>
                  </w:pPr>
                  <w:r>
                    <w:rPr>
                      <w:szCs w:val="21"/>
                    </w:rPr>
                    <w:t>连续监测2天，每天监测昼间、夜间2个时段</w:t>
                  </w:r>
                </w:p>
              </w:tc>
              <w:tc>
                <w:tcPr>
                  <w:tcW w:w="1967" w:type="pct"/>
                  <w:noWrap w:val="0"/>
                  <w:vAlign w:val="center"/>
                </w:tcPr>
                <w:p w14:paraId="3EFDEBC3">
                  <w:pPr>
                    <w:autoSpaceDE w:val="0"/>
                    <w:autoSpaceDN w:val="0"/>
                    <w:jc w:val="center"/>
                    <w:rPr>
                      <w:szCs w:val="21"/>
                    </w:rPr>
                  </w:pPr>
                  <w:r>
                    <w:rPr>
                      <w:szCs w:val="21"/>
                    </w:rPr>
                    <w:t>执行《工业企业厂界环境噪声排放标准》（GB 12348-2008）</w:t>
                  </w:r>
                  <w:r>
                    <w:rPr>
                      <w:rFonts w:hint="eastAsia"/>
                      <w:szCs w:val="21"/>
                      <w:lang w:val="en-US" w:eastAsia="zh-CN"/>
                    </w:rPr>
                    <w:t>2类</w:t>
                  </w:r>
                  <w:r>
                    <w:rPr>
                      <w:szCs w:val="21"/>
                    </w:rPr>
                    <w:t>标准要求</w:t>
                  </w:r>
                </w:p>
              </w:tc>
            </w:tr>
            <w:tr w14:paraId="16F8E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75" w:type="pct"/>
                  <w:vMerge w:val="restart"/>
                  <w:noWrap w:val="0"/>
                  <w:vAlign w:val="center"/>
                </w:tcPr>
                <w:p w14:paraId="092D866F">
                  <w:pPr>
                    <w:autoSpaceDE w:val="0"/>
                    <w:autoSpaceDN w:val="0"/>
                    <w:jc w:val="center"/>
                    <w:rPr>
                      <w:kern w:val="0"/>
                      <w:szCs w:val="21"/>
                    </w:rPr>
                  </w:pPr>
                  <w:r>
                    <w:rPr>
                      <w:kern w:val="0"/>
                      <w:szCs w:val="21"/>
                    </w:rPr>
                    <w:t>运营期自行监测</w:t>
                  </w:r>
                </w:p>
              </w:tc>
              <w:tc>
                <w:tcPr>
                  <w:tcW w:w="338" w:type="pct"/>
                  <w:vMerge w:val="restart"/>
                  <w:noWrap w:val="0"/>
                  <w:vAlign w:val="center"/>
                </w:tcPr>
                <w:p w14:paraId="2DD1FD58">
                  <w:pPr>
                    <w:autoSpaceDE w:val="0"/>
                    <w:autoSpaceDN w:val="0"/>
                    <w:jc w:val="center"/>
                    <w:rPr>
                      <w:kern w:val="0"/>
                      <w:szCs w:val="21"/>
                    </w:rPr>
                  </w:pPr>
                  <w:r>
                    <w:rPr>
                      <w:kern w:val="0"/>
                      <w:szCs w:val="21"/>
                    </w:rPr>
                    <w:t>无组织废气</w:t>
                  </w:r>
                </w:p>
              </w:tc>
              <w:tc>
                <w:tcPr>
                  <w:tcW w:w="878" w:type="pct"/>
                  <w:vMerge w:val="restart"/>
                  <w:noWrap w:val="0"/>
                  <w:vAlign w:val="center"/>
                </w:tcPr>
                <w:p w14:paraId="538BC214">
                  <w:pPr>
                    <w:autoSpaceDE w:val="0"/>
                    <w:autoSpaceDN w:val="0"/>
                    <w:jc w:val="center"/>
                    <w:rPr>
                      <w:kern w:val="0"/>
                      <w:szCs w:val="21"/>
                    </w:rPr>
                  </w:pPr>
                  <w:r>
                    <w:rPr>
                      <w:kern w:val="0"/>
                      <w:szCs w:val="21"/>
                    </w:rPr>
                    <w:t>厂界</w:t>
                  </w:r>
                  <w:r>
                    <w:rPr>
                      <w:rFonts w:hint="eastAsia"/>
                      <w:kern w:val="0"/>
                      <w:szCs w:val="21"/>
                    </w:rPr>
                    <w:t>外</w:t>
                  </w:r>
                  <w:r>
                    <w:rPr>
                      <w:kern w:val="0"/>
                      <w:szCs w:val="21"/>
                    </w:rPr>
                    <w:t>上风向处设置一个点、下风向两个点</w:t>
                  </w:r>
                </w:p>
              </w:tc>
              <w:tc>
                <w:tcPr>
                  <w:tcW w:w="757" w:type="pct"/>
                  <w:noWrap w:val="0"/>
                  <w:vAlign w:val="center"/>
                </w:tcPr>
                <w:p w14:paraId="7E93C0D5">
                  <w:pPr>
                    <w:autoSpaceDE w:val="0"/>
                    <w:autoSpaceDN w:val="0"/>
                    <w:jc w:val="center"/>
                    <w:rPr>
                      <w:kern w:val="0"/>
                      <w:szCs w:val="21"/>
                    </w:rPr>
                  </w:pPr>
                  <w:r>
                    <w:rPr>
                      <w:kern w:val="0"/>
                      <w:szCs w:val="21"/>
                    </w:rPr>
                    <w:t>颗粒物</w:t>
                  </w:r>
                </w:p>
              </w:tc>
              <w:tc>
                <w:tcPr>
                  <w:tcW w:w="782" w:type="pct"/>
                  <w:vMerge w:val="restart"/>
                  <w:noWrap w:val="0"/>
                  <w:vAlign w:val="center"/>
                </w:tcPr>
                <w:p w14:paraId="0285A97B">
                  <w:pPr>
                    <w:autoSpaceDE w:val="0"/>
                    <w:autoSpaceDN w:val="0"/>
                    <w:jc w:val="center"/>
                    <w:rPr>
                      <w:szCs w:val="21"/>
                    </w:rPr>
                  </w:pPr>
                  <w:r>
                    <w:rPr>
                      <w:color w:val="333333"/>
                      <w:szCs w:val="21"/>
                      <w:shd w:val="clear" w:color="auto" w:fill="FFFFFF"/>
                    </w:rPr>
                    <w:t>1次/半年，每次</w:t>
                  </w:r>
                  <w:r>
                    <w:rPr>
                      <w:szCs w:val="21"/>
                    </w:rPr>
                    <w:t>监测1天，每天3个样</w:t>
                  </w:r>
                </w:p>
              </w:tc>
              <w:tc>
                <w:tcPr>
                  <w:tcW w:w="1967" w:type="pct"/>
                  <w:vMerge w:val="restart"/>
                  <w:noWrap w:val="0"/>
                  <w:vAlign w:val="center"/>
                </w:tcPr>
                <w:p w14:paraId="5695B4BF">
                  <w:pPr>
                    <w:autoSpaceDE w:val="0"/>
                    <w:autoSpaceDN w:val="0"/>
                    <w:jc w:val="center"/>
                    <w:rPr>
                      <w:szCs w:val="21"/>
                    </w:rPr>
                  </w:pPr>
                  <w:r>
                    <w:rPr>
                      <w:szCs w:val="21"/>
                    </w:rPr>
                    <w:t>执行《大气污染物综合排放标准》（GB16297-1996）表2新建污染源无组织排放限值要求</w:t>
                  </w:r>
                </w:p>
              </w:tc>
            </w:tr>
            <w:tr w14:paraId="641FC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275" w:type="pct"/>
                  <w:vMerge w:val="continue"/>
                  <w:noWrap w:val="0"/>
                  <w:vAlign w:val="center"/>
                </w:tcPr>
                <w:p w14:paraId="252D084E">
                  <w:pPr>
                    <w:autoSpaceDE w:val="0"/>
                    <w:autoSpaceDN w:val="0"/>
                    <w:jc w:val="center"/>
                    <w:rPr>
                      <w:kern w:val="0"/>
                      <w:szCs w:val="21"/>
                    </w:rPr>
                  </w:pPr>
                </w:p>
              </w:tc>
              <w:tc>
                <w:tcPr>
                  <w:tcW w:w="338" w:type="pct"/>
                  <w:vMerge w:val="continue"/>
                  <w:noWrap w:val="0"/>
                  <w:vAlign w:val="center"/>
                </w:tcPr>
                <w:p w14:paraId="1B2E1990">
                  <w:pPr>
                    <w:autoSpaceDE w:val="0"/>
                    <w:autoSpaceDN w:val="0"/>
                    <w:jc w:val="center"/>
                    <w:rPr>
                      <w:kern w:val="0"/>
                      <w:szCs w:val="21"/>
                    </w:rPr>
                  </w:pPr>
                </w:p>
              </w:tc>
              <w:tc>
                <w:tcPr>
                  <w:tcW w:w="878" w:type="pct"/>
                  <w:vMerge w:val="continue"/>
                  <w:noWrap w:val="0"/>
                  <w:vAlign w:val="center"/>
                </w:tcPr>
                <w:p w14:paraId="42AE5303">
                  <w:pPr>
                    <w:autoSpaceDE w:val="0"/>
                    <w:autoSpaceDN w:val="0"/>
                    <w:jc w:val="center"/>
                    <w:rPr>
                      <w:kern w:val="0"/>
                      <w:szCs w:val="21"/>
                    </w:rPr>
                  </w:pPr>
                </w:p>
              </w:tc>
              <w:tc>
                <w:tcPr>
                  <w:tcW w:w="757" w:type="pct"/>
                  <w:noWrap w:val="0"/>
                  <w:vAlign w:val="center"/>
                </w:tcPr>
                <w:p w14:paraId="1BCE62B0">
                  <w:pPr>
                    <w:autoSpaceDE w:val="0"/>
                    <w:autoSpaceDN w:val="0"/>
                    <w:jc w:val="center"/>
                    <w:rPr>
                      <w:rFonts w:hint="eastAsia" w:eastAsia="宋体"/>
                      <w:kern w:val="0"/>
                      <w:szCs w:val="21"/>
                      <w:lang w:eastAsia="zh-CN"/>
                    </w:rPr>
                  </w:pPr>
                  <w:r>
                    <w:rPr>
                      <w:rFonts w:hint="eastAsia"/>
                      <w:kern w:val="0"/>
                      <w:szCs w:val="21"/>
                      <w:lang w:eastAsia="zh-CN"/>
                    </w:rPr>
                    <w:t>有机挥发物</w:t>
                  </w:r>
                </w:p>
              </w:tc>
              <w:tc>
                <w:tcPr>
                  <w:tcW w:w="782" w:type="pct"/>
                  <w:vMerge w:val="continue"/>
                  <w:noWrap w:val="0"/>
                  <w:vAlign w:val="center"/>
                </w:tcPr>
                <w:p w14:paraId="3DAA63A3">
                  <w:pPr>
                    <w:autoSpaceDE w:val="0"/>
                    <w:autoSpaceDN w:val="0"/>
                    <w:jc w:val="center"/>
                    <w:rPr>
                      <w:szCs w:val="21"/>
                    </w:rPr>
                  </w:pPr>
                </w:p>
              </w:tc>
              <w:tc>
                <w:tcPr>
                  <w:tcW w:w="1967" w:type="pct"/>
                  <w:vMerge w:val="continue"/>
                  <w:noWrap w:val="0"/>
                  <w:vAlign w:val="center"/>
                </w:tcPr>
                <w:p w14:paraId="0C034C5C">
                  <w:pPr>
                    <w:autoSpaceDE w:val="0"/>
                    <w:autoSpaceDN w:val="0"/>
                    <w:jc w:val="center"/>
                    <w:rPr>
                      <w:szCs w:val="21"/>
                    </w:rPr>
                  </w:pPr>
                </w:p>
              </w:tc>
            </w:tr>
            <w:tr w14:paraId="35E2D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275" w:type="pct"/>
                  <w:vMerge w:val="continue"/>
                  <w:noWrap w:val="0"/>
                  <w:vAlign w:val="center"/>
                </w:tcPr>
                <w:p w14:paraId="635EA082">
                  <w:pPr>
                    <w:autoSpaceDE w:val="0"/>
                    <w:autoSpaceDN w:val="0"/>
                    <w:jc w:val="center"/>
                    <w:rPr>
                      <w:kern w:val="0"/>
                      <w:szCs w:val="21"/>
                    </w:rPr>
                  </w:pPr>
                </w:p>
              </w:tc>
              <w:tc>
                <w:tcPr>
                  <w:tcW w:w="338" w:type="pct"/>
                  <w:vMerge w:val="continue"/>
                  <w:noWrap w:val="0"/>
                  <w:vAlign w:val="center"/>
                </w:tcPr>
                <w:p w14:paraId="7C9A271E">
                  <w:pPr>
                    <w:autoSpaceDE w:val="0"/>
                    <w:autoSpaceDN w:val="0"/>
                    <w:jc w:val="center"/>
                    <w:rPr>
                      <w:kern w:val="0"/>
                      <w:szCs w:val="21"/>
                    </w:rPr>
                  </w:pPr>
                </w:p>
              </w:tc>
              <w:tc>
                <w:tcPr>
                  <w:tcW w:w="878" w:type="pct"/>
                  <w:noWrap w:val="0"/>
                  <w:vAlign w:val="center"/>
                </w:tcPr>
                <w:p w14:paraId="499CED8A">
                  <w:pPr>
                    <w:autoSpaceDE w:val="0"/>
                    <w:autoSpaceDN w:val="0"/>
                    <w:jc w:val="center"/>
                    <w:rPr>
                      <w:kern w:val="0"/>
                      <w:szCs w:val="21"/>
                    </w:rPr>
                  </w:pPr>
                  <w:r>
                    <w:rPr>
                      <w:rFonts w:hint="eastAsia"/>
                      <w:color w:val="000000"/>
                      <w:szCs w:val="21"/>
                    </w:rPr>
                    <w:t>厂界内</w:t>
                  </w:r>
                  <w:r>
                    <w:rPr>
                      <w:color w:val="000000"/>
                      <w:szCs w:val="21"/>
                    </w:rPr>
                    <w:t>工业炉窑</w:t>
                  </w:r>
                  <w:r>
                    <w:rPr>
                      <w:rFonts w:hint="eastAsia"/>
                      <w:color w:val="000000"/>
                      <w:szCs w:val="21"/>
                    </w:rPr>
                    <w:t>下风向</w:t>
                  </w:r>
                  <w:r>
                    <w:rPr>
                      <w:color w:val="000000"/>
                      <w:szCs w:val="21"/>
                    </w:rPr>
                    <w:t>设置1个点</w:t>
                  </w:r>
                </w:p>
              </w:tc>
              <w:tc>
                <w:tcPr>
                  <w:tcW w:w="757" w:type="pct"/>
                  <w:noWrap w:val="0"/>
                  <w:vAlign w:val="center"/>
                </w:tcPr>
                <w:p w14:paraId="3E54BE2B">
                  <w:pPr>
                    <w:autoSpaceDE w:val="0"/>
                    <w:autoSpaceDN w:val="0"/>
                    <w:jc w:val="center"/>
                    <w:rPr>
                      <w:kern w:val="0"/>
                      <w:szCs w:val="21"/>
                    </w:rPr>
                  </w:pPr>
                  <w:r>
                    <w:rPr>
                      <w:kern w:val="0"/>
                      <w:szCs w:val="21"/>
                    </w:rPr>
                    <w:t>颗粒物</w:t>
                  </w:r>
                </w:p>
              </w:tc>
              <w:tc>
                <w:tcPr>
                  <w:tcW w:w="782" w:type="pct"/>
                  <w:noWrap w:val="0"/>
                  <w:vAlign w:val="center"/>
                </w:tcPr>
                <w:p w14:paraId="782DC44E">
                  <w:pPr>
                    <w:autoSpaceDE w:val="0"/>
                    <w:autoSpaceDN w:val="0"/>
                    <w:jc w:val="center"/>
                    <w:rPr>
                      <w:szCs w:val="21"/>
                    </w:rPr>
                  </w:pPr>
                  <w:r>
                    <w:rPr>
                      <w:color w:val="333333"/>
                      <w:szCs w:val="21"/>
                      <w:shd w:val="clear" w:color="auto" w:fill="FFFFFF"/>
                    </w:rPr>
                    <w:t>1次/年，每次</w:t>
                  </w:r>
                  <w:r>
                    <w:rPr>
                      <w:szCs w:val="21"/>
                    </w:rPr>
                    <w:t>监测1天，每天3个样</w:t>
                  </w:r>
                </w:p>
              </w:tc>
              <w:tc>
                <w:tcPr>
                  <w:tcW w:w="1967" w:type="pct"/>
                  <w:noWrap w:val="0"/>
                  <w:vAlign w:val="center"/>
                </w:tcPr>
                <w:p w14:paraId="47B04A02">
                  <w:pPr>
                    <w:autoSpaceDE w:val="0"/>
                    <w:autoSpaceDN w:val="0"/>
                    <w:jc w:val="center"/>
                    <w:rPr>
                      <w:szCs w:val="21"/>
                    </w:rPr>
                  </w:pPr>
                  <w:r>
                    <w:rPr>
                      <w:szCs w:val="21"/>
                    </w:rPr>
                    <w:t>执行《工业炉窑大气污染物排放标准》(GB9078-1996)中表3各种工业炉窑标准；</w:t>
                  </w:r>
                </w:p>
              </w:tc>
            </w:tr>
            <w:tr w14:paraId="1F276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jc w:val="center"/>
              </w:trPr>
              <w:tc>
                <w:tcPr>
                  <w:tcW w:w="275" w:type="pct"/>
                  <w:vMerge w:val="continue"/>
                  <w:noWrap w:val="0"/>
                  <w:vAlign w:val="center"/>
                </w:tcPr>
                <w:p w14:paraId="4126FD8A">
                  <w:pPr>
                    <w:autoSpaceDE w:val="0"/>
                    <w:autoSpaceDN w:val="0"/>
                    <w:jc w:val="center"/>
                    <w:rPr>
                      <w:kern w:val="0"/>
                      <w:szCs w:val="21"/>
                    </w:rPr>
                  </w:pPr>
                </w:p>
              </w:tc>
              <w:tc>
                <w:tcPr>
                  <w:tcW w:w="338" w:type="pct"/>
                  <w:vMerge w:val="restart"/>
                  <w:noWrap w:val="0"/>
                  <w:vAlign w:val="center"/>
                </w:tcPr>
                <w:p w14:paraId="045C3FB2">
                  <w:pPr>
                    <w:autoSpaceDE w:val="0"/>
                    <w:autoSpaceDN w:val="0"/>
                    <w:jc w:val="center"/>
                    <w:rPr>
                      <w:kern w:val="0"/>
                      <w:szCs w:val="21"/>
                    </w:rPr>
                  </w:pPr>
                  <w:r>
                    <w:rPr>
                      <w:kern w:val="0"/>
                      <w:szCs w:val="21"/>
                    </w:rPr>
                    <w:t>有组织废气</w:t>
                  </w:r>
                </w:p>
              </w:tc>
              <w:tc>
                <w:tcPr>
                  <w:tcW w:w="878" w:type="pct"/>
                  <w:vMerge w:val="restart"/>
                  <w:noWrap w:val="0"/>
                  <w:vAlign w:val="center"/>
                </w:tcPr>
                <w:p w14:paraId="527F9856">
                  <w:pPr>
                    <w:autoSpaceDE w:val="0"/>
                    <w:autoSpaceDN w:val="0"/>
                    <w:jc w:val="center"/>
                    <w:rPr>
                      <w:color w:val="auto"/>
                      <w:kern w:val="0"/>
                      <w:szCs w:val="21"/>
                    </w:rPr>
                  </w:pPr>
                  <w:r>
                    <w:rPr>
                      <w:color w:val="auto"/>
                      <w:kern w:val="0"/>
                      <w:szCs w:val="21"/>
                    </w:rPr>
                    <w:t>烘干、制棒、</w:t>
                  </w:r>
                  <w:r>
                    <w:rPr>
                      <w:rFonts w:hint="eastAsia"/>
                      <w:color w:val="auto"/>
                      <w:kern w:val="0"/>
                      <w:szCs w:val="21"/>
                    </w:rPr>
                    <w:t>炭化</w:t>
                  </w:r>
                  <w:r>
                    <w:rPr>
                      <w:color w:val="auto"/>
                      <w:kern w:val="0"/>
                      <w:szCs w:val="21"/>
                    </w:rPr>
                    <w:t>废气排放口（DA001）</w:t>
                  </w:r>
                </w:p>
                <w:p w14:paraId="0CA6F502">
                  <w:pPr>
                    <w:autoSpaceDE w:val="0"/>
                    <w:autoSpaceDN w:val="0"/>
                    <w:jc w:val="center"/>
                    <w:rPr>
                      <w:color w:val="auto"/>
                      <w:kern w:val="0"/>
                      <w:szCs w:val="21"/>
                    </w:rPr>
                  </w:pPr>
                </w:p>
              </w:tc>
              <w:tc>
                <w:tcPr>
                  <w:tcW w:w="757" w:type="pct"/>
                  <w:noWrap w:val="0"/>
                  <w:vAlign w:val="center"/>
                </w:tcPr>
                <w:p w14:paraId="3F7E66EA">
                  <w:pPr>
                    <w:rPr>
                      <w:color w:val="auto"/>
                      <w:kern w:val="0"/>
                      <w:szCs w:val="21"/>
                    </w:rPr>
                  </w:pPr>
                  <w:r>
                    <w:rPr>
                      <w:color w:val="auto"/>
                      <w:szCs w:val="21"/>
                    </w:rPr>
                    <w:t>烟尘、SO</w:t>
                  </w:r>
                  <w:r>
                    <w:rPr>
                      <w:color w:val="auto"/>
                      <w:szCs w:val="21"/>
                      <w:vertAlign w:val="subscript"/>
                    </w:rPr>
                    <w:t>2</w:t>
                  </w:r>
                  <w:r>
                    <w:rPr>
                      <w:color w:val="auto"/>
                      <w:szCs w:val="21"/>
                    </w:rPr>
                    <w:t>、NO</w:t>
                  </w:r>
                  <w:r>
                    <w:rPr>
                      <w:color w:val="auto"/>
                      <w:szCs w:val="21"/>
                      <w:vertAlign w:val="subscript"/>
                    </w:rPr>
                    <w:t>x</w:t>
                  </w:r>
                </w:p>
              </w:tc>
              <w:tc>
                <w:tcPr>
                  <w:tcW w:w="782" w:type="pct"/>
                  <w:noWrap w:val="0"/>
                  <w:vAlign w:val="center"/>
                </w:tcPr>
                <w:p w14:paraId="6B51B27D">
                  <w:pPr>
                    <w:jc w:val="center"/>
                    <w:rPr>
                      <w:color w:val="auto"/>
                      <w:szCs w:val="21"/>
                    </w:rPr>
                  </w:pPr>
                  <w:r>
                    <w:rPr>
                      <w:color w:val="auto"/>
                      <w:szCs w:val="21"/>
                    </w:rPr>
                    <w:t>自动监测</w:t>
                  </w:r>
                </w:p>
              </w:tc>
              <w:tc>
                <w:tcPr>
                  <w:tcW w:w="1967" w:type="pct"/>
                  <w:vMerge w:val="restart"/>
                  <w:noWrap w:val="0"/>
                  <w:vAlign w:val="center"/>
                </w:tcPr>
                <w:p w14:paraId="0A193899">
                  <w:pPr>
                    <w:jc w:val="center"/>
                    <w:rPr>
                      <w:color w:val="auto"/>
                      <w:szCs w:val="21"/>
                    </w:rPr>
                  </w:pPr>
                  <w:r>
                    <w:rPr>
                      <w:rFonts w:hint="eastAsia"/>
                      <w:color w:val="auto"/>
                      <w:sz w:val="21"/>
                      <w:szCs w:val="21"/>
                      <w:lang w:eastAsia="zh-CN"/>
                    </w:rPr>
                    <w:t>有机挥发物（</w:t>
                  </w:r>
                  <w:r>
                    <w:rPr>
                      <w:color w:val="auto"/>
                      <w:sz w:val="21"/>
                      <w:szCs w:val="21"/>
                    </w:rPr>
                    <w:t>非甲烷总烃</w:t>
                  </w:r>
                  <w:r>
                    <w:rPr>
                      <w:color w:val="auto"/>
                      <w:szCs w:val="21"/>
                    </w:rPr>
                    <w:t>、SO</w:t>
                  </w:r>
                  <w:r>
                    <w:rPr>
                      <w:color w:val="auto"/>
                      <w:szCs w:val="21"/>
                      <w:vertAlign w:val="subscript"/>
                    </w:rPr>
                    <w:t>2</w:t>
                  </w:r>
                  <w:r>
                    <w:rPr>
                      <w:color w:val="auto"/>
                      <w:szCs w:val="21"/>
                    </w:rPr>
                    <w:t>、NO</w:t>
                  </w:r>
                  <w:r>
                    <w:rPr>
                      <w:color w:val="auto"/>
                      <w:szCs w:val="21"/>
                      <w:vertAlign w:val="subscript"/>
                    </w:rPr>
                    <w:t>x</w:t>
                  </w:r>
                  <w:r>
                    <w:rPr>
                      <w:color w:val="auto"/>
                      <w:szCs w:val="21"/>
                    </w:rPr>
                    <w:t>执行《大气污染物综合排放标准》（GB16297-1996）中表2二级标准规定的排放限值；</w:t>
                  </w:r>
                </w:p>
              </w:tc>
            </w:tr>
            <w:tr w14:paraId="3FC4A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jc w:val="center"/>
              </w:trPr>
              <w:tc>
                <w:tcPr>
                  <w:tcW w:w="275" w:type="pct"/>
                  <w:vMerge w:val="continue"/>
                  <w:noWrap w:val="0"/>
                  <w:vAlign w:val="center"/>
                </w:tcPr>
                <w:p w14:paraId="265368AE">
                  <w:pPr>
                    <w:autoSpaceDE w:val="0"/>
                    <w:autoSpaceDN w:val="0"/>
                    <w:jc w:val="center"/>
                    <w:rPr>
                      <w:kern w:val="0"/>
                      <w:szCs w:val="21"/>
                    </w:rPr>
                  </w:pPr>
                </w:p>
              </w:tc>
              <w:tc>
                <w:tcPr>
                  <w:tcW w:w="338" w:type="pct"/>
                  <w:vMerge w:val="continue"/>
                  <w:noWrap w:val="0"/>
                  <w:vAlign w:val="center"/>
                </w:tcPr>
                <w:p w14:paraId="1C318A65">
                  <w:pPr>
                    <w:autoSpaceDE w:val="0"/>
                    <w:autoSpaceDN w:val="0"/>
                    <w:jc w:val="center"/>
                    <w:rPr>
                      <w:kern w:val="0"/>
                      <w:szCs w:val="21"/>
                    </w:rPr>
                  </w:pPr>
                </w:p>
              </w:tc>
              <w:tc>
                <w:tcPr>
                  <w:tcW w:w="878" w:type="pct"/>
                  <w:vMerge w:val="continue"/>
                  <w:noWrap w:val="0"/>
                  <w:vAlign w:val="center"/>
                </w:tcPr>
                <w:p w14:paraId="4768935E">
                  <w:pPr>
                    <w:autoSpaceDE w:val="0"/>
                    <w:autoSpaceDN w:val="0"/>
                    <w:jc w:val="center"/>
                    <w:rPr>
                      <w:kern w:val="0"/>
                      <w:szCs w:val="21"/>
                    </w:rPr>
                  </w:pPr>
                </w:p>
              </w:tc>
              <w:tc>
                <w:tcPr>
                  <w:tcW w:w="757" w:type="pct"/>
                  <w:noWrap w:val="0"/>
                  <w:vAlign w:val="center"/>
                </w:tcPr>
                <w:p w14:paraId="191C0FB0">
                  <w:pPr>
                    <w:autoSpaceDE w:val="0"/>
                    <w:autoSpaceDN w:val="0"/>
                    <w:rPr>
                      <w:kern w:val="0"/>
                      <w:szCs w:val="21"/>
                    </w:rPr>
                  </w:pPr>
                  <w:r>
                    <w:rPr>
                      <w:rFonts w:hint="eastAsia"/>
                      <w:color w:val="auto"/>
                      <w:sz w:val="21"/>
                      <w:szCs w:val="21"/>
                      <w:lang w:eastAsia="zh-CN"/>
                    </w:rPr>
                    <w:t>有机挥发物（</w:t>
                  </w:r>
                  <w:r>
                    <w:rPr>
                      <w:color w:val="auto"/>
                      <w:sz w:val="21"/>
                      <w:szCs w:val="21"/>
                    </w:rPr>
                    <w:t>非甲烷总烃</w:t>
                  </w:r>
                </w:p>
              </w:tc>
              <w:tc>
                <w:tcPr>
                  <w:tcW w:w="782" w:type="pct"/>
                  <w:noWrap w:val="0"/>
                  <w:vAlign w:val="center"/>
                </w:tcPr>
                <w:p w14:paraId="3824E04C">
                  <w:pPr>
                    <w:jc w:val="center"/>
                    <w:rPr>
                      <w:szCs w:val="21"/>
                    </w:rPr>
                  </w:pPr>
                  <w:r>
                    <w:rPr>
                      <w:color w:val="333333"/>
                      <w:szCs w:val="21"/>
                      <w:shd w:val="clear" w:color="auto" w:fill="FFFFFF"/>
                    </w:rPr>
                    <w:t>1次/季度，每次</w:t>
                  </w:r>
                  <w:r>
                    <w:rPr>
                      <w:szCs w:val="21"/>
                    </w:rPr>
                    <w:t>监测1天，每天3个样</w:t>
                  </w:r>
                </w:p>
              </w:tc>
              <w:tc>
                <w:tcPr>
                  <w:tcW w:w="1967" w:type="pct"/>
                  <w:vMerge w:val="continue"/>
                  <w:noWrap w:val="0"/>
                  <w:vAlign w:val="center"/>
                </w:tcPr>
                <w:p w14:paraId="6CFDC0E4">
                  <w:pPr>
                    <w:jc w:val="center"/>
                    <w:rPr>
                      <w:szCs w:val="21"/>
                    </w:rPr>
                  </w:pPr>
                </w:p>
              </w:tc>
            </w:tr>
            <w:tr w14:paraId="13D11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275" w:type="pct"/>
                  <w:vMerge w:val="continue"/>
                  <w:noWrap w:val="0"/>
                  <w:vAlign w:val="center"/>
                </w:tcPr>
                <w:p w14:paraId="7CE3CC33">
                  <w:pPr>
                    <w:autoSpaceDE w:val="0"/>
                    <w:autoSpaceDN w:val="0"/>
                    <w:jc w:val="center"/>
                    <w:rPr>
                      <w:kern w:val="0"/>
                      <w:szCs w:val="21"/>
                    </w:rPr>
                  </w:pPr>
                </w:p>
              </w:tc>
              <w:tc>
                <w:tcPr>
                  <w:tcW w:w="338" w:type="pct"/>
                  <w:noWrap w:val="0"/>
                  <w:vAlign w:val="center"/>
                </w:tcPr>
                <w:p w14:paraId="220FCF15">
                  <w:pPr>
                    <w:autoSpaceDE w:val="0"/>
                    <w:autoSpaceDN w:val="0"/>
                    <w:jc w:val="center"/>
                    <w:rPr>
                      <w:kern w:val="0"/>
                      <w:szCs w:val="21"/>
                    </w:rPr>
                  </w:pPr>
                  <w:r>
                    <w:rPr>
                      <w:kern w:val="0"/>
                      <w:szCs w:val="21"/>
                    </w:rPr>
                    <w:t>雨水</w:t>
                  </w:r>
                </w:p>
              </w:tc>
              <w:tc>
                <w:tcPr>
                  <w:tcW w:w="878" w:type="pct"/>
                  <w:noWrap w:val="0"/>
                  <w:vAlign w:val="center"/>
                </w:tcPr>
                <w:p w14:paraId="0B1C1ED6">
                  <w:pPr>
                    <w:autoSpaceDE w:val="0"/>
                    <w:autoSpaceDN w:val="0"/>
                    <w:rPr>
                      <w:kern w:val="0"/>
                      <w:szCs w:val="21"/>
                    </w:rPr>
                  </w:pPr>
                  <w:r>
                    <w:rPr>
                      <w:kern w:val="0"/>
                      <w:szCs w:val="21"/>
                    </w:rPr>
                    <w:t>雨水排放口（YS001）</w:t>
                  </w:r>
                </w:p>
              </w:tc>
              <w:tc>
                <w:tcPr>
                  <w:tcW w:w="757" w:type="pct"/>
                  <w:noWrap w:val="0"/>
                  <w:vAlign w:val="center"/>
                </w:tcPr>
                <w:p w14:paraId="7F454C44">
                  <w:pPr>
                    <w:autoSpaceDE w:val="0"/>
                    <w:autoSpaceDN w:val="0"/>
                    <w:rPr>
                      <w:kern w:val="0"/>
                      <w:szCs w:val="21"/>
                    </w:rPr>
                  </w:pPr>
                  <w:r>
                    <w:rPr>
                      <w:position w:val="2"/>
                      <w:szCs w:val="21"/>
                    </w:rPr>
                    <w:t>COD</w:t>
                  </w:r>
                  <w:r>
                    <w:rPr>
                      <w:position w:val="2"/>
                      <w:szCs w:val="21"/>
                      <w:vertAlign w:val="subscript"/>
                    </w:rPr>
                    <w:t>Cr</w:t>
                  </w:r>
                  <w:r>
                    <w:rPr>
                      <w:position w:val="2"/>
                      <w:szCs w:val="21"/>
                    </w:rPr>
                    <w:t xml:space="preserve">、SS </w:t>
                  </w:r>
                </w:p>
              </w:tc>
              <w:tc>
                <w:tcPr>
                  <w:tcW w:w="782" w:type="pct"/>
                  <w:noWrap w:val="0"/>
                  <w:vAlign w:val="center"/>
                </w:tcPr>
                <w:p w14:paraId="0BF602BB">
                  <w:pPr>
                    <w:autoSpaceDE w:val="0"/>
                    <w:autoSpaceDN w:val="0"/>
                    <w:rPr>
                      <w:szCs w:val="21"/>
                    </w:rPr>
                  </w:pPr>
                  <w:r>
                    <w:rPr>
                      <w:color w:val="333333"/>
                      <w:szCs w:val="21"/>
                      <w:shd w:val="clear" w:color="auto" w:fill="FFFFFF"/>
                    </w:rPr>
                    <w:t>1次/月，每次</w:t>
                  </w:r>
                  <w:r>
                    <w:rPr>
                      <w:szCs w:val="21"/>
                    </w:rPr>
                    <w:t>监测1天，每天4个样</w:t>
                  </w:r>
                </w:p>
              </w:tc>
              <w:tc>
                <w:tcPr>
                  <w:tcW w:w="1967" w:type="pct"/>
                  <w:noWrap w:val="0"/>
                  <w:vAlign w:val="center"/>
                </w:tcPr>
                <w:p w14:paraId="54DECEF7">
                  <w:pPr>
                    <w:autoSpaceDE w:val="0"/>
                    <w:autoSpaceDN w:val="0"/>
                    <w:jc w:val="center"/>
                    <w:rPr>
                      <w:szCs w:val="21"/>
                    </w:rPr>
                  </w:pPr>
                  <w:r>
                    <w:rPr>
                      <w:szCs w:val="21"/>
                    </w:rPr>
                    <w:t>执行《污水综合排放标准》（GB8978-1996）表4一级标准（有流动雨水开展监测）</w:t>
                  </w:r>
                </w:p>
              </w:tc>
            </w:tr>
            <w:tr w14:paraId="0EAA5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8" w:hRule="atLeast"/>
                <w:jc w:val="center"/>
              </w:trPr>
              <w:tc>
                <w:tcPr>
                  <w:tcW w:w="275" w:type="pct"/>
                  <w:vMerge w:val="continue"/>
                  <w:noWrap w:val="0"/>
                  <w:vAlign w:val="center"/>
                </w:tcPr>
                <w:p w14:paraId="05541596">
                  <w:pPr>
                    <w:autoSpaceDE w:val="0"/>
                    <w:autoSpaceDN w:val="0"/>
                    <w:jc w:val="center"/>
                    <w:rPr>
                      <w:kern w:val="0"/>
                      <w:szCs w:val="21"/>
                    </w:rPr>
                  </w:pPr>
                </w:p>
              </w:tc>
              <w:tc>
                <w:tcPr>
                  <w:tcW w:w="338" w:type="pct"/>
                  <w:noWrap w:val="0"/>
                  <w:vAlign w:val="center"/>
                </w:tcPr>
                <w:p w14:paraId="1BDB1B8D">
                  <w:pPr>
                    <w:autoSpaceDE w:val="0"/>
                    <w:autoSpaceDN w:val="0"/>
                    <w:jc w:val="center"/>
                    <w:rPr>
                      <w:kern w:val="0"/>
                      <w:szCs w:val="21"/>
                    </w:rPr>
                  </w:pPr>
                  <w:r>
                    <w:rPr>
                      <w:kern w:val="0"/>
                      <w:szCs w:val="21"/>
                    </w:rPr>
                    <w:t>噪声</w:t>
                  </w:r>
                </w:p>
              </w:tc>
              <w:tc>
                <w:tcPr>
                  <w:tcW w:w="878" w:type="pct"/>
                  <w:noWrap w:val="0"/>
                  <w:vAlign w:val="center"/>
                </w:tcPr>
                <w:p w14:paraId="73A0C490">
                  <w:pPr>
                    <w:autoSpaceDE w:val="0"/>
                    <w:autoSpaceDN w:val="0"/>
                    <w:jc w:val="center"/>
                    <w:rPr>
                      <w:kern w:val="0"/>
                      <w:szCs w:val="21"/>
                    </w:rPr>
                  </w:pPr>
                  <w:r>
                    <w:rPr>
                      <w:kern w:val="0"/>
                      <w:szCs w:val="21"/>
                    </w:rPr>
                    <w:t>厂界东、南、西、北各一个点</w:t>
                  </w:r>
                </w:p>
              </w:tc>
              <w:tc>
                <w:tcPr>
                  <w:tcW w:w="757" w:type="pct"/>
                  <w:noWrap w:val="0"/>
                  <w:vAlign w:val="center"/>
                </w:tcPr>
                <w:p w14:paraId="7919B7E6">
                  <w:pPr>
                    <w:autoSpaceDE w:val="0"/>
                    <w:autoSpaceDN w:val="0"/>
                    <w:jc w:val="center"/>
                    <w:rPr>
                      <w:kern w:val="0"/>
                      <w:szCs w:val="21"/>
                    </w:rPr>
                  </w:pPr>
                  <w:r>
                    <w:rPr>
                      <w:kern w:val="0"/>
                      <w:szCs w:val="21"/>
                    </w:rPr>
                    <w:t>厂界噪声</w:t>
                  </w:r>
                </w:p>
              </w:tc>
              <w:tc>
                <w:tcPr>
                  <w:tcW w:w="782" w:type="pct"/>
                  <w:noWrap w:val="0"/>
                  <w:vAlign w:val="center"/>
                </w:tcPr>
                <w:p w14:paraId="18988871">
                  <w:pPr>
                    <w:autoSpaceDE w:val="0"/>
                    <w:autoSpaceDN w:val="0"/>
                    <w:rPr>
                      <w:szCs w:val="21"/>
                    </w:rPr>
                  </w:pPr>
                  <w:r>
                    <w:rPr>
                      <w:color w:val="333333"/>
                      <w:szCs w:val="21"/>
                      <w:shd w:val="clear" w:color="auto" w:fill="FFFFFF"/>
                    </w:rPr>
                    <w:t>1次/季度，</w:t>
                  </w:r>
                  <w:r>
                    <w:rPr>
                      <w:szCs w:val="21"/>
                    </w:rPr>
                    <w:t>监测1天，每天监测昼间、夜间2个时段</w:t>
                  </w:r>
                </w:p>
              </w:tc>
              <w:tc>
                <w:tcPr>
                  <w:tcW w:w="1967" w:type="pct"/>
                  <w:noWrap w:val="0"/>
                  <w:vAlign w:val="center"/>
                </w:tcPr>
                <w:p w14:paraId="02A8DD24">
                  <w:pPr>
                    <w:autoSpaceDE w:val="0"/>
                    <w:autoSpaceDN w:val="0"/>
                    <w:jc w:val="center"/>
                    <w:rPr>
                      <w:szCs w:val="21"/>
                    </w:rPr>
                  </w:pPr>
                  <w:r>
                    <w:rPr>
                      <w:szCs w:val="21"/>
                    </w:rPr>
                    <w:t>执行《工业企业厂界环境噪声排放标准》（GB 12348-2008）</w:t>
                  </w:r>
                  <w:r>
                    <w:rPr>
                      <w:rFonts w:hint="eastAsia"/>
                      <w:szCs w:val="21"/>
                      <w:lang w:val="en-US" w:eastAsia="zh-CN"/>
                    </w:rPr>
                    <w:t>2类</w:t>
                  </w:r>
                  <w:r>
                    <w:rPr>
                      <w:szCs w:val="21"/>
                    </w:rPr>
                    <w:t>标准要求</w:t>
                  </w:r>
                </w:p>
              </w:tc>
            </w:tr>
          </w:tbl>
          <w:p w14:paraId="210259A8">
            <w:pPr>
              <w:adjustRightInd w:val="0"/>
              <w:snapToGrid w:val="0"/>
              <w:spacing w:line="360" w:lineRule="auto"/>
              <w:jc w:val="left"/>
              <w:rPr>
                <w:rFonts w:hint="eastAsia"/>
              </w:rPr>
            </w:pPr>
          </w:p>
        </w:tc>
      </w:tr>
    </w:tbl>
    <w:p w14:paraId="40CD32A8">
      <w:pPr>
        <w:pStyle w:val="20"/>
        <w:numPr>
          <w:ilvl w:val="0"/>
          <w:numId w:val="0"/>
        </w:numPr>
        <w:spacing w:before="0" w:beforeAutospacing="0" w:after="0" w:afterAutospacing="0"/>
        <w:jc w:val="both"/>
        <w:outlineLvl w:val="0"/>
        <w:rPr>
          <w:rFonts w:hint="eastAsia" w:ascii="黑体" w:hAnsi="黑体" w:eastAsia="黑体"/>
          <w:snapToGrid w:val="0"/>
          <w:sz w:val="30"/>
          <w:szCs w:val="30"/>
        </w:rPr>
        <w:sectPr>
          <w:pgSz w:w="11906" w:h="16838"/>
          <w:pgMar w:top="1440" w:right="1800" w:bottom="1440" w:left="1800" w:header="851" w:footer="992" w:gutter="0"/>
          <w:pgNumType w:fmt="decimal"/>
          <w:cols w:space="425" w:num="1"/>
          <w:docGrid w:type="lines" w:linePitch="312" w:charSpace="0"/>
        </w:sectPr>
      </w:pPr>
    </w:p>
    <w:p w14:paraId="4A3555C2">
      <w:pPr>
        <w:pStyle w:val="20"/>
        <w:numPr>
          <w:ilvl w:val="0"/>
          <w:numId w:val="9"/>
        </w:numPr>
        <w:spacing w:before="0" w:beforeAutospacing="0" w:after="0" w:afterAutospacing="0" w:line="360" w:lineRule="auto"/>
        <w:jc w:val="center"/>
        <w:outlineLvl w:val="0"/>
        <w:rPr>
          <w:rFonts w:hint="eastAsia" w:ascii="黑体" w:hAnsi="黑体" w:eastAsia="黑体"/>
          <w:snapToGrid w:val="0"/>
          <w:sz w:val="30"/>
          <w:szCs w:val="30"/>
        </w:rPr>
      </w:pPr>
      <w:bookmarkStart w:id="23" w:name="_Toc14035"/>
      <w:bookmarkStart w:id="24" w:name="_Hlk54167917"/>
      <w:r>
        <w:rPr>
          <w:rFonts w:hint="eastAsia" w:ascii="黑体" w:hAnsi="黑体" w:eastAsia="黑体"/>
          <w:snapToGrid w:val="0"/>
          <w:sz w:val="30"/>
          <w:szCs w:val="30"/>
        </w:rPr>
        <w:t>环境保护措施监督检查清单</w:t>
      </w:r>
      <w:bookmarkEnd w:id="23"/>
      <w:bookmarkEnd w:id="24"/>
    </w:p>
    <w:tbl>
      <w:tblPr>
        <w:tblStyle w:val="23"/>
        <w:tblW w:w="880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1414"/>
        <w:gridCol w:w="1170"/>
        <w:gridCol w:w="2546"/>
        <w:gridCol w:w="2352"/>
      </w:tblGrid>
      <w:tr w14:paraId="625B25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318" w:type="dxa"/>
            <w:tcBorders>
              <w:tl2br w:val="single" w:color="auto" w:sz="4" w:space="0"/>
            </w:tcBorders>
            <w:noWrap w:val="0"/>
            <w:vAlign w:val="center"/>
          </w:tcPr>
          <w:p w14:paraId="2F785797">
            <w:pPr>
              <w:ind w:firstLine="632" w:firstLineChars="300"/>
              <w:jc w:val="center"/>
              <w:rPr>
                <w:b/>
                <w:bCs/>
                <w:color w:val="auto"/>
                <w:szCs w:val="21"/>
              </w:rPr>
            </w:pPr>
            <w:r>
              <w:rPr>
                <w:b/>
                <w:bCs/>
                <w:color w:val="auto"/>
                <w:szCs w:val="21"/>
              </w:rPr>
              <w:t>内容</w:t>
            </w:r>
          </w:p>
          <w:p w14:paraId="735EFD73">
            <w:pPr>
              <w:jc w:val="center"/>
              <w:rPr>
                <w:b/>
                <w:bCs/>
                <w:color w:val="auto"/>
                <w:szCs w:val="21"/>
              </w:rPr>
            </w:pPr>
            <w:r>
              <w:rPr>
                <w:b/>
                <w:bCs/>
                <w:color w:val="auto"/>
                <w:szCs w:val="21"/>
              </w:rPr>
              <w:t>要素</w:t>
            </w:r>
          </w:p>
        </w:tc>
        <w:tc>
          <w:tcPr>
            <w:tcW w:w="1414" w:type="dxa"/>
            <w:noWrap w:val="0"/>
            <w:vAlign w:val="center"/>
          </w:tcPr>
          <w:p w14:paraId="0AC130C2">
            <w:pPr>
              <w:rPr>
                <w:b/>
                <w:bCs/>
                <w:color w:val="auto"/>
              </w:rPr>
            </w:pPr>
            <w:r>
              <w:rPr>
                <w:b/>
                <w:bCs/>
                <w:color w:val="auto"/>
              </w:rPr>
              <w:t>排放口</w:t>
            </w:r>
            <w:r>
              <w:rPr>
                <w:rFonts w:hint="eastAsia"/>
                <w:b/>
                <w:bCs/>
                <w:color w:val="auto"/>
              </w:rPr>
              <w:t>（</w:t>
            </w:r>
            <w:r>
              <w:rPr>
                <w:b/>
                <w:bCs/>
                <w:color w:val="auto"/>
              </w:rPr>
              <w:t>编号、</w:t>
            </w:r>
            <w:r>
              <w:rPr>
                <w:rFonts w:hint="eastAsia"/>
                <w:b/>
                <w:bCs/>
                <w:color w:val="auto"/>
              </w:rPr>
              <w:t>名称）/</w:t>
            </w:r>
          </w:p>
          <w:p w14:paraId="7DBC6BEA">
            <w:pPr>
              <w:rPr>
                <w:color w:val="auto"/>
              </w:rPr>
            </w:pPr>
            <w:r>
              <w:rPr>
                <w:b/>
                <w:bCs/>
                <w:color w:val="auto"/>
              </w:rPr>
              <w:t>污染源</w:t>
            </w:r>
          </w:p>
        </w:tc>
        <w:tc>
          <w:tcPr>
            <w:tcW w:w="1170" w:type="dxa"/>
            <w:noWrap w:val="0"/>
            <w:vAlign w:val="center"/>
          </w:tcPr>
          <w:p w14:paraId="0AD5DAF1">
            <w:pPr>
              <w:jc w:val="center"/>
              <w:rPr>
                <w:b/>
                <w:bCs/>
                <w:color w:val="auto"/>
                <w:szCs w:val="21"/>
              </w:rPr>
            </w:pPr>
            <w:r>
              <w:rPr>
                <w:b/>
                <w:bCs/>
                <w:color w:val="auto"/>
                <w:szCs w:val="21"/>
              </w:rPr>
              <w:t>污染物项目</w:t>
            </w:r>
          </w:p>
        </w:tc>
        <w:tc>
          <w:tcPr>
            <w:tcW w:w="2546" w:type="dxa"/>
            <w:noWrap w:val="0"/>
            <w:vAlign w:val="center"/>
          </w:tcPr>
          <w:p w14:paraId="0831CBF9">
            <w:pPr>
              <w:jc w:val="center"/>
              <w:rPr>
                <w:b/>
                <w:bCs/>
                <w:color w:val="auto"/>
                <w:szCs w:val="21"/>
              </w:rPr>
            </w:pPr>
            <w:r>
              <w:rPr>
                <w:b/>
                <w:bCs/>
                <w:color w:val="auto"/>
                <w:szCs w:val="21"/>
              </w:rPr>
              <w:t>环境保护措施</w:t>
            </w:r>
          </w:p>
        </w:tc>
        <w:tc>
          <w:tcPr>
            <w:tcW w:w="2352" w:type="dxa"/>
            <w:noWrap w:val="0"/>
            <w:vAlign w:val="center"/>
          </w:tcPr>
          <w:p w14:paraId="1525D071">
            <w:pPr>
              <w:jc w:val="center"/>
              <w:rPr>
                <w:b/>
                <w:bCs/>
                <w:color w:val="auto"/>
                <w:szCs w:val="21"/>
              </w:rPr>
            </w:pPr>
            <w:r>
              <w:rPr>
                <w:b/>
                <w:bCs/>
                <w:color w:val="auto"/>
                <w:szCs w:val="21"/>
              </w:rPr>
              <w:t>执行标准</w:t>
            </w:r>
          </w:p>
        </w:tc>
      </w:tr>
      <w:tr w14:paraId="399B59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318" w:type="dxa"/>
            <w:vMerge w:val="restart"/>
            <w:noWrap w:val="0"/>
            <w:vAlign w:val="center"/>
          </w:tcPr>
          <w:p w14:paraId="16E0DAEB">
            <w:pPr>
              <w:jc w:val="center"/>
              <w:rPr>
                <w:b/>
                <w:bCs/>
                <w:color w:val="auto"/>
                <w:szCs w:val="21"/>
              </w:rPr>
            </w:pPr>
            <w:r>
              <w:rPr>
                <w:b/>
                <w:bCs/>
                <w:color w:val="auto"/>
                <w:szCs w:val="21"/>
              </w:rPr>
              <w:t>大气环境</w:t>
            </w:r>
          </w:p>
        </w:tc>
        <w:tc>
          <w:tcPr>
            <w:tcW w:w="1414" w:type="dxa"/>
            <w:noWrap w:val="0"/>
            <w:vAlign w:val="center"/>
          </w:tcPr>
          <w:p w14:paraId="54CC8F2F">
            <w:pPr>
              <w:pStyle w:val="43"/>
              <w:spacing w:before="121"/>
              <w:ind w:left="58"/>
              <w:jc w:val="center"/>
              <w:rPr>
                <w:rFonts w:ascii="Times New Roman" w:hAnsi="Times New Roman"/>
                <w:color w:val="auto"/>
                <w:sz w:val="21"/>
                <w:szCs w:val="21"/>
                <w:lang w:eastAsia="zh-CN"/>
              </w:rPr>
            </w:pPr>
            <w:r>
              <w:rPr>
                <w:rFonts w:hint="eastAsia" w:ascii="Times New Roman" w:hAnsi="Times New Roman"/>
                <w:color w:val="auto"/>
                <w:sz w:val="21"/>
                <w:szCs w:val="21"/>
                <w:lang w:eastAsia="zh-CN"/>
              </w:rPr>
              <w:t>筛分、转运、上料、输送、</w:t>
            </w:r>
            <w:r>
              <w:rPr>
                <w:rFonts w:hint="eastAsia" w:ascii="Times New Roman" w:hAnsi="Times New Roman"/>
                <w:color w:val="auto"/>
                <w:sz w:val="21"/>
                <w:szCs w:val="21"/>
                <w:lang w:val="en-US" w:eastAsia="zh-CN"/>
              </w:rPr>
              <w:t>粉碎</w:t>
            </w:r>
          </w:p>
        </w:tc>
        <w:tc>
          <w:tcPr>
            <w:tcW w:w="1170" w:type="dxa"/>
            <w:noWrap w:val="0"/>
            <w:vAlign w:val="center"/>
          </w:tcPr>
          <w:p w14:paraId="0F6D78D2">
            <w:pPr>
              <w:jc w:val="center"/>
              <w:rPr>
                <w:color w:val="auto"/>
                <w:szCs w:val="21"/>
              </w:rPr>
            </w:pPr>
            <w:r>
              <w:rPr>
                <w:color w:val="auto"/>
                <w:szCs w:val="21"/>
              </w:rPr>
              <w:t>颗粒物</w:t>
            </w:r>
          </w:p>
        </w:tc>
        <w:tc>
          <w:tcPr>
            <w:tcW w:w="2546" w:type="dxa"/>
            <w:noWrap w:val="0"/>
            <w:vAlign w:val="center"/>
          </w:tcPr>
          <w:p w14:paraId="5FFD1EB6">
            <w:pPr>
              <w:jc w:val="center"/>
              <w:rPr>
                <w:color w:val="auto"/>
                <w:szCs w:val="21"/>
              </w:rPr>
            </w:pPr>
            <w:r>
              <w:rPr>
                <w:color w:val="auto"/>
                <w:szCs w:val="21"/>
              </w:rPr>
              <w:t>半封闭厂房，</w:t>
            </w:r>
            <w:r>
              <w:rPr>
                <w:rFonts w:hint="eastAsia"/>
                <w:color w:val="auto"/>
                <w:szCs w:val="21"/>
              </w:rPr>
              <w:t>三面围挡，</w:t>
            </w:r>
            <w:r>
              <w:rPr>
                <w:color w:val="auto"/>
                <w:szCs w:val="21"/>
              </w:rPr>
              <w:t>运输车辆设置篷布</w:t>
            </w:r>
            <w:r>
              <w:rPr>
                <w:rFonts w:hint="eastAsia"/>
                <w:color w:val="auto"/>
                <w:szCs w:val="21"/>
              </w:rPr>
              <w:t>、密闭</w:t>
            </w:r>
            <w:r>
              <w:rPr>
                <w:rFonts w:hint="eastAsia"/>
                <w:color w:val="auto"/>
                <w:szCs w:val="21"/>
                <w:lang w:val="en-US" w:eastAsia="zh-CN"/>
              </w:rPr>
              <w:t>粉碎</w:t>
            </w:r>
            <w:r>
              <w:rPr>
                <w:color w:val="auto"/>
                <w:szCs w:val="21"/>
              </w:rPr>
              <w:t>等</w:t>
            </w:r>
          </w:p>
        </w:tc>
        <w:tc>
          <w:tcPr>
            <w:tcW w:w="2352" w:type="dxa"/>
            <w:noWrap w:val="0"/>
            <w:vAlign w:val="center"/>
          </w:tcPr>
          <w:p w14:paraId="3AE9B390">
            <w:pPr>
              <w:jc w:val="center"/>
              <w:rPr>
                <w:color w:val="auto"/>
                <w:szCs w:val="21"/>
              </w:rPr>
            </w:pPr>
            <w:r>
              <w:rPr>
                <w:color w:val="auto"/>
                <w:szCs w:val="21"/>
              </w:rPr>
              <w:t>《大气污染物综合排放标准》(GB16297-1996)无组织排放监控浓度限值1.0mg/m</w:t>
            </w:r>
            <w:r>
              <w:rPr>
                <w:color w:val="auto"/>
                <w:szCs w:val="21"/>
                <w:vertAlign w:val="superscript"/>
              </w:rPr>
              <w:t>3</w:t>
            </w:r>
          </w:p>
        </w:tc>
      </w:tr>
      <w:tr w14:paraId="40CFD6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29" w:hRule="atLeast"/>
        </w:trPr>
        <w:tc>
          <w:tcPr>
            <w:tcW w:w="1318" w:type="dxa"/>
            <w:vMerge w:val="continue"/>
            <w:noWrap w:val="0"/>
            <w:vAlign w:val="center"/>
          </w:tcPr>
          <w:p w14:paraId="282FDAE1">
            <w:pPr>
              <w:jc w:val="center"/>
              <w:rPr>
                <w:b/>
                <w:bCs/>
                <w:color w:val="auto"/>
                <w:szCs w:val="21"/>
              </w:rPr>
            </w:pPr>
          </w:p>
        </w:tc>
        <w:tc>
          <w:tcPr>
            <w:tcW w:w="1414" w:type="dxa"/>
            <w:noWrap w:val="0"/>
            <w:vAlign w:val="center"/>
          </w:tcPr>
          <w:p w14:paraId="210AE596">
            <w:pPr>
              <w:jc w:val="center"/>
              <w:rPr>
                <w:color w:val="auto"/>
                <w:szCs w:val="21"/>
              </w:rPr>
            </w:pPr>
            <w:r>
              <w:rPr>
                <w:rFonts w:hint="eastAsia"/>
                <w:color w:val="auto"/>
                <w:szCs w:val="21"/>
              </w:rPr>
              <w:t>烘干、制棒、炭化烟气</w:t>
            </w:r>
          </w:p>
        </w:tc>
        <w:tc>
          <w:tcPr>
            <w:tcW w:w="1170" w:type="dxa"/>
            <w:noWrap w:val="0"/>
            <w:vAlign w:val="center"/>
          </w:tcPr>
          <w:p w14:paraId="27A9CDE8">
            <w:pPr>
              <w:jc w:val="center"/>
              <w:rPr>
                <w:rFonts w:hint="eastAsia"/>
                <w:color w:val="auto"/>
                <w:sz w:val="21"/>
                <w:szCs w:val="21"/>
              </w:rPr>
            </w:pPr>
            <w:r>
              <w:rPr>
                <w:rFonts w:hint="eastAsia"/>
                <w:color w:val="auto"/>
                <w:sz w:val="21"/>
                <w:szCs w:val="21"/>
              </w:rPr>
              <w:t>烟尘、</w:t>
            </w:r>
            <w:r>
              <w:rPr>
                <w:color w:val="auto"/>
                <w:sz w:val="21"/>
                <w:szCs w:val="21"/>
              </w:rPr>
              <w:t>NO</w:t>
            </w:r>
            <w:r>
              <w:rPr>
                <w:color w:val="auto"/>
                <w:sz w:val="21"/>
                <w:szCs w:val="21"/>
                <w:vertAlign w:val="subscript"/>
              </w:rPr>
              <w:t>X</w:t>
            </w:r>
            <w:r>
              <w:rPr>
                <w:rFonts w:hint="eastAsia"/>
                <w:color w:val="auto"/>
                <w:sz w:val="21"/>
                <w:szCs w:val="21"/>
              </w:rPr>
              <w:t>、</w:t>
            </w:r>
            <w:r>
              <w:rPr>
                <w:color w:val="auto"/>
                <w:sz w:val="21"/>
                <w:szCs w:val="21"/>
              </w:rPr>
              <w:t>SO</w:t>
            </w:r>
            <w:r>
              <w:rPr>
                <w:color w:val="auto"/>
                <w:sz w:val="21"/>
                <w:szCs w:val="21"/>
                <w:vertAlign w:val="subscript"/>
              </w:rPr>
              <w:t>2</w:t>
            </w:r>
            <w:r>
              <w:rPr>
                <w:rFonts w:hint="eastAsia"/>
                <w:color w:val="auto"/>
                <w:sz w:val="21"/>
                <w:szCs w:val="21"/>
              </w:rPr>
              <w:t>、</w:t>
            </w:r>
          </w:p>
          <w:p w14:paraId="36D4FB1D">
            <w:pPr>
              <w:pStyle w:val="11"/>
              <w:rPr>
                <w:color w:val="auto"/>
                <w:sz w:val="21"/>
                <w:szCs w:val="21"/>
              </w:rPr>
            </w:pPr>
            <w:r>
              <w:rPr>
                <w:rFonts w:hint="eastAsia"/>
                <w:color w:val="auto"/>
                <w:sz w:val="21"/>
                <w:szCs w:val="21"/>
                <w:lang w:eastAsia="zh-CN"/>
              </w:rPr>
              <w:t>有机挥发物（</w:t>
            </w:r>
            <w:r>
              <w:rPr>
                <w:color w:val="auto"/>
                <w:sz w:val="21"/>
                <w:szCs w:val="21"/>
              </w:rPr>
              <w:t>非甲烷总烃</w:t>
            </w:r>
            <w:r>
              <w:rPr>
                <w:rFonts w:hint="eastAsia"/>
                <w:color w:val="auto"/>
                <w:sz w:val="21"/>
                <w:szCs w:val="21"/>
                <w:lang w:eastAsia="zh-CN"/>
              </w:rPr>
              <w:t>）</w:t>
            </w:r>
          </w:p>
        </w:tc>
        <w:tc>
          <w:tcPr>
            <w:tcW w:w="2546" w:type="dxa"/>
            <w:noWrap w:val="0"/>
            <w:vAlign w:val="center"/>
          </w:tcPr>
          <w:p w14:paraId="76C8AB48">
            <w:pPr>
              <w:pStyle w:val="50"/>
              <w:rPr>
                <w:rFonts w:hint="default" w:eastAsia="宋体"/>
                <w:color w:val="auto"/>
                <w:sz w:val="21"/>
                <w:szCs w:val="21"/>
                <w:lang w:val="en-US" w:eastAsia="zh-CN"/>
              </w:rPr>
            </w:pPr>
            <w:r>
              <w:rPr>
                <w:rFonts w:hint="default" w:ascii="Times New Roman" w:hAnsi="Times New Roman" w:eastAsia="宋体" w:cs="Times New Roman"/>
                <w:color w:val="FF0000"/>
                <w:sz w:val="21"/>
                <w:szCs w:val="21"/>
              </w:rPr>
              <w:t>项目24小时持续运行</w:t>
            </w:r>
            <w:r>
              <w:rPr>
                <w:rFonts w:hint="default" w:ascii="Times New Roman" w:hAnsi="Times New Roman" w:eastAsia="宋体" w:cs="Times New Roman"/>
                <w:color w:val="FF0000"/>
                <w:sz w:val="21"/>
                <w:szCs w:val="21"/>
                <w:lang w:eastAsia="zh-CN"/>
              </w:rPr>
              <w:t>，</w:t>
            </w:r>
            <w:r>
              <w:rPr>
                <w:rFonts w:hint="eastAsia" w:cs="Times New Roman"/>
                <w:color w:val="FF0000"/>
                <w:sz w:val="21"/>
                <w:szCs w:val="21"/>
                <w:lang w:val="en-US" w:eastAsia="zh-CN"/>
              </w:rPr>
              <w:t>制棒废气引入热风炉燃烧处理，</w:t>
            </w:r>
            <w:r>
              <w:rPr>
                <w:rFonts w:hint="default" w:ascii="Times New Roman" w:hAnsi="Times New Roman" w:eastAsia="宋体" w:cs="Times New Roman"/>
                <w:color w:val="FF0000"/>
                <w:sz w:val="21"/>
                <w:szCs w:val="21"/>
                <w:lang w:val="en-US" w:eastAsia="zh-CN"/>
              </w:rPr>
              <w:t>炭化窑废气统一经一根直径350mm的不锈钢管道引入热风炉进行燃烧</w:t>
            </w:r>
            <w:r>
              <w:rPr>
                <w:rFonts w:hint="eastAsia"/>
                <w:color w:val="FF0000"/>
                <w:sz w:val="21"/>
                <w:szCs w:val="21"/>
              </w:rPr>
              <w:t>（燃烧法）非甲烷总烃总去除效率70%</w:t>
            </w:r>
            <w:r>
              <w:rPr>
                <w:rFonts w:hint="default" w:ascii="Times New Roman" w:hAnsi="Times New Roman" w:eastAsia="宋体" w:cs="Times New Roman"/>
                <w:color w:val="FF0000"/>
                <w:sz w:val="21"/>
                <w:szCs w:val="21"/>
                <w:lang w:val="en-US" w:eastAsia="zh-CN"/>
              </w:rPr>
              <w:t>，管道经炭化窑引出约8m处设置1个容积21m</w:t>
            </w:r>
            <w:r>
              <w:rPr>
                <w:rFonts w:hint="default" w:ascii="Times New Roman" w:hAnsi="Times New Roman" w:eastAsia="宋体" w:cs="Times New Roman"/>
                <w:color w:val="FF0000"/>
                <w:sz w:val="21"/>
                <w:szCs w:val="21"/>
                <w:vertAlign w:val="superscript"/>
                <w:lang w:val="en-US" w:eastAsia="zh-CN"/>
              </w:rPr>
              <w:t>3</w:t>
            </w:r>
            <w:r>
              <w:rPr>
                <w:rFonts w:hint="default" w:ascii="Times New Roman" w:hAnsi="Times New Roman" w:eastAsia="宋体" w:cs="Times New Roman"/>
                <w:color w:val="FF0000"/>
                <w:sz w:val="21"/>
                <w:szCs w:val="21"/>
                <w:lang w:val="en-US" w:eastAsia="zh-CN"/>
              </w:rPr>
              <w:t>的木醋液、木焦油收集池，用于暂存多余或者非正常工况产生的木醋液和木焦油，在热量不够的情况下经1根直径20mm的不锈钢管道泵入热风炉作为燃料补充</w:t>
            </w:r>
            <w:r>
              <w:rPr>
                <w:rFonts w:hint="eastAsia" w:cs="Times New Roman"/>
                <w:color w:val="FF0000"/>
                <w:sz w:val="21"/>
                <w:szCs w:val="21"/>
                <w:lang w:val="en-US" w:eastAsia="zh-CN"/>
              </w:rPr>
              <w:t>，炭</w:t>
            </w:r>
            <w:r>
              <w:rPr>
                <w:rFonts w:hint="eastAsia" w:ascii="Times New Roman" w:hAnsi="Times New Roman" w:eastAsia="宋体" w:cs="Times New Roman"/>
                <w:b w:val="0"/>
                <w:bCs w:val="0"/>
                <w:color w:val="FF0000"/>
                <w:sz w:val="21"/>
                <w:szCs w:val="21"/>
                <w:lang w:val="en-US" w:eastAsia="zh-CN"/>
              </w:rPr>
              <w:t>化废气同烘干、制棒废气一并经</w:t>
            </w:r>
            <w:r>
              <w:rPr>
                <w:rFonts w:hint="default" w:ascii="Times New Roman" w:hAnsi="Times New Roman" w:eastAsia="宋体" w:cs="Times New Roman"/>
                <w:b w:val="0"/>
                <w:bCs w:val="0"/>
                <w:color w:val="FF0000"/>
                <w:sz w:val="21"/>
                <w:szCs w:val="21"/>
                <w:lang w:eastAsia="zh-CN"/>
              </w:rPr>
              <w:t>“袋式除尘器”</w:t>
            </w:r>
            <w:r>
              <w:rPr>
                <w:rFonts w:hint="eastAsia" w:ascii="Times New Roman" w:hAnsi="Times New Roman" w:eastAsia="宋体" w:cs="Times New Roman"/>
                <w:b w:val="0"/>
                <w:bCs w:val="0"/>
                <w:color w:val="FF0000"/>
                <w:sz w:val="21"/>
                <w:szCs w:val="21"/>
                <w:lang w:eastAsia="zh-CN"/>
              </w:rPr>
              <w:t>（</w:t>
            </w:r>
            <w:r>
              <w:rPr>
                <w:rFonts w:hint="eastAsia" w:ascii="Times New Roman" w:hAnsi="Times New Roman" w:eastAsia="宋体" w:cs="Times New Roman"/>
                <w:b w:val="0"/>
                <w:bCs w:val="0"/>
                <w:color w:val="FF0000"/>
                <w:sz w:val="21"/>
                <w:szCs w:val="21"/>
                <w:lang w:val="en-US" w:eastAsia="zh-CN"/>
              </w:rPr>
              <w:t>去除效率9</w:t>
            </w:r>
            <w:r>
              <w:rPr>
                <w:rFonts w:hint="eastAsia" w:cs="Times New Roman"/>
                <w:b w:val="0"/>
                <w:bCs w:val="0"/>
                <w:color w:val="FF0000"/>
                <w:sz w:val="21"/>
                <w:szCs w:val="21"/>
                <w:lang w:val="en-US" w:eastAsia="zh-CN"/>
              </w:rPr>
              <w:t>5</w:t>
            </w:r>
            <w:r>
              <w:rPr>
                <w:rFonts w:hint="eastAsia" w:ascii="Times New Roman" w:hAnsi="Times New Roman" w:eastAsia="宋体" w:cs="Times New Roman"/>
                <w:b w:val="0"/>
                <w:bCs w:val="0"/>
                <w:color w:val="FF0000"/>
                <w:sz w:val="21"/>
                <w:szCs w:val="21"/>
                <w:lang w:val="en-US" w:eastAsia="zh-CN"/>
              </w:rPr>
              <w:t>%）</w:t>
            </w:r>
            <w:r>
              <w:rPr>
                <w:rFonts w:hint="default" w:ascii="Times New Roman" w:hAnsi="Times New Roman" w:eastAsia="宋体" w:cs="Times New Roman"/>
                <w:b w:val="0"/>
                <w:bCs w:val="0"/>
                <w:color w:val="FF0000"/>
                <w:sz w:val="21"/>
                <w:szCs w:val="21"/>
              </w:rPr>
              <w:t>处理</w:t>
            </w:r>
            <w:r>
              <w:rPr>
                <w:rFonts w:hint="eastAsia" w:cs="Times New Roman"/>
                <w:b w:val="0"/>
                <w:bCs w:val="0"/>
                <w:color w:val="FF0000"/>
                <w:sz w:val="21"/>
                <w:szCs w:val="21"/>
                <w:lang w:val="en-US" w:eastAsia="zh-CN"/>
              </w:rPr>
              <w:t>后达标外排，</w:t>
            </w:r>
            <w:r>
              <w:rPr>
                <w:rFonts w:hint="default" w:ascii="Times New Roman" w:hAnsi="Times New Roman" w:eastAsia="宋体" w:cs="Times New Roman"/>
                <w:b w:val="0"/>
                <w:bCs w:val="0"/>
                <w:color w:val="FF0000"/>
                <w:sz w:val="21"/>
                <w:szCs w:val="21"/>
                <w:highlight w:val="none"/>
                <w:lang w:eastAsia="zh-CN"/>
              </w:rPr>
              <w:t>设置一套</w:t>
            </w:r>
            <w:r>
              <w:rPr>
                <w:rFonts w:hint="eastAsia" w:cs="Times New Roman"/>
                <w:b w:val="0"/>
                <w:bCs w:val="0"/>
                <w:color w:val="FF0000"/>
                <w:sz w:val="21"/>
                <w:szCs w:val="21"/>
                <w:highlight w:val="none"/>
                <w:lang w:val="en-US" w:eastAsia="zh-CN"/>
              </w:rPr>
              <w:t>烟气</w:t>
            </w:r>
            <w:r>
              <w:rPr>
                <w:rFonts w:hint="default" w:ascii="Times New Roman" w:hAnsi="Times New Roman" w:eastAsia="宋体" w:cs="Times New Roman"/>
                <w:b w:val="0"/>
                <w:bCs w:val="0"/>
                <w:color w:val="FF0000"/>
                <w:sz w:val="21"/>
                <w:szCs w:val="21"/>
                <w:highlight w:val="none"/>
                <w:lang w:eastAsia="zh-CN"/>
              </w:rPr>
              <w:t>在线监测设备，对外排颗粒物、</w:t>
            </w:r>
            <w:r>
              <w:rPr>
                <w:rFonts w:hint="default" w:ascii="Times New Roman" w:hAnsi="Times New Roman" w:eastAsia="宋体" w:cs="Times New Roman"/>
                <w:b w:val="0"/>
                <w:bCs w:val="0"/>
                <w:color w:val="FF0000"/>
                <w:sz w:val="21"/>
                <w:szCs w:val="21"/>
                <w:highlight w:val="none"/>
                <w:lang w:val="en-US" w:eastAsia="zh-CN"/>
              </w:rPr>
              <w:t>SO</w:t>
            </w:r>
            <w:r>
              <w:rPr>
                <w:rFonts w:hint="default" w:ascii="Times New Roman" w:hAnsi="Times New Roman" w:eastAsia="宋体" w:cs="Times New Roman"/>
                <w:b w:val="0"/>
                <w:bCs w:val="0"/>
                <w:color w:val="FF0000"/>
                <w:sz w:val="21"/>
                <w:szCs w:val="21"/>
                <w:highlight w:val="none"/>
                <w:vertAlign w:val="subscript"/>
                <w:lang w:val="en-US" w:eastAsia="zh-CN"/>
              </w:rPr>
              <w:t>2</w:t>
            </w:r>
            <w:r>
              <w:rPr>
                <w:rFonts w:hint="default" w:ascii="Times New Roman" w:hAnsi="Times New Roman" w:eastAsia="宋体" w:cs="Times New Roman"/>
                <w:b w:val="0"/>
                <w:bCs w:val="0"/>
                <w:color w:val="FF0000"/>
                <w:sz w:val="21"/>
                <w:szCs w:val="21"/>
                <w:highlight w:val="none"/>
                <w:vertAlign w:val="baseline"/>
                <w:lang w:val="en-US" w:eastAsia="zh-CN"/>
              </w:rPr>
              <w:t>、N0</w:t>
            </w:r>
            <w:r>
              <w:rPr>
                <w:rFonts w:hint="default" w:ascii="Times New Roman" w:hAnsi="Times New Roman" w:eastAsia="宋体" w:cs="Times New Roman"/>
                <w:b w:val="0"/>
                <w:bCs w:val="0"/>
                <w:color w:val="FF0000"/>
                <w:sz w:val="21"/>
                <w:szCs w:val="21"/>
                <w:highlight w:val="none"/>
                <w:vertAlign w:val="subscript"/>
                <w:lang w:val="en-US" w:eastAsia="zh-CN"/>
              </w:rPr>
              <w:t>X</w:t>
            </w:r>
            <w:r>
              <w:rPr>
                <w:rFonts w:hint="default" w:ascii="Times New Roman" w:hAnsi="Times New Roman" w:eastAsia="宋体" w:cs="Times New Roman"/>
                <w:b w:val="0"/>
                <w:bCs w:val="0"/>
                <w:color w:val="FF0000"/>
                <w:sz w:val="21"/>
                <w:szCs w:val="21"/>
                <w:highlight w:val="none"/>
                <w:vertAlign w:val="baseline"/>
                <w:lang w:val="en-US" w:eastAsia="zh-CN"/>
              </w:rPr>
              <w:t>、进行实时监控</w:t>
            </w:r>
          </w:p>
        </w:tc>
        <w:tc>
          <w:tcPr>
            <w:tcW w:w="2352" w:type="dxa"/>
            <w:noWrap w:val="0"/>
            <w:vAlign w:val="center"/>
          </w:tcPr>
          <w:p w14:paraId="50ECFBA1">
            <w:pPr>
              <w:jc w:val="center"/>
              <w:rPr>
                <w:color w:val="auto"/>
                <w:szCs w:val="21"/>
              </w:rPr>
            </w:pPr>
            <w:r>
              <w:rPr>
                <w:color w:val="auto"/>
                <w:szCs w:val="21"/>
              </w:rPr>
              <w:t>烟气中烟尘、</w:t>
            </w:r>
            <w:r>
              <w:rPr>
                <w:rFonts w:hint="eastAsia"/>
                <w:color w:val="auto"/>
                <w:szCs w:val="21"/>
              </w:rPr>
              <w:t>黑度</w:t>
            </w:r>
            <w:r>
              <w:rPr>
                <w:color w:val="auto"/>
                <w:szCs w:val="21"/>
              </w:rPr>
              <w:t>污染物均能满足《工业炉窑大气污染物排放标准》（GB9078-1996）</w:t>
            </w:r>
            <w:r>
              <w:rPr>
                <w:rFonts w:hint="eastAsia"/>
                <w:color w:val="auto"/>
                <w:szCs w:val="21"/>
              </w:rPr>
              <w:t>，</w:t>
            </w:r>
            <w:r>
              <w:rPr>
                <w:color w:val="auto"/>
                <w:szCs w:val="21"/>
              </w:rPr>
              <w:t>烟气中NO</w:t>
            </w:r>
            <w:r>
              <w:rPr>
                <w:color w:val="auto"/>
                <w:szCs w:val="21"/>
                <w:vertAlign w:val="subscript"/>
              </w:rPr>
              <w:t>X</w:t>
            </w:r>
            <w:r>
              <w:rPr>
                <w:rFonts w:hint="eastAsia"/>
                <w:color w:val="auto"/>
                <w:szCs w:val="21"/>
              </w:rPr>
              <w:t>、</w:t>
            </w:r>
            <w:r>
              <w:rPr>
                <w:color w:val="auto"/>
                <w:szCs w:val="21"/>
              </w:rPr>
              <w:t>SO</w:t>
            </w:r>
            <w:r>
              <w:rPr>
                <w:color w:val="auto"/>
                <w:szCs w:val="21"/>
                <w:vertAlign w:val="subscript"/>
              </w:rPr>
              <w:t>2</w:t>
            </w:r>
            <w:r>
              <w:rPr>
                <w:rFonts w:hint="eastAsia"/>
                <w:color w:val="auto"/>
                <w:szCs w:val="21"/>
              </w:rPr>
              <w:t>、非甲烷总烃</w:t>
            </w:r>
            <w:r>
              <w:rPr>
                <w:color w:val="auto"/>
                <w:szCs w:val="21"/>
              </w:rPr>
              <w:t>污染物能够满足《大气污染物综合排放标准》（GB16297-1996）中表2二级标准规定的排放限值</w:t>
            </w:r>
          </w:p>
        </w:tc>
      </w:tr>
      <w:tr w14:paraId="0C5DBA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18" w:type="dxa"/>
            <w:noWrap w:val="0"/>
            <w:vAlign w:val="center"/>
          </w:tcPr>
          <w:p w14:paraId="0CC4875B">
            <w:pPr>
              <w:jc w:val="center"/>
              <w:rPr>
                <w:b/>
                <w:bCs/>
                <w:color w:val="auto"/>
                <w:szCs w:val="21"/>
              </w:rPr>
            </w:pPr>
            <w:r>
              <w:rPr>
                <w:b/>
                <w:bCs/>
                <w:color w:val="auto"/>
                <w:szCs w:val="21"/>
              </w:rPr>
              <w:t>地表水环境</w:t>
            </w:r>
          </w:p>
        </w:tc>
        <w:tc>
          <w:tcPr>
            <w:tcW w:w="1414" w:type="dxa"/>
            <w:noWrap w:val="0"/>
            <w:vAlign w:val="center"/>
          </w:tcPr>
          <w:p w14:paraId="36E9592F">
            <w:pPr>
              <w:jc w:val="center"/>
              <w:rPr>
                <w:color w:val="auto"/>
                <w:szCs w:val="21"/>
              </w:rPr>
            </w:pPr>
            <w:r>
              <w:rPr>
                <w:rFonts w:hint="eastAsia"/>
                <w:color w:val="auto"/>
                <w:szCs w:val="21"/>
              </w:rPr>
              <w:t>生活污水</w:t>
            </w:r>
          </w:p>
        </w:tc>
        <w:tc>
          <w:tcPr>
            <w:tcW w:w="1170" w:type="dxa"/>
            <w:noWrap w:val="0"/>
            <w:vAlign w:val="center"/>
          </w:tcPr>
          <w:p w14:paraId="53D602A4">
            <w:pPr>
              <w:rPr>
                <w:rFonts w:hint="eastAsia"/>
                <w:color w:val="auto"/>
              </w:rPr>
            </w:pPr>
            <w:r>
              <w:rPr>
                <w:color w:val="auto"/>
              </w:rPr>
              <w:t>CODcr</w:t>
            </w:r>
            <w:r>
              <w:rPr>
                <w:rFonts w:hint="eastAsia"/>
                <w:color w:val="auto"/>
              </w:rPr>
              <w:t>、</w:t>
            </w:r>
            <w:r>
              <w:rPr>
                <w:color w:val="auto"/>
              </w:rPr>
              <w:t>SS</w:t>
            </w:r>
          </w:p>
          <w:p w14:paraId="1AD65107">
            <w:pPr>
              <w:rPr>
                <w:rFonts w:hint="eastAsia"/>
                <w:color w:val="auto"/>
              </w:rPr>
            </w:pPr>
            <w:r>
              <w:rPr>
                <w:rFonts w:hint="eastAsia"/>
                <w:color w:val="auto"/>
              </w:rPr>
              <w:t>BOD</w:t>
            </w:r>
            <w:r>
              <w:rPr>
                <w:rFonts w:hint="eastAsia"/>
                <w:color w:val="auto"/>
                <w:vertAlign w:val="subscript"/>
              </w:rPr>
              <w:t>5</w:t>
            </w:r>
            <w:r>
              <w:rPr>
                <w:rFonts w:hint="eastAsia"/>
                <w:color w:val="auto"/>
              </w:rPr>
              <w:t>、TP</w:t>
            </w:r>
          </w:p>
          <w:p w14:paraId="11A351FC">
            <w:pPr>
              <w:rPr>
                <w:color w:val="auto"/>
              </w:rPr>
            </w:pPr>
            <w:r>
              <w:rPr>
                <w:color w:val="auto"/>
              </w:rPr>
              <w:t>NH</w:t>
            </w:r>
            <w:r>
              <w:rPr>
                <w:color w:val="auto"/>
                <w:vertAlign w:val="subscript"/>
              </w:rPr>
              <w:t>3</w:t>
            </w:r>
            <w:r>
              <w:rPr>
                <w:color w:val="auto"/>
              </w:rPr>
              <w:t>-N</w:t>
            </w:r>
          </w:p>
          <w:p w14:paraId="75C6B798">
            <w:pPr>
              <w:rPr>
                <w:color w:val="auto"/>
                <w:szCs w:val="21"/>
              </w:rPr>
            </w:pPr>
          </w:p>
        </w:tc>
        <w:tc>
          <w:tcPr>
            <w:tcW w:w="2546" w:type="dxa"/>
            <w:noWrap w:val="0"/>
            <w:vAlign w:val="center"/>
          </w:tcPr>
          <w:p w14:paraId="19B398B0">
            <w:pPr>
              <w:jc w:val="center"/>
              <w:rPr>
                <w:color w:val="auto"/>
                <w:szCs w:val="21"/>
              </w:rPr>
            </w:pPr>
            <w:r>
              <w:rPr>
                <w:color w:val="auto"/>
                <w:szCs w:val="21"/>
              </w:rPr>
              <w:t>餐饮废水</w:t>
            </w:r>
            <w:r>
              <w:rPr>
                <w:rFonts w:hint="eastAsia"/>
                <w:color w:val="auto"/>
                <w:szCs w:val="21"/>
              </w:rPr>
              <w:t>、生活污水</w:t>
            </w:r>
            <w:r>
              <w:rPr>
                <w:color w:val="auto"/>
                <w:szCs w:val="21"/>
              </w:rPr>
              <w:t>经</w:t>
            </w:r>
            <w:r>
              <w:rPr>
                <w:rFonts w:hint="eastAsia"/>
                <w:color w:val="auto"/>
                <w:szCs w:val="21"/>
              </w:rPr>
              <w:t>隔油池、三级化粪池</w:t>
            </w:r>
            <w:r>
              <w:rPr>
                <w:color w:val="auto"/>
                <w:szCs w:val="21"/>
              </w:rPr>
              <w:t>处理</w:t>
            </w:r>
            <w:r>
              <w:rPr>
                <w:rFonts w:hint="eastAsia"/>
                <w:color w:val="auto"/>
                <w:szCs w:val="21"/>
              </w:rPr>
              <w:t>后用于农田、果园等</w:t>
            </w:r>
            <w:r>
              <w:rPr>
                <w:rFonts w:hint="eastAsia"/>
                <w:color w:val="auto"/>
                <w:szCs w:val="21"/>
                <w:lang w:val="en-US" w:eastAsia="zh-CN"/>
              </w:rPr>
              <w:t>做农肥</w:t>
            </w:r>
          </w:p>
        </w:tc>
        <w:tc>
          <w:tcPr>
            <w:tcW w:w="2352" w:type="dxa"/>
            <w:noWrap w:val="0"/>
            <w:vAlign w:val="center"/>
          </w:tcPr>
          <w:p w14:paraId="47DF5305">
            <w:pPr>
              <w:jc w:val="center"/>
              <w:rPr>
                <w:color w:val="auto"/>
                <w:szCs w:val="21"/>
              </w:rPr>
            </w:pPr>
            <w:r>
              <w:rPr>
                <w:rFonts w:hint="eastAsia"/>
                <w:color w:val="auto"/>
                <w:szCs w:val="21"/>
                <w:lang w:val="en-US" w:eastAsia="zh-CN"/>
              </w:rPr>
              <w:t>不外排</w:t>
            </w:r>
          </w:p>
        </w:tc>
      </w:tr>
      <w:tr w14:paraId="292640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18" w:type="dxa"/>
            <w:vMerge w:val="restart"/>
            <w:noWrap w:val="0"/>
            <w:vAlign w:val="center"/>
          </w:tcPr>
          <w:p w14:paraId="3380AE2B">
            <w:pPr>
              <w:jc w:val="center"/>
              <w:rPr>
                <w:b/>
                <w:bCs/>
                <w:color w:val="auto"/>
                <w:szCs w:val="21"/>
              </w:rPr>
            </w:pPr>
            <w:r>
              <w:rPr>
                <w:b/>
                <w:bCs/>
                <w:color w:val="auto"/>
                <w:szCs w:val="21"/>
              </w:rPr>
              <w:t>声环境</w:t>
            </w:r>
          </w:p>
        </w:tc>
        <w:tc>
          <w:tcPr>
            <w:tcW w:w="1414" w:type="dxa"/>
            <w:noWrap w:val="0"/>
            <w:vAlign w:val="center"/>
          </w:tcPr>
          <w:p w14:paraId="3FA10F6E">
            <w:pPr>
              <w:jc w:val="center"/>
              <w:rPr>
                <w:color w:val="auto"/>
                <w:szCs w:val="21"/>
              </w:rPr>
            </w:pPr>
            <w:r>
              <w:rPr>
                <w:color w:val="auto"/>
                <w:szCs w:val="21"/>
              </w:rPr>
              <w:t>生产设备噪声</w:t>
            </w:r>
          </w:p>
        </w:tc>
        <w:tc>
          <w:tcPr>
            <w:tcW w:w="1170" w:type="dxa"/>
            <w:noWrap w:val="0"/>
            <w:vAlign w:val="center"/>
          </w:tcPr>
          <w:p w14:paraId="6DB8EF59">
            <w:pPr>
              <w:jc w:val="center"/>
              <w:rPr>
                <w:color w:val="auto"/>
                <w:szCs w:val="21"/>
              </w:rPr>
            </w:pPr>
            <w:r>
              <w:rPr>
                <w:rFonts w:hint="eastAsia"/>
                <w:color w:val="auto"/>
                <w:szCs w:val="21"/>
              </w:rPr>
              <w:t>生产设备</w:t>
            </w:r>
            <w:r>
              <w:rPr>
                <w:color w:val="auto"/>
                <w:szCs w:val="21"/>
              </w:rPr>
              <w:t>噪声</w:t>
            </w:r>
          </w:p>
        </w:tc>
        <w:tc>
          <w:tcPr>
            <w:tcW w:w="2546" w:type="dxa"/>
            <w:noWrap w:val="0"/>
            <w:vAlign w:val="center"/>
          </w:tcPr>
          <w:p w14:paraId="7CD66692">
            <w:pPr>
              <w:jc w:val="center"/>
              <w:rPr>
                <w:color w:val="auto"/>
                <w:szCs w:val="21"/>
              </w:rPr>
            </w:pPr>
            <w:r>
              <w:rPr>
                <w:color w:val="auto"/>
                <w:szCs w:val="21"/>
              </w:rPr>
              <w:t>选用低噪声设备、设备固定，</w:t>
            </w:r>
            <w:r>
              <w:rPr>
                <w:rFonts w:hint="eastAsia"/>
                <w:color w:val="auto"/>
                <w:szCs w:val="21"/>
              </w:rPr>
              <w:t>减震</w:t>
            </w:r>
            <w:r>
              <w:rPr>
                <w:color w:val="auto"/>
                <w:szCs w:val="21"/>
              </w:rPr>
              <w:t>、距离衰减、加强管理，定期维修保养，避免设备故障运行</w:t>
            </w:r>
            <w:r>
              <w:rPr>
                <w:rFonts w:hint="eastAsia"/>
                <w:color w:val="auto"/>
                <w:szCs w:val="21"/>
              </w:rPr>
              <w:t>等</w:t>
            </w:r>
          </w:p>
        </w:tc>
        <w:tc>
          <w:tcPr>
            <w:tcW w:w="2352" w:type="dxa"/>
            <w:vMerge w:val="restart"/>
            <w:noWrap w:val="0"/>
            <w:vAlign w:val="center"/>
          </w:tcPr>
          <w:p w14:paraId="4A64A4C7">
            <w:pPr>
              <w:jc w:val="center"/>
              <w:rPr>
                <w:rFonts w:hint="eastAsia"/>
                <w:color w:val="auto"/>
                <w:szCs w:val="21"/>
              </w:rPr>
            </w:pPr>
            <w:r>
              <w:rPr>
                <w:rFonts w:hint="eastAsia"/>
                <w:color w:val="auto"/>
                <w:szCs w:val="21"/>
              </w:rPr>
              <w:t>满足GB12348-2008《工业企业厂界环境噪声排放标准》中</w:t>
            </w:r>
            <w:r>
              <w:rPr>
                <w:rFonts w:hint="eastAsia"/>
                <w:color w:val="auto"/>
                <w:szCs w:val="21"/>
                <w:lang w:val="en-US" w:eastAsia="zh-CN"/>
              </w:rPr>
              <w:t>2</w:t>
            </w:r>
            <w:r>
              <w:rPr>
                <w:rFonts w:hint="eastAsia"/>
                <w:color w:val="auto"/>
                <w:szCs w:val="21"/>
              </w:rPr>
              <w:t>类标准的要求</w:t>
            </w:r>
          </w:p>
        </w:tc>
      </w:tr>
      <w:tr w14:paraId="55752E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18" w:type="dxa"/>
            <w:vMerge w:val="continue"/>
            <w:noWrap w:val="0"/>
            <w:vAlign w:val="center"/>
          </w:tcPr>
          <w:p w14:paraId="0A02AEC0">
            <w:pPr>
              <w:jc w:val="center"/>
              <w:rPr>
                <w:b/>
                <w:bCs/>
                <w:color w:val="auto"/>
                <w:szCs w:val="21"/>
              </w:rPr>
            </w:pPr>
          </w:p>
        </w:tc>
        <w:tc>
          <w:tcPr>
            <w:tcW w:w="1414" w:type="dxa"/>
            <w:noWrap w:val="0"/>
            <w:vAlign w:val="center"/>
          </w:tcPr>
          <w:p w14:paraId="5D86FE6F">
            <w:pPr>
              <w:jc w:val="center"/>
              <w:rPr>
                <w:color w:val="auto"/>
                <w:szCs w:val="21"/>
              </w:rPr>
            </w:pPr>
            <w:r>
              <w:rPr>
                <w:rFonts w:hint="eastAsia"/>
                <w:color w:val="auto"/>
                <w:szCs w:val="21"/>
              </w:rPr>
              <w:t>运输、转载车辆</w:t>
            </w:r>
          </w:p>
        </w:tc>
        <w:tc>
          <w:tcPr>
            <w:tcW w:w="1170" w:type="dxa"/>
            <w:noWrap w:val="0"/>
            <w:vAlign w:val="center"/>
          </w:tcPr>
          <w:p w14:paraId="618ADAFD">
            <w:pPr>
              <w:jc w:val="center"/>
              <w:rPr>
                <w:color w:val="auto"/>
                <w:szCs w:val="21"/>
              </w:rPr>
            </w:pPr>
            <w:r>
              <w:rPr>
                <w:rFonts w:hint="eastAsia"/>
                <w:color w:val="auto"/>
                <w:szCs w:val="21"/>
              </w:rPr>
              <w:t>交通噪声</w:t>
            </w:r>
          </w:p>
        </w:tc>
        <w:tc>
          <w:tcPr>
            <w:tcW w:w="2546" w:type="dxa"/>
            <w:noWrap w:val="0"/>
            <w:vAlign w:val="center"/>
          </w:tcPr>
          <w:p w14:paraId="6754C325">
            <w:pPr>
              <w:jc w:val="center"/>
              <w:rPr>
                <w:color w:val="auto"/>
                <w:szCs w:val="21"/>
              </w:rPr>
            </w:pPr>
            <w:r>
              <w:rPr>
                <w:color w:val="auto"/>
                <w:szCs w:val="21"/>
              </w:rPr>
              <w:t>运输</w:t>
            </w:r>
            <w:r>
              <w:rPr>
                <w:rFonts w:hint="eastAsia"/>
                <w:color w:val="auto"/>
                <w:szCs w:val="21"/>
              </w:rPr>
              <w:t>、转载</w:t>
            </w:r>
            <w:r>
              <w:rPr>
                <w:color w:val="auto"/>
                <w:szCs w:val="21"/>
              </w:rPr>
              <w:t>车辆减速慢行、控制载重量</w:t>
            </w:r>
            <w:r>
              <w:rPr>
                <w:rFonts w:hint="eastAsia"/>
                <w:color w:val="auto"/>
                <w:szCs w:val="21"/>
              </w:rPr>
              <w:t>、禁鸣</w:t>
            </w:r>
            <w:r>
              <w:rPr>
                <w:color w:val="auto"/>
                <w:szCs w:val="21"/>
              </w:rPr>
              <w:t>等</w:t>
            </w:r>
          </w:p>
        </w:tc>
        <w:tc>
          <w:tcPr>
            <w:tcW w:w="2352" w:type="dxa"/>
            <w:vMerge w:val="continue"/>
            <w:noWrap w:val="0"/>
            <w:vAlign w:val="center"/>
          </w:tcPr>
          <w:p w14:paraId="62E6FB89">
            <w:pPr>
              <w:jc w:val="center"/>
              <w:rPr>
                <w:rFonts w:hint="eastAsia"/>
                <w:color w:val="auto"/>
                <w:szCs w:val="21"/>
              </w:rPr>
            </w:pPr>
          </w:p>
        </w:tc>
      </w:tr>
      <w:tr w14:paraId="4190DA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18" w:type="dxa"/>
            <w:noWrap w:val="0"/>
            <w:vAlign w:val="center"/>
          </w:tcPr>
          <w:p w14:paraId="65B3C849">
            <w:pPr>
              <w:jc w:val="center"/>
              <w:rPr>
                <w:b/>
                <w:bCs/>
                <w:color w:val="auto"/>
                <w:szCs w:val="21"/>
              </w:rPr>
            </w:pPr>
            <w:r>
              <w:rPr>
                <w:b/>
                <w:bCs/>
                <w:color w:val="auto"/>
                <w:szCs w:val="21"/>
              </w:rPr>
              <w:t>电磁辐射</w:t>
            </w:r>
          </w:p>
        </w:tc>
        <w:tc>
          <w:tcPr>
            <w:tcW w:w="1414" w:type="dxa"/>
            <w:noWrap w:val="0"/>
            <w:vAlign w:val="center"/>
          </w:tcPr>
          <w:p w14:paraId="0911C428">
            <w:pPr>
              <w:jc w:val="center"/>
              <w:rPr>
                <w:color w:val="auto"/>
                <w:szCs w:val="21"/>
              </w:rPr>
            </w:pPr>
            <w:r>
              <w:rPr>
                <w:color w:val="auto"/>
                <w:szCs w:val="21"/>
              </w:rPr>
              <w:t>/</w:t>
            </w:r>
          </w:p>
        </w:tc>
        <w:tc>
          <w:tcPr>
            <w:tcW w:w="1170" w:type="dxa"/>
            <w:noWrap w:val="0"/>
            <w:vAlign w:val="center"/>
          </w:tcPr>
          <w:p w14:paraId="72D8A2A7">
            <w:pPr>
              <w:jc w:val="center"/>
              <w:rPr>
                <w:color w:val="auto"/>
                <w:szCs w:val="21"/>
              </w:rPr>
            </w:pPr>
            <w:r>
              <w:rPr>
                <w:color w:val="auto"/>
                <w:szCs w:val="21"/>
              </w:rPr>
              <w:t>/</w:t>
            </w:r>
          </w:p>
        </w:tc>
        <w:tc>
          <w:tcPr>
            <w:tcW w:w="2546" w:type="dxa"/>
            <w:noWrap w:val="0"/>
            <w:vAlign w:val="center"/>
          </w:tcPr>
          <w:p w14:paraId="7B9BC707">
            <w:pPr>
              <w:jc w:val="center"/>
              <w:rPr>
                <w:color w:val="auto"/>
                <w:szCs w:val="21"/>
              </w:rPr>
            </w:pPr>
            <w:r>
              <w:rPr>
                <w:color w:val="auto"/>
                <w:szCs w:val="21"/>
              </w:rPr>
              <w:t>/</w:t>
            </w:r>
          </w:p>
        </w:tc>
        <w:tc>
          <w:tcPr>
            <w:tcW w:w="2352" w:type="dxa"/>
            <w:noWrap w:val="0"/>
            <w:vAlign w:val="center"/>
          </w:tcPr>
          <w:p w14:paraId="26EEDE14">
            <w:pPr>
              <w:jc w:val="center"/>
              <w:rPr>
                <w:color w:val="auto"/>
                <w:szCs w:val="21"/>
              </w:rPr>
            </w:pPr>
            <w:r>
              <w:rPr>
                <w:color w:val="auto"/>
                <w:szCs w:val="21"/>
              </w:rPr>
              <w:t>/</w:t>
            </w:r>
          </w:p>
        </w:tc>
      </w:tr>
      <w:tr w14:paraId="400697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318" w:type="dxa"/>
            <w:noWrap w:val="0"/>
            <w:vAlign w:val="center"/>
          </w:tcPr>
          <w:p w14:paraId="219CB611">
            <w:pPr>
              <w:rPr>
                <w:color w:val="auto"/>
              </w:rPr>
            </w:pPr>
            <w:r>
              <w:rPr>
                <w:color w:val="auto"/>
              </w:rPr>
              <w:t>固体废物</w:t>
            </w:r>
          </w:p>
        </w:tc>
        <w:tc>
          <w:tcPr>
            <w:tcW w:w="7482" w:type="dxa"/>
            <w:gridSpan w:val="4"/>
            <w:noWrap w:val="0"/>
            <w:vAlign w:val="center"/>
          </w:tcPr>
          <w:p w14:paraId="6C9B0ADA">
            <w:pPr>
              <w:rPr>
                <w:color w:val="auto"/>
              </w:rPr>
            </w:pPr>
            <w:r>
              <w:rPr>
                <w:rFonts w:hint="eastAsia"/>
                <w:color w:val="auto"/>
              </w:rPr>
              <w:t>1、</w:t>
            </w:r>
            <w:r>
              <w:rPr>
                <w:color w:val="auto"/>
              </w:rPr>
              <w:t>筛分固废统一收集作为燃料利用。</w:t>
            </w:r>
          </w:p>
          <w:p w14:paraId="2B04F70A">
            <w:pPr>
              <w:rPr>
                <w:color w:val="auto"/>
              </w:rPr>
            </w:pPr>
            <w:r>
              <w:rPr>
                <w:rFonts w:hint="eastAsia"/>
                <w:color w:val="auto"/>
              </w:rPr>
              <w:t>2、</w:t>
            </w:r>
            <w:r>
              <w:rPr>
                <w:color w:val="auto"/>
              </w:rPr>
              <w:t>制棒不合格产品回收至烘干工段再次利用；</w:t>
            </w:r>
            <w:r>
              <w:rPr>
                <w:rFonts w:hint="eastAsia"/>
                <w:color w:val="auto"/>
              </w:rPr>
              <w:t>炭化</w:t>
            </w:r>
            <w:r>
              <w:rPr>
                <w:color w:val="auto"/>
              </w:rPr>
              <w:t>不合格产品、废料统一收集外售蚊香厂、蜂窝煤厂。</w:t>
            </w:r>
          </w:p>
          <w:p w14:paraId="43939B37">
            <w:pPr>
              <w:rPr>
                <w:color w:val="auto"/>
              </w:rPr>
            </w:pPr>
            <w:r>
              <w:rPr>
                <w:rFonts w:hint="eastAsia"/>
                <w:color w:val="auto"/>
              </w:rPr>
              <w:t>3、</w:t>
            </w:r>
            <w:r>
              <w:rPr>
                <w:rFonts w:hint="eastAsia"/>
                <w:color w:val="auto"/>
                <w:lang w:val="en-US" w:eastAsia="zh-CN"/>
              </w:rPr>
              <w:t>布袋除尘器收集回用生产</w:t>
            </w:r>
            <w:r>
              <w:rPr>
                <w:color w:val="auto"/>
              </w:rPr>
              <w:t>。</w:t>
            </w:r>
          </w:p>
          <w:p w14:paraId="3BB3CAD7">
            <w:pPr>
              <w:rPr>
                <w:color w:val="auto"/>
              </w:rPr>
            </w:pPr>
            <w:r>
              <w:rPr>
                <w:rFonts w:hint="eastAsia"/>
                <w:color w:val="auto"/>
              </w:rPr>
              <w:t>4、</w:t>
            </w:r>
            <w:r>
              <w:rPr>
                <w:color w:val="auto"/>
              </w:rPr>
              <w:t>炉渣集中装袋堆放在废料间内，由附近村民定期清运用于周边耕地及农田施肥。</w:t>
            </w:r>
          </w:p>
          <w:p w14:paraId="57AF5748">
            <w:pPr>
              <w:rPr>
                <w:color w:val="auto"/>
              </w:rPr>
            </w:pPr>
            <w:r>
              <w:rPr>
                <w:rFonts w:hint="eastAsia"/>
                <w:color w:val="auto"/>
              </w:rPr>
              <w:t>5、</w:t>
            </w:r>
            <w:r>
              <w:rPr>
                <w:color w:val="auto"/>
              </w:rPr>
              <w:t>生活垃圾通过集中收集后，能回收利用部分回收，其余无法回收部分生活垃圾，</w:t>
            </w:r>
            <w:r>
              <w:rPr>
                <w:rFonts w:hint="eastAsia"/>
                <w:color w:val="auto"/>
                <w:lang w:eastAsia="zh-CN"/>
              </w:rPr>
              <w:t>委托当地</w:t>
            </w:r>
            <w:r>
              <w:rPr>
                <w:color w:val="auto"/>
              </w:rPr>
              <w:t>环卫部门定期清运集中处置。少量食堂泔水、废油脂企业采用塑料桶分类收集后，按照当地相关政府部门管理要求进行处置，不外排。</w:t>
            </w:r>
            <w:r>
              <w:rPr>
                <w:rFonts w:hint="eastAsia"/>
                <w:color w:val="auto"/>
              </w:rPr>
              <w:t>三级化粪池</w:t>
            </w:r>
            <w:r>
              <w:rPr>
                <w:color w:val="auto"/>
              </w:rPr>
              <w:t>污泥定期由附近的村民进行清掏作为农家肥使用。</w:t>
            </w:r>
          </w:p>
          <w:p w14:paraId="6F0C2A62">
            <w:pPr>
              <w:rPr>
                <w:color w:val="auto"/>
              </w:rPr>
            </w:pPr>
            <w:r>
              <w:rPr>
                <w:rFonts w:hint="eastAsia"/>
                <w:color w:val="auto"/>
              </w:rPr>
              <w:t>6、</w:t>
            </w:r>
            <w:r>
              <w:rPr>
                <w:color w:val="auto"/>
              </w:rPr>
              <w:t>废机油收集后暂存于危废暂存间，后交有相应危废处置资质的单位安全处置；少量未分类收集的含油抹布，混入生活垃圾一并处理。</w:t>
            </w:r>
          </w:p>
        </w:tc>
      </w:tr>
      <w:tr w14:paraId="1E5B4D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1318" w:type="dxa"/>
            <w:noWrap w:val="0"/>
            <w:vAlign w:val="center"/>
          </w:tcPr>
          <w:p w14:paraId="7F9BBDBA">
            <w:pPr>
              <w:jc w:val="center"/>
              <w:rPr>
                <w:b/>
                <w:bCs/>
                <w:color w:val="auto"/>
                <w:szCs w:val="21"/>
              </w:rPr>
            </w:pPr>
            <w:r>
              <w:rPr>
                <w:b/>
                <w:bCs/>
                <w:color w:val="auto"/>
                <w:szCs w:val="21"/>
              </w:rPr>
              <w:t>土壤及地下水污染防治措施</w:t>
            </w:r>
          </w:p>
        </w:tc>
        <w:tc>
          <w:tcPr>
            <w:tcW w:w="7482" w:type="dxa"/>
            <w:gridSpan w:val="4"/>
            <w:noWrap w:val="0"/>
            <w:vAlign w:val="center"/>
          </w:tcPr>
          <w:p w14:paraId="76FB065E">
            <w:pPr>
              <w:adjustRightInd w:val="0"/>
              <w:snapToGrid w:val="0"/>
              <w:rPr>
                <w:color w:val="auto"/>
                <w:szCs w:val="21"/>
              </w:rPr>
            </w:pPr>
            <w:r>
              <w:rPr>
                <w:rFonts w:hint="eastAsia"/>
                <w:color w:val="auto"/>
              </w:rPr>
              <w:t>炭化窑、</w:t>
            </w:r>
            <w:r>
              <w:rPr>
                <w:rFonts w:hint="eastAsia"/>
                <w:color w:val="auto"/>
                <w:lang w:val="en-US" w:eastAsia="zh-CN"/>
              </w:rPr>
              <w:t>木醋液、木焦油收集池</w:t>
            </w:r>
            <w:r>
              <w:rPr>
                <w:color w:val="auto"/>
              </w:rPr>
              <w:t>、危废暂存间</w:t>
            </w:r>
            <w:r>
              <w:rPr>
                <w:rFonts w:hint="eastAsia"/>
                <w:color w:val="auto"/>
              </w:rPr>
              <w:t>进行重点防渗，生产车间、一般工业固废贮存场所、化粪池进行一般防渗，办公生活区、厂 区道路、仓库进行简单防渗。</w:t>
            </w:r>
          </w:p>
        </w:tc>
      </w:tr>
      <w:tr w14:paraId="755820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18" w:type="dxa"/>
            <w:noWrap w:val="0"/>
            <w:vAlign w:val="center"/>
          </w:tcPr>
          <w:p w14:paraId="037C87F2">
            <w:pPr>
              <w:jc w:val="center"/>
              <w:rPr>
                <w:b/>
                <w:bCs/>
                <w:color w:val="auto"/>
                <w:szCs w:val="21"/>
              </w:rPr>
            </w:pPr>
            <w:r>
              <w:rPr>
                <w:b/>
                <w:bCs/>
                <w:color w:val="auto"/>
                <w:szCs w:val="21"/>
              </w:rPr>
              <w:t>生态保护措施</w:t>
            </w:r>
          </w:p>
        </w:tc>
        <w:tc>
          <w:tcPr>
            <w:tcW w:w="7482" w:type="dxa"/>
            <w:gridSpan w:val="4"/>
            <w:noWrap w:val="0"/>
            <w:vAlign w:val="center"/>
          </w:tcPr>
          <w:p w14:paraId="2BA127FC">
            <w:pPr>
              <w:jc w:val="center"/>
              <w:rPr>
                <w:rFonts w:hint="eastAsia" w:eastAsia="宋体"/>
                <w:color w:val="auto"/>
                <w:szCs w:val="21"/>
                <w:lang w:eastAsia="zh-CN"/>
              </w:rPr>
            </w:pPr>
            <w:r>
              <w:rPr>
                <w:rFonts w:hint="eastAsia"/>
                <w:color w:val="auto"/>
                <w:szCs w:val="21"/>
                <w:lang w:eastAsia="zh-CN"/>
              </w:rPr>
              <w:t>无</w:t>
            </w:r>
          </w:p>
        </w:tc>
      </w:tr>
      <w:tr w14:paraId="39DD83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318" w:type="dxa"/>
            <w:noWrap w:val="0"/>
            <w:vAlign w:val="center"/>
          </w:tcPr>
          <w:p w14:paraId="3B459621">
            <w:pPr>
              <w:jc w:val="center"/>
              <w:rPr>
                <w:b/>
                <w:bCs/>
                <w:color w:val="auto"/>
                <w:spacing w:val="-8"/>
                <w:szCs w:val="21"/>
              </w:rPr>
            </w:pPr>
            <w:r>
              <w:rPr>
                <w:b/>
                <w:bCs/>
                <w:color w:val="auto"/>
                <w:spacing w:val="-8"/>
                <w:szCs w:val="21"/>
              </w:rPr>
              <w:t>环境风险</w:t>
            </w:r>
          </w:p>
          <w:p w14:paraId="55D6A91B">
            <w:pPr>
              <w:jc w:val="center"/>
              <w:rPr>
                <w:b/>
                <w:bCs/>
                <w:color w:val="auto"/>
                <w:spacing w:val="-8"/>
                <w:szCs w:val="21"/>
              </w:rPr>
            </w:pPr>
            <w:r>
              <w:rPr>
                <w:b/>
                <w:bCs/>
                <w:color w:val="auto"/>
                <w:spacing w:val="-8"/>
                <w:szCs w:val="21"/>
              </w:rPr>
              <w:t>防范措施</w:t>
            </w:r>
          </w:p>
        </w:tc>
        <w:tc>
          <w:tcPr>
            <w:tcW w:w="7482" w:type="dxa"/>
            <w:gridSpan w:val="4"/>
            <w:noWrap w:val="0"/>
            <w:vAlign w:val="center"/>
          </w:tcPr>
          <w:p w14:paraId="56CB7351">
            <w:pPr>
              <w:spacing w:line="360" w:lineRule="auto"/>
              <w:rPr>
                <w:color w:val="auto"/>
                <w:szCs w:val="21"/>
              </w:rPr>
            </w:pPr>
            <w:r>
              <w:rPr>
                <w:rFonts w:hint="eastAsia"/>
                <w:color w:val="auto"/>
                <w:szCs w:val="21"/>
              </w:rPr>
              <w:t>严格落实突发环境事件应急预案相关应急措施，并定期开展应急演练。</w:t>
            </w:r>
          </w:p>
        </w:tc>
      </w:tr>
      <w:tr w14:paraId="5D7C71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2" w:hRule="atLeast"/>
        </w:trPr>
        <w:tc>
          <w:tcPr>
            <w:tcW w:w="1318" w:type="dxa"/>
            <w:noWrap w:val="0"/>
            <w:vAlign w:val="center"/>
          </w:tcPr>
          <w:p w14:paraId="76FFA9DE">
            <w:pPr>
              <w:jc w:val="center"/>
              <w:rPr>
                <w:b/>
                <w:bCs/>
                <w:color w:val="auto"/>
                <w:spacing w:val="-8"/>
                <w:szCs w:val="21"/>
              </w:rPr>
            </w:pPr>
            <w:r>
              <w:rPr>
                <w:b/>
                <w:bCs/>
                <w:color w:val="auto"/>
                <w:spacing w:val="-8"/>
                <w:szCs w:val="21"/>
              </w:rPr>
              <w:t>其他环境</w:t>
            </w:r>
          </w:p>
          <w:p w14:paraId="25A400A0">
            <w:pPr>
              <w:jc w:val="center"/>
              <w:rPr>
                <w:b/>
                <w:bCs/>
                <w:color w:val="auto"/>
                <w:spacing w:val="-8"/>
                <w:szCs w:val="21"/>
              </w:rPr>
            </w:pPr>
            <w:r>
              <w:rPr>
                <w:b/>
                <w:bCs/>
                <w:color w:val="auto"/>
                <w:spacing w:val="-8"/>
                <w:szCs w:val="21"/>
              </w:rPr>
              <w:t>管理要求</w:t>
            </w:r>
          </w:p>
        </w:tc>
        <w:tc>
          <w:tcPr>
            <w:tcW w:w="7482" w:type="dxa"/>
            <w:gridSpan w:val="4"/>
            <w:noWrap w:val="0"/>
            <w:vAlign w:val="center"/>
          </w:tcPr>
          <w:p w14:paraId="66BB17CE">
            <w:pPr>
              <w:spacing w:line="360" w:lineRule="auto"/>
              <w:ind w:firstLine="420" w:firstLineChars="200"/>
              <w:outlineLvl w:val="2"/>
              <w:rPr>
                <w:rFonts w:hint="eastAsia"/>
                <w:color w:val="auto"/>
              </w:rPr>
            </w:pPr>
            <w:r>
              <w:rPr>
                <w:rFonts w:hint="eastAsia"/>
                <w:color w:val="auto"/>
              </w:rPr>
              <w:t>1、要求建设单位应制定相关制度并设立专人负责环保设施的正常运行，定期检查废气处理设施，并设立台账管理制度，记录使用废气处理设施的主要运行和维护信息，如运行时间、废气处理量、操作温度、更换过布袋、清理次数等关键运行参数，确保项目产生的污染物均处理达标后排放；</w:t>
            </w:r>
          </w:p>
          <w:p w14:paraId="71B998B6">
            <w:pPr>
              <w:adjustRightInd w:val="0"/>
              <w:snapToGrid w:val="0"/>
              <w:spacing w:line="360" w:lineRule="auto"/>
              <w:ind w:firstLine="420" w:firstLineChars="200"/>
              <w:rPr>
                <w:rFonts w:hint="eastAsia"/>
                <w:color w:val="auto"/>
              </w:rPr>
            </w:pPr>
            <w:r>
              <w:rPr>
                <w:rFonts w:hint="eastAsia"/>
                <w:color w:val="auto"/>
              </w:rPr>
              <w:t>2、合理安排运营时间，尽量减少项目生产噪声对周边居民的影响。</w:t>
            </w:r>
          </w:p>
          <w:p w14:paraId="177B9720">
            <w:pPr>
              <w:pStyle w:val="11"/>
              <w:spacing w:line="360" w:lineRule="auto"/>
              <w:ind w:firstLine="420" w:firstLineChars="200"/>
              <w:rPr>
                <w:rFonts w:hint="eastAsia"/>
                <w:color w:val="auto"/>
                <w:sz w:val="21"/>
                <w:szCs w:val="21"/>
              </w:rPr>
            </w:pPr>
            <w:r>
              <w:rPr>
                <w:rFonts w:hint="eastAsia"/>
                <w:color w:val="auto"/>
                <w:sz w:val="21"/>
                <w:szCs w:val="21"/>
              </w:rPr>
              <w:t>3、产生、收集、贮存、运输、利用、处置固体废物的单位，应当依法及时公开固体废物污染环境防治信息：包括企业基础信息；排污信息（包括主要污染物及特征污染物的名称、排放方式和排放浓度和总量）、排放口数量和分布情况以及执行的污染物排放标准、核定的排放总量；防治污染设施的建设和运行情况；环境影响评价及“三同时”手续情况；以及其他根据法律法规应公开或临时公开的内容等。</w:t>
            </w:r>
          </w:p>
          <w:p w14:paraId="66B8EA18">
            <w:pPr>
              <w:pStyle w:val="11"/>
              <w:spacing w:line="360" w:lineRule="auto"/>
              <w:ind w:firstLine="360" w:firstLineChars="200"/>
              <w:rPr>
                <w:color w:val="auto"/>
              </w:rPr>
            </w:pPr>
          </w:p>
        </w:tc>
      </w:tr>
    </w:tbl>
    <w:p w14:paraId="2665E55B">
      <w:pPr>
        <w:pStyle w:val="20"/>
        <w:numPr>
          <w:ilvl w:val="0"/>
          <w:numId w:val="0"/>
        </w:numPr>
        <w:spacing w:before="0" w:beforeAutospacing="0" w:after="0" w:afterAutospacing="0"/>
        <w:ind w:leftChars="300"/>
        <w:jc w:val="both"/>
        <w:outlineLvl w:val="0"/>
        <w:rPr>
          <w:rFonts w:hint="eastAsia" w:ascii="黑体" w:hAnsi="黑体" w:eastAsia="黑体"/>
          <w:snapToGrid w:val="0"/>
          <w:sz w:val="30"/>
          <w:szCs w:val="30"/>
        </w:rPr>
        <w:sectPr>
          <w:pgSz w:w="11906" w:h="16838"/>
          <w:pgMar w:top="1440" w:right="1800" w:bottom="1440" w:left="1800" w:header="851" w:footer="992" w:gutter="0"/>
          <w:pgNumType w:fmt="decimal"/>
          <w:cols w:space="425" w:num="1"/>
          <w:docGrid w:type="lines" w:linePitch="312" w:charSpace="0"/>
        </w:sectPr>
      </w:pPr>
    </w:p>
    <w:p w14:paraId="3C3E658D">
      <w:pPr>
        <w:pStyle w:val="20"/>
        <w:spacing w:before="0" w:beforeAutospacing="0" w:after="0" w:afterAutospacing="0" w:line="360" w:lineRule="auto"/>
        <w:jc w:val="center"/>
        <w:outlineLvl w:val="0"/>
        <w:rPr>
          <w:rFonts w:ascii="黑体" w:hAnsi="黑体" w:eastAsia="黑体"/>
          <w:snapToGrid w:val="0"/>
          <w:sz w:val="30"/>
          <w:szCs w:val="30"/>
        </w:rPr>
      </w:pPr>
      <w:r>
        <w:rPr>
          <w:rFonts w:hint="eastAsia" w:ascii="黑体" w:hAnsi="黑体" w:eastAsia="黑体"/>
          <w:snapToGrid w:val="0"/>
          <w:sz w:val="30"/>
          <w:szCs w:val="30"/>
        </w:rPr>
        <w:t>六、结论</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04706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3D6759FA">
            <w:pPr>
              <w:spacing w:line="360" w:lineRule="auto"/>
              <w:ind w:firstLine="482" w:firstLineChars="200"/>
              <w:rPr>
                <w:rFonts w:ascii="宋体" w:cs="宋体"/>
                <w:sz w:val="24"/>
              </w:rPr>
            </w:pPr>
            <w:r>
              <w:rPr>
                <w:rFonts w:ascii="宋体" w:cs="宋体"/>
                <w:b/>
                <w:bCs/>
                <w:sz w:val="24"/>
              </w:rPr>
              <w:t>综上所述，本项目</w:t>
            </w:r>
            <w:r>
              <w:rPr>
                <w:rFonts w:hint="eastAsia" w:ascii="宋体" w:cs="宋体"/>
                <w:b/>
                <w:bCs/>
                <w:sz w:val="24"/>
              </w:rPr>
              <w:t>为</w:t>
            </w:r>
            <w:r>
              <w:rPr>
                <w:rFonts w:hint="eastAsia" w:ascii="宋体" w:cs="宋体"/>
                <w:b/>
                <w:bCs/>
                <w:sz w:val="24"/>
                <w:lang w:val="en-US" w:eastAsia="zh-CN"/>
              </w:rPr>
              <w:t>新</w:t>
            </w:r>
            <w:r>
              <w:rPr>
                <w:rFonts w:hint="eastAsia" w:ascii="宋体" w:cs="宋体"/>
                <w:b/>
                <w:bCs/>
                <w:sz w:val="24"/>
              </w:rPr>
              <w:t>建项目，</w:t>
            </w:r>
            <w:r>
              <w:rPr>
                <w:rFonts w:ascii="宋体" w:cs="宋体"/>
                <w:b/>
                <w:bCs/>
                <w:sz w:val="24"/>
              </w:rPr>
              <w:t>符合国家产业政策，其营运基本不会改变周围环境的功能，对项目外环境的影响可以接受</w:t>
            </w:r>
            <w:r>
              <w:rPr>
                <w:rFonts w:hint="eastAsia" w:ascii="宋体" w:cs="宋体"/>
                <w:b/>
                <w:bCs/>
                <w:sz w:val="24"/>
              </w:rPr>
              <w:t>；从环境保护角度，</w:t>
            </w:r>
            <w:r>
              <w:rPr>
                <w:rFonts w:ascii="宋体" w:cs="宋体"/>
                <w:b/>
                <w:bCs/>
                <w:sz w:val="24"/>
              </w:rPr>
              <w:t>本项目的建设和运行是可行的</w:t>
            </w:r>
            <w:r>
              <w:rPr>
                <w:rFonts w:ascii="宋体" w:cs="宋体"/>
                <w:sz w:val="24"/>
              </w:rPr>
              <w:t>。</w:t>
            </w:r>
          </w:p>
          <w:p w14:paraId="7FF29407">
            <w:pPr>
              <w:spacing w:line="360" w:lineRule="auto"/>
              <w:ind w:firstLine="480" w:firstLineChars="200"/>
              <w:rPr>
                <w:rFonts w:ascii="宋体" w:cs="宋体"/>
                <w:sz w:val="24"/>
              </w:rPr>
            </w:pPr>
          </w:p>
        </w:tc>
      </w:tr>
    </w:tbl>
    <w:p w14:paraId="4C4B6EBF">
      <w:pPr>
        <w:pStyle w:val="20"/>
        <w:numPr>
          <w:ilvl w:val="0"/>
          <w:numId w:val="0"/>
        </w:numPr>
        <w:spacing w:before="0" w:beforeAutospacing="0" w:after="0" w:afterAutospacing="0"/>
        <w:ind w:leftChars="300"/>
        <w:jc w:val="both"/>
        <w:outlineLvl w:val="0"/>
        <w:rPr>
          <w:rFonts w:hint="eastAsia" w:ascii="黑体" w:hAnsi="黑体" w:eastAsia="黑体"/>
          <w:snapToGrid w:val="0"/>
          <w:sz w:val="30"/>
          <w:szCs w:val="30"/>
        </w:rPr>
        <w:sectPr>
          <w:pgSz w:w="11906" w:h="16838"/>
          <w:pgMar w:top="1440" w:right="1800" w:bottom="1440" w:left="1800" w:header="851" w:footer="992" w:gutter="0"/>
          <w:pgNumType w:fmt="decimal"/>
          <w:cols w:space="425" w:num="1"/>
          <w:docGrid w:type="lines" w:linePitch="312" w:charSpace="0"/>
        </w:sectPr>
      </w:pPr>
    </w:p>
    <w:p w14:paraId="66EE08A9">
      <w:pPr>
        <w:pStyle w:val="20"/>
        <w:adjustRightInd w:val="0"/>
        <w:snapToGrid w:val="0"/>
        <w:spacing w:before="0" w:beforeAutospacing="0" w:after="0" w:afterAutospacing="0"/>
        <w:outlineLvl w:val="0"/>
        <w:rPr>
          <w:rFonts w:ascii="黑体" w:hAnsi="黑体" w:eastAsia="黑体"/>
          <w:snapToGrid w:val="0"/>
          <w:sz w:val="28"/>
          <w:szCs w:val="28"/>
        </w:rPr>
      </w:pPr>
      <w:bookmarkStart w:id="25" w:name="_Toc17614"/>
      <w:r>
        <w:rPr>
          <w:rFonts w:hint="eastAsia" w:ascii="黑体" w:hAnsi="黑体" w:eastAsia="黑体"/>
          <w:snapToGrid w:val="0"/>
          <w:sz w:val="28"/>
          <w:szCs w:val="28"/>
        </w:rPr>
        <w:t>附表</w:t>
      </w:r>
      <w:bookmarkEnd w:id="25"/>
    </w:p>
    <w:p w14:paraId="4D540C81">
      <w:pPr>
        <w:pStyle w:val="20"/>
        <w:spacing w:before="0" w:beforeAutospacing="0" w:after="0" w:afterAutospacing="0" w:line="360" w:lineRule="auto"/>
        <w:ind w:right="937" w:rightChars="446"/>
        <w:jc w:val="center"/>
        <w:rPr>
          <w:rFonts w:hint="eastAsia" w:ascii="方正小标宋_GBK" w:hAnsi="黑体" w:eastAsia="方正小标宋_GBK"/>
          <w:snapToGrid w:val="0"/>
          <w:sz w:val="28"/>
          <w:szCs w:val="28"/>
        </w:rPr>
      </w:pPr>
      <w:r>
        <w:rPr>
          <w:rFonts w:hint="eastAsia" w:ascii="方正小标宋_GBK" w:hAnsi="黑体" w:eastAsia="方正小标宋_GBK"/>
          <w:snapToGrid w:val="0"/>
          <w:sz w:val="28"/>
          <w:szCs w:val="28"/>
        </w:rPr>
        <w:t>建设项目污染物排放量汇总表</w:t>
      </w:r>
    </w:p>
    <w:tbl>
      <w:tblPr>
        <w:tblStyle w:val="23"/>
        <w:tblpPr w:leftFromText="180" w:rightFromText="180" w:vertAnchor="text" w:horzAnchor="page" w:tblpX="1506" w:tblpY="317"/>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963"/>
        <w:gridCol w:w="1417"/>
        <w:gridCol w:w="1156"/>
        <w:gridCol w:w="1418"/>
        <w:gridCol w:w="1559"/>
        <w:gridCol w:w="1559"/>
        <w:gridCol w:w="1701"/>
        <w:gridCol w:w="1711"/>
      </w:tblGrid>
      <w:tr w14:paraId="0AA148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dxa"/>
            <w:tcBorders>
              <w:tl2br w:val="single" w:color="auto" w:sz="4" w:space="0"/>
            </w:tcBorders>
            <w:noWrap w:val="0"/>
            <w:tcMar>
              <w:left w:w="28" w:type="dxa"/>
              <w:right w:w="28" w:type="dxa"/>
            </w:tcMar>
            <w:vAlign w:val="center"/>
          </w:tcPr>
          <w:p w14:paraId="12817ABA">
            <w:pPr>
              <w:pStyle w:val="59"/>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 xml:space="preserve">            项目</w:t>
            </w:r>
          </w:p>
          <w:p w14:paraId="5DC3EE80">
            <w:pPr>
              <w:pStyle w:val="59"/>
              <w:spacing w:beforeLines="0" w:afterLines="0" w:line="240" w:lineRule="auto"/>
              <w:jc w:val="both"/>
              <w:rPr>
                <w:rFonts w:ascii="Times New Roman"/>
                <w:snapToGrid w:val="0"/>
                <w:color w:val="auto"/>
                <w:spacing w:val="-6"/>
                <w:kern w:val="21"/>
                <w:szCs w:val="21"/>
              </w:rPr>
            </w:pPr>
            <w:r>
              <w:rPr>
                <w:rFonts w:ascii="Times New Roman"/>
                <w:snapToGrid w:val="0"/>
                <w:color w:val="auto"/>
                <w:spacing w:val="-6"/>
                <w:kern w:val="21"/>
                <w:szCs w:val="21"/>
              </w:rPr>
              <w:t>分类</w:t>
            </w:r>
          </w:p>
        </w:tc>
        <w:tc>
          <w:tcPr>
            <w:tcW w:w="1963" w:type="dxa"/>
            <w:noWrap w:val="0"/>
            <w:tcMar>
              <w:left w:w="28" w:type="dxa"/>
              <w:right w:w="28" w:type="dxa"/>
            </w:tcMar>
            <w:vAlign w:val="center"/>
          </w:tcPr>
          <w:p w14:paraId="2B6A6A9A">
            <w:pPr>
              <w:pStyle w:val="59"/>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污染物名称</w:t>
            </w:r>
          </w:p>
        </w:tc>
        <w:tc>
          <w:tcPr>
            <w:tcW w:w="1417" w:type="dxa"/>
            <w:noWrap w:val="0"/>
            <w:tcMar>
              <w:left w:w="28" w:type="dxa"/>
              <w:right w:w="28" w:type="dxa"/>
            </w:tcMar>
            <w:vAlign w:val="center"/>
          </w:tcPr>
          <w:p w14:paraId="2B05DD59">
            <w:pPr>
              <w:pStyle w:val="59"/>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现有工程</w:t>
            </w:r>
          </w:p>
          <w:p w14:paraId="406EF6F0">
            <w:pPr>
              <w:pStyle w:val="59"/>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hAnsi="宋体" w:cs="宋体"/>
                <w:color w:val="auto"/>
                <w:kern w:val="2"/>
                <w:szCs w:val="21"/>
              </w:rPr>
              <w:t>①</w:t>
            </w:r>
            <w:r>
              <w:rPr>
                <w:rFonts w:ascii="Times New Roman"/>
                <w:snapToGrid w:val="0"/>
                <w:color w:val="auto"/>
                <w:spacing w:val="-6"/>
                <w:kern w:val="21"/>
                <w:szCs w:val="21"/>
              </w:rPr>
              <w:fldChar w:fldCharType="end"/>
            </w:r>
          </w:p>
        </w:tc>
        <w:tc>
          <w:tcPr>
            <w:tcW w:w="1156" w:type="dxa"/>
            <w:noWrap w:val="0"/>
            <w:tcMar>
              <w:left w:w="28" w:type="dxa"/>
              <w:right w:w="28" w:type="dxa"/>
            </w:tcMar>
            <w:vAlign w:val="center"/>
          </w:tcPr>
          <w:p w14:paraId="73FBBF52">
            <w:pPr>
              <w:pStyle w:val="59"/>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现有工程</w:t>
            </w:r>
          </w:p>
          <w:p w14:paraId="17FA9107">
            <w:pPr>
              <w:pStyle w:val="59"/>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许可排放量</w:t>
            </w:r>
          </w:p>
          <w:p w14:paraId="7811395E">
            <w:pPr>
              <w:pStyle w:val="59"/>
              <w:spacing w:beforeLines="0" w:afterLines="0"/>
              <w:rPr>
                <w:rFonts w:ascii="Times New Roman"/>
                <w:snapToGrid w:val="0"/>
                <w:color w:val="auto"/>
                <w:spacing w:val="-6"/>
                <w:kern w:val="21"/>
                <w:szCs w:val="21"/>
              </w:rPr>
            </w:pP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2 \* GB3 \* MERGEFORMAT </w:instrText>
            </w:r>
            <w:r>
              <w:rPr>
                <w:rFonts w:ascii="Times New Roman"/>
                <w:snapToGrid w:val="0"/>
                <w:color w:val="auto"/>
                <w:spacing w:val="-6"/>
                <w:kern w:val="21"/>
                <w:szCs w:val="21"/>
              </w:rPr>
              <w:fldChar w:fldCharType="separate"/>
            </w:r>
            <w:r>
              <w:rPr>
                <w:rFonts w:hint="eastAsia" w:hAnsi="宋体" w:cs="宋体"/>
                <w:snapToGrid w:val="0"/>
                <w:color w:val="auto"/>
                <w:spacing w:val="-6"/>
                <w:kern w:val="21"/>
                <w:szCs w:val="21"/>
              </w:rPr>
              <w:t>②</w:t>
            </w:r>
            <w:r>
              <w:rPr>
                <w:rFonts w:ascii="Times New Roman"/>
                <w:snapToGrid w:val="0"/>
                <w:color w:val="auto"/>
                <w:spacing w:val="-6"/>
                <w:kern w:val="21"/>
                <w:szCs w:val="21"/>
              </w:rPr>
              <w:fldChar w:fldCharType="end"/>
            </w:r>
          </w:p>
        </w:tc>
        <w:tc>
          <w:tcPr>
            <w:tcW w:w="1418" w:type="dxa"/>
            <w:noWrap w:val="0"/>
            <w:tcMar>
              <w:left w:w="28" w:type="dxa"/>
              <w:right w:w="28" w:type="dxa"/>
            </w:tcMar>
            <w:vAlign w:val="center"/>
          </w:tcPr>
          <w:p w14:paraId="4F2686ED">
            <w:pPr>
              <w:pStyle w:val="59"/>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在建工程</w:t>
            </w:r>
          </w:p>
          <w:p w14:paraId="2C5015CC">
            <w:pPr>
              <w:pStyle w:val="59"/>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hint="eastAsia" w:hAnsi="宋体" w:cs="宋体"/>
                <w:color w:val="auto"/>
                <w:kern w:val="2"/>
                <w:szCs w:val="21"/>
              </w:rPr>
              <w:t>③</w:t>
            </w:r>
            <w:r>
              <w:rPr>
                <w:rFonts w:ascii="Times New Roman"/>
                <w:snapToGrid w:val="0"/>
                <w:color w:val="auto"/>
                <w:spacing w:val="-6"/>
                <w:kern w:val="21"/>
                <w:szCs w:val="21"/>
              </w:rPr>
              <w:fldChar w:fldCharType="end"/>
            </w:r>
          </w:p>
        </w:tc>
        <w:tc>
          <w:tcPr>
            <w:tcW w:w="1559" w:type="dxa"/>
            <w:noWrap w:val="0"/>
            <w:tcMar>
              <w:left w:w="28" w:type="dxa"/>
              <w:right w:w="28" w:type="dxa"/>
            </w:tcMar>
            <w:vAlign w:val="center"/>
          </w:tcPr>
          <w:p w14:paraId="7803EE15">
            <w:pPr>
              <w:pStyle w:val="59"/>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本项目</w:t>
            </w:r>
          </w:p>
          <w:p w14:paraId="77341622">
            <w:pPr>
              <w:pStyle w:val="59"/>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hint="eastAsia" w:hAnsi="宋体" w:cs="宋体"/>
                <w:color w:val="auto"/>
                <w:kern w:val="2"/>
                <w:szCs w:val="21"/>
              </w:rPr>
              <w:t>④</w:t>
            </w:r>
            <w:r>
              <w:rPr>
                <w:rFonts w:ascii="Times New Roman"/>
                <w:snapToGrid w:val="0"/>
                <w:color w:val="auto"/>
                <w:spacing w:val="-6"/>
                <w:kern w:val="21"/>
                <w:szCs w:val="21"/>
              </w:rPr>
              <w:fldChar w:fldCharType="end"/>
            </w:r>
          </w:p>
        </w:tc>
        <w:tc>
          <w:tcPr>
            <w:tcW w:w="1559" w:type="dxa"/>
            <w:noWrap w:val="0"/>
            <w:tcMar>
              <w:left w:w="28" w:type="dxa"/>
              <w:right w:w="28" w:type="dxa"/>
            </w:tcMar>
            <w:vAlign w:val="center"/>
          </w:tcPr>
          <w:p w14:paraId="2EB55EFD">
            <w:pPr>
              <w:pStyle w:val="59"/>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以新带老削减量</w:t>
            </w:r>
          </w:p>
          <w:p w14:paraId="51EB6499">
            <w:pPr>
              <w:pStyle w:val="59"/>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（新建项目不填）</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hint="eastAsia" w:hAnsi="宋体" w:cs="宋体"/>
                <w:color w:val="auto"/>
                <w:kern w:val="2"/>
                <w:szCs w:val="21"/>
              </w:rPr>
              <w:t>⑤</w:t>
            </w:r>
            <w:r>
              <w:rPr>
                <w:rFonts w:ascii="Times New Roman"/>
                <w:snapToGrid w:val="0"/>
                <w:color w:val="auto"/>
                <w:spacing w:val="-16"/>
                <w:kern w:val="21"/>
                <w:szCs w:val="21"/>
              </w:rPr>
              <w:fldChar w:fldCharType="end"/>
            </w:r>
          </w:p>
        </w:tc>
        <w:tc>
          <w:tcPr>
            <w:tcW w:w="1701" w:type="dxa"/>
            <w:noWrap w:val="0"/>
            <w:tcMar>
              <w:left w:w="28" w:type="dxa"/>
              <w:right w:w="28" w:type="dxa"/>
            </w:tcMar>
            <w:vAlign w:val="center"/>
          </w:tcPr>
          <w:p w14:paraId="7648A00E">
            <w:pPr>
              <w:pStyle w:val="59"/>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本项目建成后</w:t>
            </w:r>
          </w:p>
          <w:p w14:paraId="6E113411">
            <w:pPr>
              <w:pStyle w:val="59"/>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全厂排放量（固体废物产生量）</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hAnsi="宋体" w:cs="宋体"/>
                <w:color w:val="auto"/>
                <w:kern w:val="2"/>
                <w:szCs w:val="21"/>
              </w:rPr>
              <w:t>⑥</w:t>
            </w:r>
            <w:r>
              <w:rPr>
                <w:rFonts w:ascii="Times New Roman"/>
                <w:snapToGrid w:val="0"/>
                <w:color w:val="auto"/>
                <w:spacing w:val="-16"/>
                <w:kern w:val="21"/>
                <w:szCs w:val="21"/>
              </w:rPr>
              <w:fldChar w:fldCharType="end"/>
            </w:r>
          </w:p>
        </w:tc>
        <w:tc>
          <w:tcPr>
            <w:tcW w:w="1711" w:type="dxa"/>
            <w:noWrap w:val="0"/>
            <w:tcMar>
              <w:left w:w="28" w:type="dxa"/>
              <w:right w:w="28" w:type="dxa"/>
            </w:tcMar>
            <w:vAlign w:val="center"/>
          </w:tcPr>
          <w:p w14:paraId="3DC73B01">
            <w:pPr>
              <w:pStyle w:val="59"/>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变化量</w:t>
            </w:r>
          </w:p>
          <w:p w14:paraId="7B33171E">
            <w:pPr>
              <w:pStyle w:val="59"/>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hint="eastAsia" w:hAnsi="宋体" w:cs="宋体"/>
                <w:color w:val="auto"/>
                <w:kern w:val="2"/>
                <w:szCs w:val="21"/>
              </w:rPr>
              <w:t>⑦</w:t>
            </w:r>
            <w:r>
              <w:rPr>
                <w:rFonts w:ascii="Times New Roman"/>
                <w:snapToGrid w:val="0"/>
                <w:color w:val="auto"/>
                <w:spacing w:val="-6"/>
                <w:kern w:val="21"/>
                <w:szCs w:val="21"/>
              </w:rPr>
              <w:fldChar w:fldCharType="end"/>
            </w:r>
          </w:p>
        </w:tc>
      </w:tr>
      <w:tr w14:paraId="0B3DEB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dxa"/>
            <w:vMerge w:val="restart"/>
            <w:noWrap w:val="0"/>
            <w:vAlign w:val="center"/>
          </w:tcPr>
          <w:p w14:paraId="1EE6728F">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废气</w:t>
            </w:r>
          </w:p>
        </w:tc>
        <w:tc>
          <w:tcPr>
            <w:tcW w:w="1963" w:type="dxa"/>
            <w:noWrap w:val="0"/>
            <w:vAlign w:val="center"/>
          </w:tcPr>
          <w:p w14:paraId="1C6F5061">
            <w:pPr>
              <w:pStyle w:val="59"/>
              <w:spacing w:beforeLines="0" w:afterLines="0" w:line="240" w:lineRule="auto"/>
              <w:rPr>
                <w:rFonts w:ascii="Times New Roman"/>
                <w:snapToGrid w:val="0"/>
                <w:color w:val="FF0000"/>
                <w:kern w:val="21"/>
                <w:szCs w:val="21"/>
              </w:rPr>
            </w:pPr>
            <w:r>
              <w:rPr>
                <w:rFonts w:ascii="Times New Roman"/>
                <w:color w:val="FF0000"/>
                <w:szCs w:val="21"/>
                <w:lang w:bidi="ar"/>
              </w:rPr>
              <w:t>颗粒物（</w:t>
            </w:r>
            <w:r>
              <w:rPr>
                <w:rFonts w:hint="eastAsia" w:ascii="Times New Roman"/>
                <w:color w:val="FF0000"/>
                <w:szCs w:val="21"/>
                <w:lang w:val="en-US" w:eastAsia="zh-CN" w:bidi="ar"/>
              </w:rPr>
              <w:t>无</w:t>
            </w:r>
            <w:r>
              <w:rPr>
                <w:rFonts w:ascii="Times New Roman"/>
                <w:color w:val="FF0000"/>
                <w:szCs w:val="21"/>
                <w:lang w:bidi="ar"/>
              </w:rPr>
              <w:t>组织）</w:t>
            </w:r>
          </w:p>
        </w:tc>
        <w:tc>
          <w:tcPr>
            <w:tcW w:w="1417" w:type="dxa"/>
            <w:noWrap w:val="0"/>
            <w:vAlign w:val="center"/>
          </w:tcPr>
          <w:p w14:paraId="7C0DB810">
            <w:pPr>
              <w:pStyle w:val="59"/>
              <w:spacing w:beforeLines="0" w:afterLines="0" w:line="240" w:lineRule="auto"/>
              <w:rPr>
                <w:rFonts w:ascii="Times New Roman"/>
                <w:snapToGrid w:val="0"/>
                <w:color w:val="FF0000"/>
                <w:kern w:val="21"/>
                <w:szCs w:val="21"/>
              </w:rPr>
            </w:pPr>
            <w:r>
              <w:rPr>
                <w:rFonts w:ascii="Times New Roman"/>
                <w:snapToGrid w:val="0"/>
                <w:color w:val="FF0000"/>
                <w:kern w:val="21"/>
                <w:szCs w:val="21"/>
              </w:rPr>
              <w:t>/</w:t>
            </w:r>
          </w:p>
        </w:tc>
        <w:tc>
          <w:tcPr>
            <w:tcW w:w="1156" w:type="dxa"/>
            <w:noWrap w:val="0"/>
            <w:vAlign w:val="center"/>
          </w:tcPr>
          <w:p w14:paraId="4D30B5C9">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418" w:type="dxa"/>
            <w:noWrap w:val="0"/>
            <w:vAlign w:val="center"/>
          </w:tcPr>
          <w:p w14:paraId="613012A0">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noWrap w:val="0"/>
            <w:vAlign w:val="center"/>
          </w:tcPr>
          <w:p w14:paraId="76E53505">
            <w:pPr>
              <w:jc w:val="center"/>
              <w:rPr>
                <w:rFonts w:hint="default" w:eastAsia="宋体"/>
                <w:color w:val="auto"/>
                <w:szCs w:val="21"/>
                <w:lang w:val="en-US" w:eastAsia="zh-CN"/>
              </w:rPr>
            </w:pPr>
            <w:r>
              <w:rPr>
                <w:rFonts w:hint="eastAsia"/>
                <w:snapToGrid w:val="0"/>
                <w:color w:val="auto"/>
                <w:kern w:val="21"/>
                <w:szCs w:val="21"/>
                <w:lang w:val="en-US" w:eastAsia="zh-CN"/>
              </w:rPr>
              <w:t>6.4</w:t>
            </w:r>
          </w:p>
        </w:tc>
        <w:tc>
          <w:tcPr>
            <w:tcW w:w="1559" w:type="dxa"/>
            <w:noWrap w:val="0"/>
            <w:vAlign w:val="center"/>
          </w:tcPr>
          <w:p w14:paraId="4F511B81">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01" w:type="dxa"/>
            <w:noWrap w:val="0"/>
            <w:vAlign w:val="center"/>
          </w:tcPr>
          <w:p w14:paraId="223851C5">
            <w:pPr>
              <w:pStyle w:val="59"/>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1.28</w:t>
            </w:r>
          </w:p>
        </w:tc>
        <w:tc>
          <w:tcPr>
            <w:tcW w:w="1711" w:type="dxa"/>
            <w:noWrap w:val="0"/>
            <w:vAlign w:val="center"/>
          </w:tcPr>
          <w:p w14:paraId="7731B000">
            <w:pPr>
              <w:pStyle w:val="59"/>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r>
      <w:tr w14:paraId="2D92EB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dxa"/>
            <w:vMerge w:val="continue"/>
            <w:noWrap w:val="0"/>
            <w:vAlign w:val="center"/>
          </w:tcPr>
          <w:p w14:paraId="23173A9F">
            <w:pPr>
              <w:pStyle w:val="59"/>
              <w:spacing w:beforeLines="0" w:afterLines="0" w:line="240" w:lineRule="auto"/>
              <w:rPr>
                <w:rFonts w:ascii="Times New Roman"/>
                <w:snapToGrid w:val="0"/>
                <w:color w:val="auto"/>
                <w:kern w:val="21"/>
                <w:szCs w:val="21"/>
              </w:rPr>
            </w:pPr>
          </w:p>
        </w:tc>
        <w:tc>
          <w:tcPr>
            <w:tcW w:w="1963" w:type="dxa"/>
            <w:noWrap w:val="0"/>
            <w:vAlign w:val="center"/>
          </w:tcPr>
          <w:p w14:paraId="40DA95D2">
            <w:pPr>
              <w:pStyle w:val="59"/>
              <w:spacing w:beforeLines="0" w:afterLines="0" w:line="240" w:lineRule="auto"/>
              <w:rPr>
                <w:rFonts w:ascii="Times New Roman"/>
                <w:color w:val="FF0000"/>
                <w:szCs w:val="21"/>
                <w:lang w:bidi="ar"/>
              </w:rPr>
            </w:pPr>
            <w:r>
              <w:rPr>
                <w:rFonts w:ascii="Times New Roman"/>
                <w:color w:val="FF0000"/>
                <w:szCs w:val="21"/>
                <w:lang w:bidi="ar"/>
              </w:rPr>
              <w:t>颗粒物（</w:t>
            </w:r>
            <w:r>
              <w:rPr>
                <w:rFonts w:hint="eastAsia" w:ascii="Times New Roman"/>
                <w:color w:val="FF0000"/>
                <w:szCs w:val="21"/>
                <w:lang w:val="en-US" w:eastAsia="zh-CN" w:bidi="ar"/>
              </w:rPr>
              <w:t>有</w:t>
            </w:r>
            <w:r>
              <w:rPr>
                <w:rFonts w:ascii="Times New Roman"/>
                <w:color w:val="FF0000"/>
                <w:szCs w:val="21"/>
                <w:lang w:bidi="ar"/>
              </w:rPr>
              <w:t>组织）</w:t>
            </w:r>
          </w:p>
        </w:tc>
        <w:tc>
          <w:tcPr>
            <w:tcW w:w="1417" w:type="dxa"/>
            <w:noWrap w:val="0"/>
            <w:vAlign w:val="center"/>
          </w:tcPr>
          <w:p w14:paraId="4761CC84">
            <w:pPr>
              <w:pStyle w:val="59"/>
              <w:spacing w:beforeLines="0" w:afterLines="0" w:line="240" w:lineRule="auto"/>
              <w:rPr>
                <w:rFonts w:ascii="Times New Roman"/>
                <w:snapToGrid w:val="0"/>
                <w:color w:val="FF0000"/>
                <w:kern w:val="21"/>
                <w:szCs w:val="21"/>
              </w:rPr>
            </w:pPr>
            <w:r>
              <w:rPr>
                <w:rFonts w:ascii="Times New Roman"/>
                <w:snapToGrid w:val="0"/>
                <w:color w:val="FF0000"/>
                <w:kern w:val="21"/>
                <w:szCs w:val="21"/>
              </w:rPr>
              <w:t>/</w:t>
            </w:r>
          </w:p>
        </w:tc>
        <w:tc>
          <w:tcPr>
            <w:tcW w:w="1156" w:type="dxa"/>
            <w:noWrap w:val="0"/>
            <w:vAlign w:val="center"/>
          </w:tcPr>
          <w:p w14:paraId="15679F72">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418" w:type="dxa"/>
            <w:noWrap w:val="0"/>
            <w:vAlign w:val="center"/>
          </w:tcPr>
          <w:p w14:paraId="6C7D7883">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noWrap w:val="0"/>
            <w:vAlign w:val="center"/>
          </w:tcPr>
          <w:p w14:paraId="2C6DE07A">
            <w:pPr>
              <w:jc w:val="center"/>
              <w:rPr>
                <w:rFonts w:hint="default" w:eastAsia="宋体"/>
                <w:color w:val="auto"/>
                <w:kern w:val="0"/>
                <w:szCs w:val="21"/>
                <w:lang w:val="en-US" w:eastAsia="zh-CN" w:bidi="ar"/>
              </w:rPr>
            </w:pPr>
            <w:r>
              <w:rPr>
                <w:rFonts w:hint="eastAsia"/>
                <w:color w:val="auto"/>
                <w:kern w:val="0"/>
                <w:szCs w:val="21"/>
                <w:lang w:val="en-US" w:eastAsia="zh-CN" w:bidi="ar"/>
              </w:rPr>
              <w:t>586.63</w:t>
            </w:r>
          </w:p>
        </w:tc>
        <w:tc>
          <w:tcPr>
            <w:tcW w:w="1559" w:type="dxa"/>
            <w:noWrap w:val="0"/>
            <w:vAlign w:val="center"/>
          </w:tcPr>
          <w:p w14:paraId="408A4940">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01" w:type="dxa"/>
            <w:noWrap w:val="0"/>
            <w:vAlign w:val="center"/>
          </w:tcPr>
          <w:p w14:paraId="3FEAD018">
            <w:pPr>
              <w:pStyle w:val="59"/>
              <w:spacing w:beforeLines="0" w:afterLines="0" w:line="240" w:lineRule="auto"/>
              <w:rPr>
                <w:rFonts w:hint="default" w:ascii="Times New Roman" w:eastAsia="宋体"/>
                <w:color w:val="auto"/>
                <w:szCs w:val="21"/>
                <w:lang w:val="en-US" w:eastAsia="zh-CN" w:bidi="ar"/>
              </w:rPr>
            </w:pPr>
            <w:r>
              <w:rPr>
                <w:rFonts w:hint="eastAsia" w:ascii="Times New Roman"/>
                <w:color w:val="auto"/>
                <w:szCs w:val="21"/>
                <w:lang w:val="en-US" w:eastAsia="zh-CN" w:bidi="ar"/>
              </w:rPr>
              <w:t>29.33</w:t>
            </w:r>
          </w:p>
        </w:tc>
        <w:tc>
          <w:tcPr>
            <w:tcW w:w="1711" w:type="dxa"/>
            <w:noWrap w:val="0"/>
            <w:vAlign w:val="center"/>
          </w:tcPr>
          <w:p w14:paraId="416D0141">
            <w:pPr>
              <w:pStyle w:val="59"/>
              <w:spacing w:beforeLines="0" w:afterLines="0" w:line="240" w:lineRule="auto"/>
              <w:rPr>
                <w:rFonts w:hint="eastAsia" w:ascii="Times New Roman" w:eastAsia="宋体"/>
                <w:color w:val="auto"/>
                <w:szCs w:val="21"/>
                <w:lang w:val="en-US" w:eastAsia="zh-CN" w:bidi="ar"/>
              </w:rPr>
            </w:pPr>
            <w:r>
              <w:rPr>
                <w:rFonts w:hint="eastAsia" w:ascii="Times New Roman"/>
                <w:color w:val="auto"/>
                <w:szCs w:val="21"/>
                <w:lang w:eastAsia="zh-CN" w:bidi="ar"/>
              </w:rPr>
              <w:t>/</w:t>
            </w:r>
          </w:p>
        </w:tc>
      </w:tr>
      <w:tr w14:paraId="7FD71C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dxa"/>
            <w:vMerge w:val="continue"/>
            <w:noWrap w:val="0"/>
            <w:vAlign w:val="center"/>
          </w:tcPr>
          <w:p w14:paraId="30D7372F">
            <w:pPr>
              <w:pStyle w:val="59"/>
              <w:spacing w:beforeLines="0" w:afterLines="0" w:line="240" w:lineRule="auto"/>
              <w:rPr>
                <w:rFonts w:ascii="Times New Roman"/>
                <w:snapToGrid w:val="0"/>
                <w:color w:val="auto"/>
                <w:kern w:val="21"/>
                <w:szCs w:val="21"/>
              </w:rPr>
            </w:pPr>
          </w:p>
        </w:tc>
        <w:tc>
          <w:tcPr>
            <w:tcW w:w="1963" w:type="dxa"/>
            <w:noWrap w:val="0"/>
            <w:vAlign w:val="center"/>
          </w:tcPr>
          <w:p w14:paraId="409BE431">
            <w:pPr>
              <w:pStyle w:val="59"/>
              <w:spacing w:beforeLines="0" w:afterLines="0" w:line="240" w:lineRule="auto"/>
              <w:rPr>
                <w:rFonts w:ascii="Times New Roman"/>
                <w:color w:val="auto"/>
                <w:szCs w:val="21"/>
                <w:lang w:bidi="ar"/>
              </w:rPr>
            </w:pPr>
            <w:r>
              <w:rPr>
                <w:rFonts w:ascii="Times New Roman"/>
                <w:color w:val="auto"/>
                <w:szCs w:val="21"/>
                <w:lang w:bidi="ar"/>
              </w:rPr>
              <w:t>二氧化硫</w:t>
            </w:r>
          </w:p>
        </w:tc>
        <w:tc>
          <w:tcPr>
            <w:tcW w:w="1417" w:type="dxa"/>
            <w:noWrap w:val="0"/>
            <w:vAlign w:val="center"/>
          </w:tcPr>
          <w:p w14:paraId="4D8D607C">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156" w:type="dxa"/>
            <w:noWrap w:val="0"/>
            <w:vAlign w:val="center"/>
          </w:tcPr>
          <w:p w14:paraId="3CC006C7">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418" w:type="dxa"/>
            <w:noWrap w:val="0"/>
            <w:vAlign w:val="center"/>
          </w:tcPr>
          <w:p w14:paraId="0FCC4286">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noWrap w:val="0"/>
            <w:vAlign w:val="center"/>
          </w:tcPr>
          <w:p w14:paraId="1BDE7678">
            <w:pPr>
              <w:jc w:val="center"/>
              <w:rPr>
                <w:rFonts w:hint="default" w:eastAsia="宋体"/>
                <w:color w:val="auto"/>
                <w:kern w:val="0"/>
                <w:szCs w:val="21"/>
                <w:lang w:val="en-US" w:eastAsia="zh-CN" w:bidi="ar"/>
              </w:rPr>
            </w:pPr>
            <w:r>
              <w:rPr>
                <w:rFonts w:hint="eastAsia" w:ascii="Times New Roman" w:hAnsi="Times New Roman" w:eastAsia="宋体" w:cs="Times New Roman"/>
                <w:color w:val="auto"/>
                <w:sz w:val="21"/>
                <w:szCs w:val="21"/>
                <w:lang w:val="en-US" w:eastAsia="zh-CN"/>
              </w:rPr>
              <w:t>23.54</w:t>
            </w:r>
          </w:p>
        </w:tc>
        <w:tc>
          <w:tcPr>
            <w:tcW w:w="1559" w:type="dxa"/>
            <w:noWrap w:val="0"/>
            <w:vAlign w:val="center"/>
          </w:tcPr>
          <w:p w14:paraId="154E4AFD">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01" w:type="dxa"/>
            <w:noWrap w:val="0"/>
            <w:vAlign w:val="center"/>
          </w:tcPr>
          <w:p w14:paraId="67D78832">
            <w:pPr>
              <w:pStyle w:val="59"/>
              <w:spacing w:beforeLines="0" w:afterLines="0" w:line="240" w:lineRule="auto"/>
              <w:rPr>
                <w:rFonts w:hint="default" w:ascii="Times New Roman" w:eastAsia="宋体"/>
                <w:color w:val="auto"/>
                <w:szCs w:val="21"/>
                <w:lang w:val="en-US" w:eastAsia="zh-CN" w:bidi="ar"/>
              </w:rPr>
            </w:pPr>
            <w:r>
              <w:rPr>
                <w:rFonts w:hint="eastAsia" w:ascii="Times New Roman" w:hAnsi="Times New Roman" w:eastAsia="宋体" w:cs="Times New Roman"/>
                <w:color w:val="auto"/>
                <w:sz w:val="21"/>
                <w:szCs w:val="21"/>
                <w:lang w:val="en-US" w:eastAsia="zh-CN"/>
              </w:rPr>
              <w:t>23.54</w:t>
            </w:r>
          </w:p>
        </w:tc>
        <w:tc>
          <w:tcPr>
            <w:tcW w:w="1711" w:type="dxa"/>
            <w:noWrap w:val="0"/>
            <w:vAlign w:val="center"/>
          </w:tcPr>
          <w:p w14:paraId="4E56BF71">
            <w:pPr>
              <w:pStyle w:val="59"/>
              <w:spacing w:beforeLines="0" w:afterLines="0" w:line="240" w:lineRule="auto"/>
              <w:rPr>
                <w:rFonts w:hint="eastAsia" w:ascii="Times New Roman" w:eastAsia="宋体"/>
                <w:color w:val="auto"/>
                <w:szCs w:val="21"/>
                <w:lang w:val="en-US" w:eastAsia="zh-CN" w:bidi="ar"/>
              </w:rPr>
            </w:pPr>
            <w:r>
              <w:rPr>
                <w:rFonts w:hint="eastAsia" w:ascii="Times New Roman"/>
                <w:color w:val="auto"/>
                <w:szCs w:val="21"/>
                <w:lang w:val="en-US" w:eastAsia="zh-CN" w:bidi="ar"/>
              </w:rPr>
              <w:t>/</w:t>
            </w:r>
          </w:p>
        </w:tc>
      </w:tr>
      <w:tr w14:paraId="63DB96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dxa"/>
            <w:vMerge w:val="continue"/>
            <w:noWrap w:val="0"/>
            <w:vAlign w:val="center"/>
          </w:tcPr>
          <w:p w14:paraId="69F20237">
            <w:pPr>
              <w:pStyle w:val="59"/>
              <w:spacing w:beforeLines="0" w:afterLines="0" w:line="240" w:lineRule="auto"/>
              <w:rPr>
                <w:rFonts w:ascii="Times New Roman"/>
                <w:snapToGrid w:val="0"/>
                <w:color w:val="auto"/>
                <w:kern w:val="21"/>
                <w:szCs w:val="21"/>
              </w:rPr>
            </w:pPr>
          </w:p>
        </w:tc>
        <w:tc>
          <w:tcPr>
            <w:tcW w:w="1963" w:type="dxa"/>
            <w:noWrap w:val="0"/>
            <w:vAlign w:val="center"/>
          </w:tcPr>
          <w:p w14:paraId="2CF8F78A">
            <w:pPr>
              <w:pStyle w:val="59"/>
              <w:spacing w:beforeLines="0" w:afterLines="0" w:line="240" w:lineRule="auto"/>
              <w:rPr>
                <w:rFonts w:ascii="Times New Roman"/>
                <w:color w:val="auto"/>
                <w:szCs w:val="21"/>
                <w:lang w:bidi="ar"/>
              </w:rPr>
            </w:pPr>
            <w:r>
              <w:rPr>
                <w:rFonts w:ascii="Times New Roman"/>
                <w:color w:val="auto"/>
                <w:szCs w:val="21"/>
                <w:lang w:bidi="ar"/>
              </w:rPr>
              <w:t>氮氧化物</w:t>
            </w:r>
          </w:p>
        </w:tc>
        <w:tc>
          <w:tcPr>
            <w:tcW w:w="1417" w:type="dxa"/>
            <w:noWrap w:val="0"/>
            <w:vAlign w:val="center"/>
          </w:tcPr>
          <w:p w14:paraId="00EF153F">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156" w:type="dxa"/>
            <w:noWrap w:val="0"/>
            <w:vAlign w:val="center"/>
          </w:tcPr>
          <w:p w14:paraId="52C5AAC1">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418" w:type="dxa"/>
            <w:noWrap w:val="0"/>
            <w:vAlign w:val="center"/>
          </w:tcPr>
          <w:p w14:paraId="355163ED">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noWrap w:val="0"/>
            <w:vAlign w:val="center"/>
          </w:tcPr>
          <w:p w14:paraId="0423B280">
            <w:pPr>
              <w:jc w:val="center"/>
              <w:rPr>
                <w:color w:val="auto"/>
                <w:kern w:val="0"/>
                <w:szCs w:val="21"/>
                <w:lang w:bidi="ar"/>
              </w:rPr>
            </w:pPr>
            <w:r>
              <w:rPr>
                <w:rFonts w:hint="eastAsia" w:ascii="Times New Roman" w:hAnsi="Times New Roman" w:eastAsia="宋体" w:cs="Times New Roman"/>
                <w:color w:val="auto"/>
                <w:sz w:val="21"/>
                <w:szCs w:val="21"/>
                <w:vertAlign w:val="baseline"/>
                <w:lang w:val="en-US" w:eastAsia="zh-CN"/>
              </w:rPr>
              <w:t>16.36</w:t>
            </w:r>
          </w:p>
        </w:tc>
        <w:tc>
          <w:tcPr>
            <w:tcW w:w="1559" w:type="dxa"/>
            <w:noWrap w:val="0"/>
            <w:vAlign w:val="center"/>
          </w:tcPr>
          <w:p w14:paraId="2B08C7F1">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01" w:type="dxa"/>
            <w:noWrap w:val="0"/>
            <w:vAlign w:val="center"/>
          </w:tcPr>
          <w:p w14:paraId="609F17B5">
            <w:pPr>
              <w:pStyle w:val="59"/>
              <w:spacing w:beforeLines="0" w:afterLines="0" w:line="240" w:lineRule="auto"/>
              <w:rPr>
                <w:rFonts w:ascii="Times New Roman"/>
                <w:color w:val="auto"/>
                <w:szCs w:val="21"/>
                <w:lang w:bidi="ar"/>
              </w:rPr>
            </w:pPr>
            <w:r>
              <w:rPr>
                <w:rFonts w:hint="eastAsia" w:ascii="Times New Roman" w:hAnsi="Times New Roman" w:eastAsia="宋体" w:cs="Times New Roman"/>
                <w:color w:val="auto"/>
                <w:sz w:val="21"/>
                <w:szCs w:val="21"/>
                <w:vertAlign w:val="baseline"/>
                <w:lang w:val="en-US" w:eastAsia="zh-CN"/>
              </w:rPr>
              <w:t>16.36</w:t>
            </w:r>
          </w:p>
        </w:tc>
        <w:tc>
          <w:tcPr>
            <w:tcW w:w="1711" w:type="dxa"/>
            <w:noWrap w:val="0"/>
            <w:vAlign w:val="center"/>
          </w:tcPr>
          <w:p w14:paraId="1ACE9EA3">
            <w:pPr>
              <w:pStyle w:val="59"/>
              <w:spacing w:beforeLines="0" w:afterLines="0" w:line="240" w:lineRule="auto"/>
              <w:rPr>
                <w:rFonts w:hint="eastAsia" w:ascii="Times New Roman" w:eastAsia="宋体"/>
                <w:color w:val="auto"/>
                <w:szCs w:val="21"/>
                <w:lang w:eastAsia="zh-CN" w:bidi="ar"/>
              </w:rPr>
            </w:pPr>
            <w:r>
              <w:rPr>
                <w:rFonts w:hint="eastAsia" w:ascii="Times New Roman"/>
                <w:color w:val="auto"/>
                <w:szCs w:val="21"/>
                <w:lang w:val="en-US" w:eastAsia="zh-CN" w:bidi="ar"/>
              </w:rPr>
              <w:t>/</w:t>
            </w:r>
          </w:p>
        </w:tc>
      </w:tr>
      <w:tr w14:paraId="205271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dxa"/>
            <w:vMerge w:val="continue"/>
            <w:noWrap w:val="0"/>
            <w:vAlign w:val="center"/>
          </w:tcPr>
          <w:p w14:paraId="23BC952D">
            <w:pPr>
              <w:pStyle w:val="59"/>
              <w:spacing w:beforeLines="0" w:afterLines="0" w:line="240" w:lineRule="auto"/>
              <w:rPr>
                <w:rFonts w:ascii="Times New Roman"/>
                <w:snapToGrid w:val="0"/>
                <w:color w:val="auto"/>
                <w:kern w:val="21"/>
                <w:szCs w:val="21"/>
              </w:rPr>
            </w:pPr>
          </w:p>
        </w:tc>
        <w:tc>
          <w:tcPr>
            <w:tcW w:w="1963" w:type="dxa"/>
            <w:noWrap w:val="0"/>
            <w:vAlign w:val="center"/>
          </w:tcPr>
          <w:p w14:paraId="0FC2B888">
            <w:pPr>
              <w:pStyle w:val="59"/>
              <w:spacing w:beforeLines="0" w:afterLines="0" w:line="240" w:lineRule="auto"/>
              <w:rPr>
                <w:rFonts w:ascii="Times New Roman"/>
                <w:color w:val="FF0000"/>
                <w:szCs w:val="21"/>
                <w:lang w:bidi="ar"/>
              </w:rPr>
            </w:pPr>
            <w:r>
              <w:rPr>
                <w:rFonts w:hint="default" w:ascii="Times New Roman" w:hAnsi="Times New Roman" w:eastAsia="宋体" w:cs="Times New Roman"/>
                <w:color w:val="FF0000"/>
                <w:sz w:val="21"/>
                <w:szCs w:val="21"/>
              </w:rPr>
              <w:t>挥发性有机物（非甲烷总烃）</w:t>
            </w:r>
          </w:p>
        </w:tc>
        <w:tc>
          <w:tcPr>
            <w:tcW w:w="1417" w:type="dxa"/>
            <w:noWrap w:val="0"/>
            <w:vAlign w:val="center"/>
          </w:tcPr>
          <w:p w14:paraId="55664E75">
            <w:pPr>
              <w:pStyle w:val="59"/>
              <w:spacing w:beforeLines="0" w:afterLines="0" w:line="240" w:lineRule="auto"/>
              <w:rPr>
                <w:rFonts w:ascii="Times New Roman"/>
                <w:snapToGrid w:val="0"/>
                <w:color w:val="FF0000"/>
                <w:kern w:val="21"/>
                <w:szCs w:val="21"/>
              </w:rPr>
            </w:pPr>
            <w:r>
              <w:rPr>
                <w:rFonts w:ascii="Times New Roman"/>
                <w:snapToGrid w:val="0"/>
                <w:color w:val="FF0000"/>
                <w:kern w:val="21"/>
                <w:szCs w:val="21"/>
              </w:rPr>
              <w:t>/</w:t>
            </w:r>
          </w:p>
        </w:tc>
        <w:tc>
          <w:tcPr>
            <w:tcW w:w="1156" w:type="dxa"/>
            <w:noWrap w:val="0"/>
            <w:vAlign w:val="center"/>
          </w:tcPr>
          <w:p w14:paraId="745D5B9B">
            <w:pPr>
              <w:pStyle w:val="59"/>
              <w:spacing w:beforeLines="0" w:afterLines="0" w:line="240" w:lineRule="auto"/>
              <w:rPr>
                <w:rFonts w:ascii="Times New Roman"/>
                <w:snapToGrid w:val="0"/>
                <w:color w:val="FF0000"/>
                <w:kern w:val="21"/>
                <w:szCs w:val="21"/>
              </w:rPr>
            </w:pPr>
            <w:r>
              <w:rPr>
                <w:rFonts w:ascii="Times New Roman"/>
                <w:snapToGrid w:val="0"/>
                <w:color w:val="FF0000"/>
                <w:kern w:val="21"/>
                <w:szCs w:val="21"/>
              </w:rPr>
              <w:t>/</w:t>
            </w:r>
          </w:p>
        </w:tc>
        <w:tc>
          <w:tcPr>
            <w:tcW w:w="1418" w:type="dxa"/>
            <w:noWrap w:val="0"/>
            <w:vAlign w:val="center"/>
          </w:tcPr>
          <w:p w14:paraId="647390B0">
            <w:pPr>
              <w:pStyle w:val="59"/>
              <w:spacing w:beforeLines="0" w:afterLines="0" w:line="240" w:lineRule="auto"/>
              <w:rPr>
                <w:rFonts w:ascii="Times New Roman"/>
                <w:snapToGrid w:val="0"/>
                <w:color w:val="FF0000"/>
                <w:kern w:val="21"/>
                <w:szCs w:val="21"/>
              </w:rPr>
            </w:pPr>
            <w:r>
              <w:rPr>
                <w:rFonts w:ascii="Times New Roman"/>
                <w:snapToGrid w:val="0"/>
                <w:color w:val="FF0000"/>
                <w:kern w:val="21"/>
                <w:szCs w:val="21"/>
              </w:rPr>
              <w:t>/</w:t>
            </w:r>
          </w:p>
        </w:tc>
        <w:tc>
          <w:tcPr>
            <w:tcW w:w="1559" w:type="dxa"/>
            <w:noWrap w:val="0"/>
            <w:vAlign w:val="center"/>
          </w:tcPr>
          <w:p w14:paraId="01952568">
            <w:pPr>
              <w:jc w:val="center"/>
              <w:rPr>
                <w:rFonts w:hint="default"/>
                <w:color w:val="FF0000"/>
                <w:kern w:val="0"/>
                <w:szCs w:val="21"/>
                <w:lang w:val="en-US" w:bidi="ar"/>
              </w:rPr>
            </w:pPr>
            <w:r>
              <w:rPr>
                <w:rFonts w:hint="eastAsia" w:cs="Times New Roman"/>
                <w:color w:val="FF0000"/>
                <w:sz w:val="21"/>
                <w:szCs w:val="21"/>
                <w:lang w:val="en-US" w:eastAsia="zh-CN"/>
              </w:rPr>
              <w:t>7.68</w:t>
            </w:r>
          </w:p>
        </w:tc>
        <w:tc>
          <w:tcPr>
            <w:tcW w:w="1559" w:type="dxa"/>
            <w:noWrap w:val="0"/>
            <w:vAlign w:val="center"/>
          </w:tcPr>
          <w:p w14:paraId="126F85E5">
            <w:pPr>
              <w:pStyle w:val="59"/>
              <w:spacing w:beforeLines="0" w:afterLines="0" w:line="240" w:lineRule="auto"/>
              <w:rPr>
                <w:rFonts w:ascii="Times New Roman"/>
                <w:snapToGrid w:val="0"/>
                <w:color w:val="FF0000"/>
                <w:kern w:val="21"/>
                <w:szCs w:val="21"/>
              </w:rPr>
            </w:pPr>
            <w:r>
              <w:rPr>
                <w:rFonts w:ascii="Times New Roman"/>
                <w:snapToGrid w:val="0"/>
                <w:color w:val="FF0000"/>
                <w:kern w:val="21"/>
                <w:szCs w:val="21"/>
              </w:rPr>
              <w:t>/</w:t>
            </w:r>
          </w:p>
        </w:tc>
        <w:tc>
          <w:tcPr>
            <w:tcW w:w="1701" w:type="dxa"/>
            <w:noWrap w:val="0"/>
            <w:vAlign w:val="center"/>
          </w:tcPr>
          <w:p w14:paraId="1EEB70F4">
            <w:pPr>
              <w:pStyle w:val="59"/>
              <w:spacing w:beforeLines="0" w:afterLines="0" w:line="240" w:lineRule="auto"/>
              <w:rPr>
                <w:rFonts w:hint="default" w:ascii="Times New Roman"/>
                <w:color w:val="FF0000"/>
                <w:szCs w:val="21"/>
                <w:lang w:val="en-US" w:bidi="ar"/>
              </w:rPr>
            </w:pPr>
            <w:r>
              <w:rPr>
                <w:rFonts w:hint="eastAsia" w:ascii="Times New Roman" w:cs="Times New Roman"/>
                <w:color w:val="FF0000"/>
                <w:sz w:val="21"/>
                <w:szCs w:val="21"/>
                <w:lang w:val="en-US" w:eastAsia="zh-CN"/>
              </w:rPr>
              <w:t>2.304</w:t>
            </w:r>
          </w:p>
        </w:tc>
        <w:tc>
          <w:tcPr>
            <w:tcW w:w="1711" w:type="dxa"/>
            <w:noWrap w:val="0"/>
            <w:vAlign w:val="center"/>
          </w:tcPr>
          <w:p w14:paraId="1B8447FC">
            <w:pPr>
              <w:pStyle w:val="59"/>
              <w:spacing w:beforeLines="0" w:afterLines="0" w:line="240" w:lineRule="auto"/>
              <w:rPr>
                <w:rFonts w:hint="eastAsia" w:ascii="Times New Roman" w:eastAsia="宋体"/>
                <w:color w:val="auto"/>
                <w:szCs w:val="21"/>
                <w:lang w:eastAsia="zh-CN" w:bidi="ar"/>
              </w:rPr>
            </w:pPr>
            <w:r>
              <w:rPr>
                <w:rFonts w:hint="eastAsia" w:ascii="Times New Roman"/>
                <w:color w:val="auto"/>
                <w:szCs w:val="21"/>
                <w:lang w:val="en-US" w:eastAsia="zh-CN" w:bidi="ar"/>
              </w:rPr>
              <w:t>/</w:t>
            </w:r>
          </w:p>
        </w:tc>
      </w:tr>
      <w:tr w14:paraId="4AAD2C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dxa"/>
            <w:vMerge w:val="restart"/>
            <w:noWrap w:val="0"/>
            <w:vAlign w:val="center"/>
          </w:tcPr>
          <w:p w14:paraId="07A3311A">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废水</w:t>
            </w:r>
          </w:p>
        </w:tc>
        <w:tc>
          <w:tcPr>
            <w:tcW w:w="1963" w:type="dxa"/>
            <w:noWrap w:val="0"/>
            <w:vAlign w:val="center"/>
          </w:tcPr>
          <w:p w14:paraId="79D8F379">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生活污水</w:t>
            </w:r>
          </w:p>
        </w:tc>
        <w:tc>
          <w:tcPr>
            <w:tcW w:w="1417" w:type="dxa"/>
            <w:noWrap w:val="0"/>
            <w:vAlign w:val="center"/>
          </w:tcPr>
          <w:p w14:paraId="6AAB57DB">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156" w:type="dxa"/>
            <w:noWrap w:val="0"/>
            <w:vAlign w:val="center"/>
          </w:tcPr>
          <w:p w14:paraId="3B4871EF">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418" w:type="dxa"/>
            <w:noWrap w:val="0"/>
            <w:vAlign w:val="center"/>
          </w:tcPr>
          <w:p w14:paraId="73A57AFA">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noWrap w:val="0"/>
            <w:vAlign w:val="center"/>
          </w:tcPr>
          <w:p w14:paraId="4FD24B3F">
            <w:pPr>
              <w:jc w:val="center"/>
              <w:rPr>
                <w:rFonts w:hint="eastAsia" w:eastAsia="宋体"/>
                <w:color w:val="auto"/>
                <w:szCs w:val="21"/>
                <w:lang w:eastAsia="zh-CN"/>
              </w:rPr>
            </w:pPr>
            <w:r>
              <w:rPr>
                <w:rFonts w:hint="eastAsia"/>
                <w:color w:val="auto"/>
                <w:szCs w:val="21"/>
                <w:lang w:eastAsia="zh-CN"/>
              </w:rPr>
              <w:t>/</w:t>
            </w:r>
          </w:p>
        </w:tc>
        <w:tc>
          <w:tcPr>
            <w:tcW w:w="1559" w:type="dxa"/>
            <w:noWrap w:val="0"/>
            <w:vAlign w:val="center"/>
          </w:tcPr>
          <w:p w14:paraId="7852FC92">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01" w:type="dxa"/>
            <w:noWrap w:val="0"/>
            <w:vAlign w:val="center"/>
          </w:tcPr>
          <w:p w14:paraId="35EC262A">
            <w:pPr>
              <w:pStyle w:val="59"/>
              <w:spacing w:beforeLines="0" w:afterLines="0" w:line="240" w:lineRule="auto"/>
              <w:rPr>
                <w:color w:val="auto"/>
                <w:szCs w:val="21"/>
              </w:rPr>
            </w:pPr>
            <w:r>
              <w:rPr>
                <w:rFonts w:ascii="Times New Roman"/>
                <w:snapToGrid w:val="0"/>
                <w:color w:val="auto"/>
                <w:kern w:val="21"/>
                <w:szCs w:val="21"/>
              </w:rPr>
              <w:t>/</w:t>
            </w:r>
          </w:p>
        </w:tc>
        <w:tc>
          <w:tcPr>
            <w:tcW w:w="1711" w:type="dxa"/>
            <w:noWrap w:val="0"/>
            <w:vAlign w:val="center"/>
          </w:tcPr>
          <w:p w14:paraId="49B0AA8E">
            <w:pPr>
              <w:pStyle w:val="59"/>
              <w:spacing w:beforeLines="0" w:afterLines="0" w:line="240" w:lineRule="auto"/>
              <w:rPr>
                <w:color w:val="auto"/>
                <w:szCs w:val="21"/>
              </w:rPr>
            </w:pPr>
            <w:r>
              <w:rPr>
                <w:rFonts w:ascii="Times New Roman"/>
                <w:snapToGrid w:val="0"/>
                <w:color w:val="auto"/>
                <w:kern w:val="21"/>
                <w:szCs w:val="21"/>
              </w:rPr>
              <w:t>/</w:t>
            </w:r>
          </w:p>
        </w:tc>
      </w:tr>
      <w:tr w14:paraId="356FEC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dxa"/>
            <w:vMerge w:val="continue"/>
            <w:noWrap w:val="0"/>
            <w:vAlign w:val="center"/>
          </w:tcPr>
          <w:p w14:paraId="3F7ADE88">
            <w:pPr>
              <w:pStyle w:val="59"/>
              <w:spacing w:beforeLines="0" w:afterLines="0" w:line="240" w:lineRule="auto"/>
              <w:rPr>
                <w:rFonts w:ascii="Times New Roman"/>
                <w:snapToGrid w:val="0"/>
                <w:color w:val="auto"/>
                <w:kern w:val="21"/>
                <w:szCs w:val="21"/>
              </w:rPr>
            </w:pPr>
          </w:p>
        </w:tc>
        <w:tc>
          <w:tcPr>
            <w:tcW w:w="1963" w:type="dxa"/>
            <w:noWrap w:val="0"/>
            <w:vAlign w:val="center"/>
          </w:tcPr>
          <w:p w14:paraId="3B0BD31E">
            <w:pPr>
              <w:pStyle w:val="59"/>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417" w:type="dxa"/>
            <w:noWrap w:val="0"/>
            <w:vAlign w:val="center"/>
          </w:tcPr>
          <w:p w14:paraId="07A4421B">
            <w:pPr>
              <w:pStyle w:val="59"/>
              <w:spacing w:beforeLines="0" w:afterLines="0" w:line="240" w:lineRule="auto"/>
              <w:rPr>
                <w:rFonts w:hint="default" w:ascii="Times New Roman"/>
                <w:snapToGrid w:val="0"/>
                <w:color w:val="auto"/>
                <w:kern w:val="21"/>
                <w:szCs w:val="21"/>
                <w:lang w:val="en-US"/>
              </w:rPr>
            </w:pPr>
          </w:p>
        </w:tc>
        <w:tc>
          <w:tcPr>
            <w:tcW w:w="1156" w:type="dxa"/>
            <w:noWrap w:val="0"/>
            <w:vAlign w:val="center"/>
          </w:tcPr>
          <w:p w14:paraId="088B2288">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418" w:type="dxa"/>
            <w:noWrap w:val="0"/>
            <w:vAlign w:val="center"/>
          </w:tcPr>
          <w:p w14:paraId="65E8550A">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noWrap w:val="0"/>
            <w:vAlign w:val="center"/>
          </w:tcPr>
          <w:p w14:paraId="5C559EAB">
            <w:pPr>
              <w:jc w:val="center"/>
              <w:rPr>
                <w:rFonts w:hint="eastAsia" w:eastAsia="宋体"/>
                <w:color w:val="auto"/>
                <w:szCs w:val="21"/>
                <w:lang w:val="en-US" w:eastAsia="zh-CN"/>
              </w:rPr>
            </w:pPr>
            <w:r>
              <w:rPr>
                <w:rFonts w:hint="eastAsia"/>
                <w:color w:val="auto"/>
                <w:szCs w:val="21"/>
                <w:lang w:val="en-US" w:eastAsia="zh-CN"/>
              </w:rPr>
              <w:t>/</w:t>
            </w:r>
          </w:p>
        </w:tc>
        <w:tc>
          <w:tcPr>
            <w:tcW w:w="1559" w:type="dxa"/>
            <w:noWrap w:val="0"/>
            <w:vAlign w:val="center"/>
          </w:tcPr>
          <w:p w14:paraId="00B0F0F6">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01" w:type="dxa"/>
            <w:noWrap w:val="0"/>
            <w:vAlign w:val="center"/>
          </w:tcPr>
          <w:p w14:paraId="6BD6F98F">
            <w:pPr>
              <w:pStyle w:val="59"/>
              <w:spacing w:beforeLines="0" w:afterLines="0" w:line="240" w:lineRule="auto"/>
              <w:rPr>
                <w:color w:val="auto"/>
                <w:szCs w:val="21"/>
              </w:rPr>
            </w:pPr>
            <w:r>
              <w:rPr>
                <w:rFonts w:ascii="Times New Roman"/>
                <w:snapToGrid w:val="0"/>
                <w:color w:val="auto"/>
                <w:kern w:val="21"/>
                <w:szCs w:val="21"/>
              </w:rPr>
              <w:t>/</w:t>
            </w:r>
          </w:p>
        </w:tc>
        <w:tc>
          <w:tcPr>
            <w:tcW w:w="1711" w:type="dxa"/>
            <w:noWrap w:val="0"/>
            <w:vAlign w:val="center"/>
          </w:tcPr>
          <w:p w14:paraId="6797D65B">
            <w:pPr>
              <w:pStyle w:val="59"/>
              <w:spacing w:beforeLines="0" w:afterLines="0" w:line="240" w:lineRule="auto"/>
              <w:rPr>
                <w:color w:val="auto"/>
                <w:szCs w:val="21"/>
              </w:rPr>
            </w:pPr>
            <w:r>
              <w:rPr>
                <w:rFonts w:ascii="Times New Roman"/>
                <w:snapToGrid w:val="0"/>
                <w:color w:val="auto"/>
                <w:kern w:val="21"/>
                <w:szCs w:val="21"/>
              </w:rPr>
              <w:t>/</w:t>
            </w:r>
          </w:p>
        </w:tc>
      </w:tr>
      <w:tr w14:paraId="0B37BF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dxa"/>
            <w:vMerge w:val="restart"/>
            <w:noWrap w:val="0"/>
            <w:vAlign w:val="center"/>
          </w:tcPr>
          <w:p w14:paraId="05E7651A">
            <w:pPr>
              <w:pStyle w:val="59"/>
              <w:spacing w:beforeLines="0" w:afterLines="0" w:line="240" w:lineRule="auto"/>
              <w:rPr>
                <w:rFonts w:hint="eastAsia" w:ascii="Times New Roman" w:eastAsia="宋体"/>
                <w:snapToGrid w:val="0"/>
                <w:color w:val="auto"/>
                <w:kern w:val="21"/>
                <w:szCs w:val="21"/>
                <w:lang w:eastAsia="zh-CN"/>
              </w:rPr>
            </w:pPr>
            <w:r>
              <w:rPr>
                <w:rFonts w:hint="eastAsia" w:ascii="Times New Roman"/>
                <w:snapToGrid w:val="0"/>
                <w:color w:val="auto"/>
                <w:kern w:val="21"/>
                <w:szCs w:val="21"/>
                <w:lang w:eastAsia="zh-CN"/>
              </w:rPr>
              <w:t>固废</w:t>
            </w:r>
          </w:p>
        </w:tc>
        <w:tc>
          <w:tcPr>
            <w:tcW w:w="1963" w:type="dxa"/>
            <w:noWrap w:val="0"/>
            <w:vAlign w:val="center"/>
          </w:tcPr>
          <w:p w14:paraId="24E85DA2">
            <w:pPr>
              <w:adjustRightInd w:val="0"/>
              <w:snapToGrid w:val="0"/>
              <w:jc w:val="center"/>
              <w:rPr>
                <w:color w:val="auto"/>
                <w:szCs w:val="21"/>
              </w:rPr>
            </w:pPr>
            <w:r>
              <w:rPr>
                <w:color w:val="auto"/>
                <w:szCs w:val="21"/>
              </w:rPr>
              <w:t>不合格品</w:t>
            </w:r>
          </w:p>
        </w:tc>
        <w:tc>
          <w:tcPr>
            <w:tcW w:w="1417" w:type="dxa"/>
            <w:noWrap w:val="0"/>
            <w:vAlign w:val="center"/>
          </w:tcPr>
          <w:p w14:paraId="04C2F4B4">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156" w:type="dxa"/>
            <w:noWrap w:val="0"/>
            <w:vAlign w:val="center"/>
          </w:tcPr>
          <w:p w14:paraId="6B396F6C">
            <w:pPr>
              <w:jc w:val="center"/>
              <w:rPr>
                <w:snapToGrid w:val="0"/>
                <w:color w:val="auto"/>
                <w:kern w:val="21"/>
                <w:szCs w:val="21"/>
              </w:rPr>
            </w:pPr>
            <w:r>
              <w:rPr>
                <w:snapToGrid w:val="0"/>
                <w:color w:val="auto"/>
                <w:kern w:val="21"/>
                <w:szCs w:val="21"/>
              </w:rPr>
              <w:t>/</w:t>
            </w:r>
          </w:p>
        </w:tc>
        <w:tc>
          <w:tcPr>
            <w:tcW w:w="1418" w:type="dxa"/>
            <w:noWrap w:val="0"/>
            <w:vAlign w:val="center"/>
          </w:tcPr>
          <w:p w14:paraId="73049A57">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noWrap w:val="0"/>
            <w:vAlign w:val="center"/>
          </w:tcPr>
          <w:p w14:paraId="788E82A6">
            <w:pPr>
              <w:adjustRightInd w:val="0"/>
              <w:snapToGrid w:val="0"/>
              <w:jc w:val="center"/>
              <w:rPr>
                <w:rFonts w:hint="default" w:eastAsia="宋体"/>
                <w:color w:val="auto"/>
                <w:szCs w:val="21"/>
                <w:lang w:val="en-US" w:eastAsia="zh-CN"/>
              </w:rPr>
            </w:pPr>
            <w:r>
              <w:rPr>
                <w:rFonts w:hint="eastAsia"/>
                <w:color w:val="auto"/>
                <w:szCs w:val="21"/>
                <w:lang w:val="en-US" w:eastAsia="zh-CN"/>
              </w:rPr>
              <w:t>19.2</w:t>
            </w:r>
          </w:p>
        </w:tc>
        <w:tc>
          <w:tcPr>
            <w:tcW w:w="1559" w:type="dxa"/>
            <w:noWrap w:val="0"/>
            <w:vAlign w:val="center"/>
          </w:tcPr>
          <w:p w14:paraId="6819850C">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01" w:type="dxa"/>
            <w:noWrap w:val="0"/>
            <w:vAlign w:val="center"/>
          </w:tcPr>
          <w:p w14:paraId="45DC447E">
            <w:pPr>
              <w:adjustRightInd w:val="0"/>
              <w:snapToGrid w:val="0"/>
              <w:jc w:val="center"/>
              <w:rPr>
                <w:rFonts w:hint="default" w:eastAsia="宋体"/>
                <w:color w:val="auto"/>
                <w:szCs w:val="21"/>
                <w:lang w:val="en-US" w:eastAsia="zh-CN"/>
              </w:rPr>
            </w:pPr>
            <w:r>
              <w:rPr>
                <w:rFonts w:hint="eastAsia"/>
                <w:color w:val="auto"/>
                <w:szCs w:val="21"/>
                <w:lang w:val="en-US" w:eastAsia="zh-CN"/>
              </w:rPr>
              <w:t>19.2</w:t>
            </w:r>
          </w:p>
        </w:tc>
        <w:tc>
          <w:tcPr>
            <w:tcW w:w="1711" w:type="dxa"/>
            <w:noWrap w:val="0"/>
            <w:vAlign w:val="center"/>
          </w:tcPr>
          <w:p w14:paraId="14872FF4">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r>
      <w:tr w14:paraId="408B90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dxa"/>
            <w:vMerge w:val="continue"/>
            <w:noWrap w:val="0"/>
            <w:vAlign w:val="center"/>
          </w:tcPr>
          <w:p w14:paraId="5B6C7B08">
            <w:pPr>
              <w:pStyle w:val="59"/>
              <w:spacing w:beforeLines="0" w:afterLines="0" w:line="240" w:lineRule="auto"/>
              <w:rPr>
                <w:rFonts w:ascii="Times New Roman"/>
                <w:snapToGrid w:val="0"/>
                <w:color w:val="auto"/>
                <w:kern w:val="21"/>
                <w:szCs w:val="21"/>
              </w:rPr>
            </w:pPr>
          </w:p>
        </w:tc>
        <w:tc>
          <w:tcPr>
            <w:tcW w:w="1963" w:type="dxa"/>
            <w:noWrap w:val="0"/>
            <w:vAlign w:val="center"/>
          </w:tcPr>
          <w:p w14:paraId="69807B95">
            <w:pPr>
              <w:adjustRightInd w:val="0"/>
              <w:snapToGrid w:val="0"/>
              <w:jc w:val="center"/>
              <w:rPr>
                <w:rFonts w:hint="default" w:eastAsia="宋体"/>
                <w:color w:val="auto"/>
                <w:szCs w:val="21"/>
                <w:lang w:val="en-US" w:eastAsia="zh-CN"/>
              </w:rPr>
            </w:pPr>
            <w:r>
              <w:rPr>
                <w:rFonts w:hint="eastAsia"/>
                <w:color w:val="auto"/>
                <w:szCs w:val="21"/>
                <w:lang w:val="en-US" w:eastAsia="zh-CN"/>
              </w:rPr>
              <w:t>布袋除尘回收粉尘</w:t>
            </w:r>
          </w:p>
        </w:tc>
        <w:tc>
          <w:tcPr>
            <w:tcW w:w="1417" w:type="dxa"/>
            <w:noWrap w:val="0"/>
            <w:vAlign w:val="center"/>
          </w:tcPr>
          <w:p w14:paraId="5CF1E701">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156" w:type="dxa"/>
            <w:noWrap w:val="0"/>
            <w:vAlign w:val="center"/>
          </w:tcPr>
          <w:p w14:paraId="4E207364">
            <w:pPr>
              <w:jc w:val="center"/>
              <w:rPr>
                <w:snapToGrid w:val="0"/>
                <w:color w:val="auto"/>
                <w:kern w:val="21"/>
                <w:szCs w:val="21"/>
              </w:rPr>
            </w:pPr>
            <w:r>
              <w:rPr>
                <w:snapToGrid w:val="0"/>
                <w:color w:val="auto"/>
                <w:kern w:val="21"/>
                <w:szCs w:val="21"/>
              </w:rPr>
              <w:t>/</w:t>
            </w:r>
          </w:p>
        </w:tc>
        <w:tc>
          <w:tcPr>
            <w:tcW w:w="1418" w:type="dxa"/>
            <w:noWrap w:val="0"/>
            <w:vAlign w:val="center"/>
          </w:tcPr>
          <w:p w14:paraId="4E76118F">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noWrap w:val="0"/>
            <w:vAlign w:val="center"/>
          </w:tcPr>
          <w:p w14:paraId="3F720A2C">
            <w:pPr>
              <w:adjustRightInd w:val="0"/>
              <w:snapToGrid w:val="0"/>
              <w:jc w:val="center"/>
              <w:rPr>
                <w:rFonts w:hint="default" w:eastAsia="宋体"/>
                <w:color w:val="auto"/>
                <w:szCs w:val="21"/>
                <w:lang w:val="en-US" w:eastAsia="zh-CN"/>
              </w:rPr>
            </w:pPr>
            <w:r>
              <w:rPr>
                <w:rFonts w:hint="eastAsia"/>
                <w:color w:val="auto"/>
                <w:szCs w:val="21"/>
                <w:lang w:val="en-US" w:eastAsia="zh-CN"/>
              </w:rPr>
              <w:t>557.3</w:t>
            </w:r>
          </w:p>
        </w:tc>
        <w:tc>
          <w:tcPr>
            <w:tcW w:w="1559" w:type="dxa"/>
            <w:noWrap w:val="0"/>
            <w:vAlign w:val="center"/>
          </w:tcPr>
          <w:p w14:paraId="0C37C1C7">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01" w:type="dxa"/>
            <w:noWrap w:val="0"/>
            <w:vAlign w:val="center"/>
          </w:tcPr>
          <w:p w14:paraId="44F111C4">
            <w:pPr>
              <w:adjustRightInd w:val="0"/>
              <w:snapToGrid w:val="0"/>
              <w:jc w:val="center"/>
              <w:rPr>
                <w:rFonts w:hint="default"/>
                <w:color w:val="auto"/>
                <w:szCs w:val="21"/>
                <w:lang w:val="en-US"/>
              </w:rPr>
            </w:pPr>
            <w:r>
              <w:rPr>
                <w:rFonts w:hint="eastAsia"/>
                <w:color w:val="auto"/>
                <w:szCs w:val="21"/>
                <w:lang w:val="en-US" w:eastAsia="zh-CN"/>
              </w:rPr>
              <w:t>557.3</w:t>
            </w:r>
          </w:p>
        </w:tc>
        <w:tc>
          <w:tcPr>
            <w:tcW w:w="1711" w:type="dxa"/>
            <w:noWrap w:val="0"/>
            <w:vAlign w:val="center"/>
          </w:tcPr>
          <w:p w14:paraId="79A62A4E">
            <w:pPr>
              <w:adjustRightInd w:val="0"/>
              <w:snapToGrid w:val="0"/>
              <w:jc w:val="center"/>
              <w:rPr>
                <w:rFonts w:hint="eastAsia" w:eastAsia="宋体"/>
                <w:color w:val="auto"/>
                <w:szCs w:val="21"/>
                <w:lang w:eastAsia="zh-CN"/>
              </w:rPr>
            </w:pPr>
            <w:r>
              <w:rPr>
                <w:rFonts w:hint="eastAsia"/>
                <w:color w:val="auto"/>
                <w:szCs w:val="21"/>
                <w:lang w:val="en-US" w:eastAsia="zh-CN"/>
              </w:rPr>
              <w:t>/</w:t>
            </w:r>
          </w:p>
        </w:tc>
      </w:tr>
      <w:tr w14:paraId="182388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dxa"/>
            <w:vMerge w:val="continue"/>
            <w:noWrap w:val="0"/>
            <w:vAlign w:val="center"/>
          </w:tcPr>
          <w:p w14:paraId="5F0365CB">
            <w:pPr>
              <w:pStyle w:val="59"/>
              <w:spacing w:beforeLines="0" w:afterLines="0" w:line="240" w:lineRule="auto"/>
              <w:rPr>
                <w:rFonts w:ascii="Times New Roman"/>
                <w:snapToGrid w:val="0"/>
                <w:color w:val="auto"/>
                <w:kern w:val="21"/>
                <w:szCs w:val="21"/>
              </w:rPr>
            </w:pPr>
          </w:p>
        </w:tc>
        <w:tc>
          <w:tcPr>
            <w:tcW w:w="1963" w:type="dxa"/>
            <w:noWrap w:val="0"/>
            <w:vAlign w:val="center"/>
          </w:tcPr>
          <w:p w14:paraId="2E6CF496">
            <w:pPr>
              <w:adjustRightInd w:val="0"/>
              <w:snapToGrid w:val="0"/>
              <w:jc w:val="center"/>
              <w:rPr>
                <w:color w:val="auto"/>
                <w:szCs w:val="21"/>
              </w:rPr>
            </w:pPr>
            <w:r>
              <w:rPr>
                <w:color w:val="auto"/>
                <w:szCs w:val="21"/>
              </w:rPr>
              <w:t>炉渣</w:t>
            </w:r>
          </w:p>
        </w:tc>
        <w:tc>
          <w:tcPr>
            <w:tcW w:w="1417" w:type="dxa"/>
            <w:noWrap w:val="0"/>
            <w:vAlign w:val="center"/>
          </w:tcPr>
          <w:p w14:paraId="470A0F2C">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156" w:type="dxa"/>
            <w:noWrap w:val="0"/>
            <w:vAlign w:val="center"/>
          </w:tcPr>
          <w:p w14:paraId="570CC944">
            <w:pPr>
              <w:jc w:val="center"/>
              <w:rPr>
                <w:snapToGrid w:val="0"/>
                <w:color w:val="auto"/>
                <w:kern w:val="21"/>
                <w:szCs w:val="21"/>
              </w:rPr>
            </w:pPr>
            <w:r>
              <w:rPr>
                <w:snapToGrid w:val="0"/>
                <w:color w:val="auto"/>
                <w:kern w:val="21"/>
                <w:szCs w:val="21"/>
              </w:rPr>
              <w:t>/</w:t>
            </w:r>
          </w:p>
        </w:tc>
        <w:tc>
          <w:tcPr>
            <w:tcW w:w="1418" w:type="dxa"/>
            <w:noWrap w:val="0"/>
            <w:vAlign w:val="center"/>
          </w:tcPr>
          <w:p w14:paraId="673B1223">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noWrap w:val="0"/>
            <w:vAlign w:val="center"/>
          </w:tcPr>
          <w:p w14:paraId="5E25610F">
            <w:pPr>
              <w:adjustRightInd w:val="0"/>
              <w:snapToGrid w:val="0"/>
              <w:jc w:val="center"/>
              <w:rPr>
                <w:rFonts w:hint="default" w:eastAsia="宋体"/>
                <w:color w:val="auto"/>
                <w:szCs w:val="21"/>
                <w:lang w:val="en-US" w:eastAsia="zh-CN"/>
              </w:rPr>
            </w:pPr>
            <w:r>
              <w:rPr>
                <w:rFonts w:hint="eastAsia"/>
                <w:color w:val="auto"/>
                <w:szCs w:val="21"/>
                <w:lang w:val="en-US" w:eastAsia="zh-CN"/>
              </w:rPr>
              <w:t>32.64</w:t>
            </w:r>
          </w:p>
        </w:tc>
        <w:tc>
          <w:tcPr>
            <w:tcW w:w="1559" w:type="dxa"/>
            <w:noWrap w:val="0"/>
            <w:vAlign w:val="center"/>
          </w:tcPr>
          <w:p w14:paraId="66297C79">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01" w:type="dxa"/>
            <w:noWrap w:val="0"/>
            <w:vAlign w:val="center"/>
          </w:tcPr>
          <w:p w14:paraId="3CD6F258">
            <w:pPr>
              <w:adjustRightInd w:val="0"/>
              <w:snapToGrid w:val="0"/>
              <w:jc w:val="center"/>
              <w:rPr>
                <w:rFonts w:hint="default"/>
                <w:color w:val="auto"/>
                <w:szCs w:val="21"/>
                <w:lang w:val="en-US"/>
              </w:rPr>
            </w:pPr>
            <w:r>
              <w:rPr>
                <w:rFonts w:hint="eastAsia"/>
                <w:color w:val="auto"/>
                <w:szCs w:val="21"/>
                <w:lang w:val="en-US" w:eastAsia="zh-CN"/>
              </w:rPr>
              <w:t>32.64</w:t>
            </w:r>
          </w:p>
        </w:tc>
        <w:tc>
          <w:tcPr>
            <w:tcW w:w="1711" w:type="dxa"/>
            <w:noWrap w:val="0"/>
            <w:vAlign w:val="center"/>
          </w:tcPr>
          <w:p w14:paraId="706918E8">
            <w:pPr>
              <w:adjustRightInd w:val="0"/>
              <w:snapToGrid w:val="0"/>
              <w:jc w:val="center"/>
              <w:rPr>
                <w:rFonts w:hint="eastAsia" w:eastAsia="宋体"/>
                <w:color w:val="auto"/>
                <w:szCs w:val="21"/>
                <w:lang w:eastAsia="zh-CN"/>
              </w:rPr>
            </w:pPr>
            <w:r>
              <w:rPr>
                <w:rFonts w:hint="eastAsia"/>
                <w:color w:val="auto"/>
                <w:szCs w:val="21"/>
                <w:lang w:val="en-US" w:eastAsia="zh-CN"/>
              </w:rPr>
              <w:t>/</w:t>
            </w:r>
          </w:p>
        </w:tc>
      </w:tr>
      <w:tr w14:paraId="6AE972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dxa"/>
            <w:vMerge w:val="restart"/>
            <w:noWrap w:val="0"/>
            <w:vAlign w:val="center"/>
          </w:tcPr>
          <w:p w14:paraId="17ABCD19">
            <w:pPr>
              <w:pStyle w:val="59"/>
              <w:spacing w:before="24" w:after="24" w:line="240" w:lineRule="auto"/>
              <w:rPr>
                <w:rFonts w:ascii="Times New Roman"/>
                <w:snapToGrid w:val="0"/>
                <w:color w:val="auto"/>
                <w:kern w:val="21"/>
                <w:szCs w:val="21"/>
              </w:rPr>
            </w:pPr>
            <w:r>
              <w:rPr>
                <w:rFonts w:ascii="Times New Roman"/>
                <w:snapToGrid w:val="0"/>
                <w:color w:val="auto"/>
                <w:kern w:val="21"/>
                <w:szCs w:val="21"/>
              </w:rPr>
              <w:t>危险废物</w:t>
            </w:r>
          </w:p>
        </w:tc>
        <w:tc>
          <w:tcPr>
            <w:tcW w:w="1963" w:type="dxa"/>
            <w:noWrap w:val="0"/>
            <w:vAlign w:val="center"/>
          </w:tcPr>
          <w:p w14:paraId="5177679F">
            <w:pPr>
              <w:adjustRightInd w:val="0"/>
              <w:snapToGrid w:val="0"/>
              <w:jc w:val="center"/>
              <w:rPr>
                <w:rFonts w:hint="eastAsia" w:eastAsia="宋体"/>
                <w:color w:val="auto"/>
                <w:szCs w:val="21"/>
                <w:lang w:eastAsia="zh-CN"/>
              </w:rPr>
            </w:pPr>
            <w:r>
              <w:rPr>
                <w:bCs/>
                <w:color w:val="auto"/>
                <w:szCs w:val="21"/>
              </w:rPr>
              <w:t>废</w:t>
            </w:r>
            <w:r>
              <w:rPr>
                <w:rFonts w:hint="eastAsia"/>
                <w:bCs/>
                <w:color w:val="auto"/>
                <w:szCs w:val="21"/>
                <w:lang w:val="en-US" w:eastAsia="zh-CN"/>
              </w:rPr>
              <w:t>机油</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56E6ACAE">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156" w:type="dxa"/>
            <w:noWrap w:val="0"/>
            <w:vAlign w:val="center"/>
          </w:tcPr>
          <w:p w14:paraId="17BAEF16">
            <w:pPr>
              <w:jc w:val="center"/>
              <w:rPr>
                <w:snapToGrid w:val="0"/>
                <w:color w:val="auto"/>
                <w:kern w:val="21"/>
                <w:szCs w:val="21"/>
              </w:rPr>
            </w:pPr>
            <w:r>
              <w:rPr>
                <w:snapToGrid w:val="0"/>
                <w:color w:val="auto"/>
                <w:kern w:val="21"/>
                <w:szCs w:val="21"/>
              </w:rPr>
              <w:t>/</w:t>
            </w:r>
          </w:p>
        </w:tc>
        <w:tc>
          <w:tcPr>
            <w:tcW w:w="1418" w:type="dxa"/>
            <w:noWrap w:val="0"/>
            <w:vAlign w:val="center"/>
          </w:tcPr>
          <w:p w14:paraId="3657AE36">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noWrap w:val="0"/>
            <w:vAlign w:val="center"/>
          </w:tcPr>
          <w:p w14:paraId="563734CD">
            <w:pPr>
              <w:adjustRightInd w:val="0"/>
              <w:snapToGrid w:val="0"/>
              <w:jc w:val="center"/>
              <w:rPr>
                <w:rFonts w:hint="eastAsia" w:eastAsia="宋体"/>
                <w:color w:val="auto"/>
                <w:szCs w:val="21"/>
                <w:lang w:val="en-US" w:eastAsia="zh-CN"/>
              </w:rPr>
            </w:pPr>
            <w:r>
              <w:rPr>
                <w:color w:val="auto"/>
                <w:szCs w:val="21"/>
              </w:rPr>
              <w:t>0.</w:t>
            </w:r>
            <w:r>
              <w:rPr>
                <w:rFonts w:hint="eastAsia"/>
                <w:color w:val="auto"/>
                <w:szCs w:val="21"/>
              </w:rPr>
              <w:t>0</w:t>
            </w:r>
            <w:r>
              <w:rPr>
                <w:rFonts w:hint="eastAsia"/>
                <w:color w:val="auto"/>
                <w:szCs w:val="21"/>
                <w:lang w:val="en-US" w:eastAsia="zh-CN"/>
              </w:rPr>
              <w:t>5</w:t>
            </w:r>
          </w:p>
        </w:tc>
        <w:tc>
          <w:tcPr>
            <w:tcW w:w="1559" w:type="dxa"/>
            <w:noWrap w:val="0"/>
            <w:vAlign w:val="center"/>
          </w:tcPr>
          <w:p w14:paraId="4F942934">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01" w:type="dxa"/>
            <w:noWrap w:val="0"/>
            <w:vAlign w:val="center"/>
          </w:tcPr>
          <w:p w14:paraId="64B25986">
            <w:pPr>
              <w:adjustRightInd w:val="0"/>
              <w:snapToGrid w:val="0"/>
              <w:jc w:val="center"/>
              <w:rPr>
                <w:rFonts w:hint="eastAsia" w:eastAsia="宋体"/>
                <w:color w:val="auto"/>
                <w:szCs w:val="21"/>
                <w:lang w:val="en-US" w:eastAsia="zh-CN"/>
              </w:rPr>
            </w:pPr>
            <w:r>
              <w:rPr>
                <w:color w:val="auto"/>
                <w:szCs w:val="21"/>
              </w:rPr>
              <w:t>0.</w:t>
            </w:r>
            <w:r>
              <w:rPr>
                <w:rFonts w:hint="eastAsia"/>
                <w:color w:val="auto"/>
                <w:szCs w:val="21"/>
              </w:rPr>
              <w:t>0</w:t>
            </w:r>
            <w:r>
              <w:rPr>
                <w:rFonts w:hint="eastAsia"/>
                <w:color w:val="auto"/>
                <w:szCs w:val="21"/>
                <w:lang w:val="en-US" w:eastAsia="zh-CN"/>
              </w:rPr>
              <w:t>5</w:t>
            </w:r>
          </w:p>
        </w:tc>
        <w:tc>
          <w:tcPr>
            <w:tcW w:w="1711" w:type="dxa"/>
            <w:noWrap w:val="0"/>
            <w:vAlign w:val="center"/>
          </w:tcPr>
          <w:p w14:paraId="375ABEA2">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r>
      <w:tr w14:paraId="3D6F05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dxa"/>
            <w:vMerge w:val="continue"/>
            <w:noWrap w:val="0"/>
            <w:vAlign w:val="center"/>
          </w:tcPr>
          <w:p w14:paraId="6A3E34B6">
            <w:pPr>
              <w:pStyle w:val="59"/>
              <w:spacing w:before="24" w:after="24" w:line="240" w:lineRule="auto"/>
              <w:rPr>
                <w:rFonts w:ascii="Times New Roman"/>
                <w:snapToGrid w:val="0"/>
                <w:color w:val="auto"/>
                <w:kern w:val="21"/>
                <w:szCs w:val="21"/>
              </w:rPr>
            </w:pPr>
          </w:p>
        </w:tc>
        <w:tc>
          <w:tcPr>
            <w:tcW w:w="1963" w:type="dxa"/>
            <w:noWrap w:val="0"/>
            <w:vAlign w:val="center"/>
          </w:tcPr>
          <w:p w14:paraId="4A3F27F6">
            <w:pPr>
              <w:adjustRightInd w:val="0"/>
              <w:snapToGrid w:val="0"/>
              <w:jc w:val="center"/>
              <w:rPr>
                <w:rFonts w:hint="default" w:eastAsia="宋体"/>
                <w:color w:val="auto"/>
                <w:szCs w:val="21"/>
                <w:lang w:val="en-US" w:eastAsia="zh-CN"/>
              </w:rPr>
            </w:pPr>
            <w:r>
              <w:rPr>
                <w:rFonts w:hint="eastAsia"/>
                <w:color w:val="auto"/>
                <w:szCs w:val="21"/>
                <w:lang w:val="en-US" w:eastAsia="zh-CN"/>
              </w:rPr>
              <w:t>含油抹布</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12A6C17C">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156" w:type="dxa"/>
            <w:noWrap w:val="0"/>
            <w:vAlign w:val="center"/>
          </w:tcPr>
          <w:p w14:paraId="2A0628C0">
            <w:pPr>
              <w:jc w:val="center"/>
              <w:rPr>
                <w:snapToGrid w:val="0"/>
                <w:color w:val="auto"/>
                <w:kern w:val="21"/>
                <w:szCs w:val="21"/>
              </w:rPr>
            </w:pPr>
            <w:r>
              <w:rPr>
                <w:snapToGrid w:val="0"/>
                <w:color w:val="auto"/>
                <w:kern w:val="21"/>
                <w:szCs w:val="21"/>
              </w:rPr>
              <w:t>/</w:t>
            </w:r>
          </w:p>
        </w:tc>
        <w:tc>
          <w:tcPr>
            <w:tcW w:w="1418" w:type="dxa"/>
            <w:noWrap w:val="0"/>
            <w:vAlign w:val="center"/>
          </w:tcPr>
          <w:p w14:paraId="1D6C8A88">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noWrap w:val="0"/>
            <w:vAlign w:val="center"/>
          </w:tcPr>
          <w:p w14:paraId="3D9F5B9E">
            <w:pPr>
              <w:adjustRightInd w:val="0"/>
              <w:snapToGrid w:val="0"/>
              <w:jc w:val="center"/>
              <w:rPr>
                <w:color w:val="auto"/>
                <w:szCs w:val="21"/>
              </w:rPr>
            </w:pPr>
            <w:r>
              <w:rPr>
                <w:color w:val="auto"/>
                <w:szCs w:val="21"/>
              </w:rPr>
              <w:t>0.</w:t>
            </w:r>
            <w:r>
              <w:rPr>
                <w:rFonts w:hint="eastAsia"/>
                <w:color w:val="auto"/>
                <w:szCs w:val="21"/>
              </w:rPr>
              <w:t>0</w:t>
            </w:r>
            <w:r>
              <w:rPr>
                <w:color w:val="auto"/>
                <w:szCs w:val="21"/>
              </w:rPr>
              <w:t>1</w:t>
            </w:r>
          </w:p>
        </w:tc>
        <w:tc>
          <w:tcPr>
            <w:tcW w:w="1559" w:type="dxa"/>
            <w:noWrap w:val="0"/>
            <w:vAlign w:val="center"/>
          </w:tcPr>
          <w:p w14:paraId="721169B3">
            <w:pPr>
              <w:pStyle w:val="59"/>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701" w:type="dxa"/>
            <w:noWrap w:val="0"/>
            <w:vAlign w:val="center"/>
          </w:tcPr>
          <w:p w14:paraId="53A40EF9">
            <w:pPr>
              <w:adjustRightInd w:val="0"/>
              <w:snapToGrid w:val="0"/>
              <w:jc w:val="center"/>
              <w:rPr>
                <w:color w:val="auto"/>
                <w:szCs w:val="21"/>
              </w:rPr>
            </w:pPr>
            <w:r>
              <w:rPr>
                <w:color w:val="auto"/>
                <w:szCs w:val="21"/>
              </w:rPr>
              <w:t>0.</w:t>
            </w:r>
            <w:r>
              <w:rPr>
                <w:rFonts w:hint="eastAsia"/>
                <w:color w:val="auto"/>
                <w:szCs w:val="21"/>
              </w:rPr>
              <w:t>0</w:t>
            </w:r>
            <w:r>
              <w:rPr>
                <w:color w:val="auto"/>
                <w:szCs w:val="21"/>
              </w:rPr>
              <w:t>1</w:t>
            </w:r>
          </w:p>
        </w:tc>
        <w:tc>
          <w:tcPr>
            <w:tcW w:w="1711" w:type="dxa"/>
            <w:noWrap w:val="0"/>
            <w:vAlign w:val="center"/>
          </w:tcPr>
          <w:p w14:paraId="715AE9D7">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r>
    </w:tbl>
    <w:p w14:paraId="3DBC3957">
      <w:pPr>
        <w:pStyle w:val="22"/>
        <w:rPr>
          <w:rFonts w:hint="eastAsia" w:ascii="黑体" w:hAnsi="黑体" w:eastAsia="黑体"/>
          <w:snapToGrid w:val="0"/>
          <w:sz w:val="30"/>
          <w:szCs w:val="30"/>
        </w:rPr>
      </w:pPr>
      <w:r>
        <w:rPr>
          <w:rFonts w:hAnsi="宋体"/>
          <w:snapToGrid w:val="0"/>
          <w:kern w:val="21"/>
          <w:szCs w:val="21"/>
        </w:rPr>
        <w:t>注：</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3 \* GB3 \* MERGEFORMAT </w:instrText>
      </w:r>
      <w:r>
        <w:rPr>
          <w:rFonts w:hAnsi="宋体"/>
          <w:snapToGrid w:val="0"/>
          <w:spacing w:val="-6"/>
          <w:kern w:val="21"/>
          <w:szCs w:val="21"/>
        </w:rPr>
        <w:fldChar w:fldCharType="separate"/>
      </w:r>
      <w:r>
        <w:rPr>
          <w:rFonts w:hint="eastAsia" w:hAnsi="宋体"/>
          <w:szCs w:val="21"/>
        </w:rPr>
        <w:t>③</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4 \* GB3 \* MERGEFORMAT </w:instrText>
      </w:r>
      <w:r>
        <w:rPr>
          <w:rFonts w:hAnsi="宋体"/>
          <w:snapToGrid w:val="0"/>
          <w:spacing w:val="-6"/>
          <w:kern w:val="21"/>
          <w:szCs w:val="21"/>
        </w:rPr>
        <w:fldChar w:fldCharType="separate"/>
      </w:r>
      <w:r>
        <w:rPr>
          <w:rFonts w:hint="eastAsia" w:hAnsi="宋体"/>
          <w:szCs w:val="21"/>
        </w:rPr>
        <w:t>④</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5 \* GB3 \* MERGEFORMAT </w:instrText>
      </w:r>
      <w:r>
        <w:rPr>
          <w:rFonts w:hAnsi="宋体"/>
          <w:snapToGrid w:val="0"/>
          <w:spacing w:val="-16"/>
          <w:kern w:val="21"/>
          <w:szCs w:val="21"/>
        </w:rPr>
        <w:fldChar w:fldCharType="separate"/>
      </w:r>
      <w:r>
        <w:rPr>
          <w:rFonts w:hint="eastAsia" w:hAnsi="宋体"/>
          <w:szCs w:val="21"/>
        </w:rPr>
        <w:t>⑤</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7 \* GB3 \* MERGEFORMAT </w:instrText>
      </w:r>
      <w:r>
        <w:rPr>
          <w:rFonts w:hAnsi="宋体"/>
          <w:snapToGrid w:val="0"/>
          <w:spacing w:val="-6"/>
          <w:kern w:val="21"/>
          <w:szCs w:val="21"/>
        </w:rPr>
        <w:fldChar w:fldCharType="separate"/>
      </w:r>
      <w:r>
        <w:rPr>
          <w:rFonts w:hint="eastAsia" w:hAnsi="宋体"/>
          <w:szCs w:val="21"/>
        </w:rPr>
        <w:t>⑦</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p>
    <w:sectPr>
      <w:headerReference r:id="rId6" w:type="default"/>
      <w:footerReference r:id="rId7" w:type="default"/>
      <w:pgSz w:w="16838" w:h="11905" w:orient="landscape"/>
      <w:pgMar w:top="1701" w:right="1440" w:bottom="1701" w:left="1440" w:header="851" w:footer="1077" w:gutter="0"/>
      <w:pgNumType w:fmt="decimal"/>
      <w:cols w:space="720" w:num="1"/>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364587C-4293-4A67-BE5C-65F162DC8C4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1F3EEC11-1EC1-4EB0-885C-9422A47CAFBF}"/>
  </w:font>
  <w:font w:name="Wingdings 2">
    <w:panose1 w:val="05020102010507070707"/>
    <w:charset w:val="02"/>
    <w:family w:val="auto"/>
    <w:pitch w:val="default"/>
    <w:sig w:usb0="00000000" w:usb1="00000000" w:usb2="00000000" w:usb3="00000000" w:csb0="80000000" w:csb1="00000000"/>
    <w:embedRegular r:id="rId3" w:fontKey="{56F3889E-233E-4355-87A9-400788E5016E}"/>
  </w:font>
  <w:font w:name="华文隶书">
    <w:panose1 w:val="02010800040101010101"/>
    <w:charset w:val="86"/>
    <w:family w:val="auto"/>
    <w:pitch w:val="default"/>
    <w:sig w:usb0="00000001" w:usb1="080F0000" w:usb2="00000000" w:usb3="00000000" w:csb0="00040000" w:csb1="00000000"/>
    <w:embedRegular r:id="rId4" w:fontKey="{9FC2CA8F-ED7A-449C-88EB-2641D3EB2037}"/>
  </w:font>
  <w:font w:name="微软雅黑">
    <w:panose1 w:val="020B0503020204020204"/>
    <w:charset w:val="86"/>
    <w:family w:val="auto"/>
    <w:pitch w:val="default"/>
    <w:sig w:usb0="80000287" w:usb1="2ACF3C50" w:usb2="00000016" w:usb3="00000000" w:csb0="0004001F" w:csb1="00000000"/>
    <w:embedRegular r:id="rId5" w:fontKey="{833A1A71-2277-4737-82E0-9571E51ED0AB}"/>
  </w:font>
  <w:font w:name="方正小标宋_GBK">
    <w:panose1 w:val="03000509000000000000"/>
    <w:charset w:val="86"/>
    <w:family w:val="script"/>
    <w:pitch w:val="default"/>
    <w:sig w:usb0="00000001" w:usb1="080E0000" w:usb2="00000000" w:usb3="00000000" w:csb0="00040000" w:csb1="00000000"/>
    <w:embedRegular r:id="rId6" w:fontKey="{9F8FC457-35A1-4CB8-A25D-3CCECABFEC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C3C3E">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A98D8C">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7A98D8C">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FB1CE">
    <w:pPr>
      <w:pStyle w:val="1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7E863A">
                          <w:pPr>
                            <w:pStyle w:val="15"/>
                          </w:pPr>
                          <w:r>
                            <w:t xml:space="preserve">— </w:t>
                          </w:r>
                          <w:r>
                            <w:fldChar w:fldCharType="begin"/>
                          </w:r>
                          <w:r>
                            <w:instrText xml:space="preserve"> PAGE  \* MERGEFORMAT </w:instrText>
                          </w:r>
                          <w:r>
                            <w:fldChar w:fldCharType="separate"/>
                          </w:r>
                          <w:r>
                            <w:t>I</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037E863A">
                    <w:pPr>
                      <w:pStyle w:val="15"/>
                    </w:pPr>
                    <w:r>
                      <w:t xml:space="preserve">— </w:t>
                    </w:r>
                    <w:r>
                      <w:fldChar w:fldCharType="begin"/>
                    </w:r>
                    <w:r>
                      <w:instrText xml:space="preserve"> PAGE  \* MERGEFORMAT </w:instrText>
                    </w:r>
                    <w:r>
                      <w:fldChar w:fldCharType="separate"/>
                    </w:r>
                    <w:r>
                      <w:t>I</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6A7CA">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2EA9A4">
                          <w:pPr>
                            <w:pStyle w:val="15"/>
                          </w:pPr>
                          <w:r>
                            <w:t xml:space="preserve">— </w:t>
                          </w:r>
                          <w:r>
                            <w:fldChar w:fldCharType="begin"/>
                          </w:r>
                          <w:r>
                            <w:instrText xml:space="preserve"> PAGE  \* MERGEFORMAT </w:instrText>
                          </w:r>
                          <w:r>
                            <w:fldChar w:fldCharType="separate"/>
                          </w:r>
                          <w:r>
                            <w:t>IV</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D2EA9A4">
                    <w:pPr>
                      <w:pStyle w:val="15"/>
                    </w:pPr>
                    <w:r>
                      <w:t xml:space="preserve">— </w:t>
                    </w:r>
                    <w:r>
                      <w:fldChar w:fldCharType="begin"/>
                    </w:r>
                    <w:r>
                      <w:instrText xml:space="preserve"> PAGE  \* MERGEFORMAT </w:instrText>
                    </w:r>
                    <w:r>
                      <w:fldChar w:fldCharType="separate"/>
                    </w:r>
                    <w:r>
                      <w:t>IV</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3AEAD">
    <w:pPr>
      <w:pStyle w:val="15"/>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13B0CD">
                          <w:pPr>
                            <w:pStyle w:val="15"/>
                            <w:rPr>
                              <w:rStyle w:val="26"/>
                              <w:rFonts w:ascii="宋体" w:hAnsi="宋体"/>
                              <w:sz w:val="28"/>
                              <w:szCs w:val="28"/>
                            </w:rPr>
                          </w:pPr>
                          <w:r>
                            <w:rPr>
                              <w:rStyle w:val="26"/>
                              <w:rFonts w:ascii="宋体" w:hAnsi="宋体"/>
                              <w:sz w:val="28"/>
                              <w:szCs w:val="28"/>
                            </w:rPr>
                            <w:t xml:space="preserve">— </w:t>
                          </w:r>
                          <w:r>
                            <w:rPr>
                              <w:rStyle w:val="26"/>
                              <w:rFonts w:ascii="宋体" w:hAnsi="宋体"/>
                              <w:sz w:val="28"/>
                              <w:szCs w:val="28"/>
                            </w:rPr>
                            <w:fldChar w:fldCharType="begin"/>
                          </w:r>
                          <w:r>
                            <w:rPr>
                              <w:rStyle w:val="26"/>
                              <w:rFonts w:ascii="宋体" w:hAnsi="宋体"/>
                              <w:sz w:val="28"/>
                              <w:szCs w:val="28"/>
                            </w:rPr>
                            <w:instrText xml:space="preserve"> PAGE  \* MERGEFORMAT </w:instrText>
                          </w:r>
                          <w:r>
                            <w:rPr>
                              <w:rStyle w:val="26"/>
                              <w:rFonts w:ascii="宋体" w:hAnsi="宋体"/>
                              <w:sz w:val="28"/>
                              <w:szCs w:val="28"/>
                            </w:rPr>
                            <w:fldChar w:fldCharType="separate"/>
                          </w:r>
                          <w:r>
                            <w:rPr>
                              <w:rStyle w:val="26"/>
                              <w:rFonts w:ascii="宋体" w:hAnsi="宋体"/>
                              <w:sz w:val="28"/>
                              <w:szCs w:val="28"/>
                            </w:rPr>
                            <w:t>LXXXI</w:t>
                          </w:r>
                          <w:r>
                            <w:rPr>
                              <w:rStyle w:val="26"/>
                              <w:rFonts w:ascii="宋体" w:hAnsi="宋体"/>
                              <w:sz w:val="28"/>
                              <w:szCs w:val="28"/>
                            </w:rPr>
                            <w:fldChar w:fldCharType="end"/>
                          </w:r>
                          <w:r>
                            <w:rPr>
                              <w:rStyle w:val="26"/>
                              <w:rFonts w:ascii="宋体" w:hAnsi="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4113B0CD">
                    <w:pPr>
                      <w:pStyle w:val="15"/>
                      <w:rPr>
                        <w:rStyle w:val="26"/>
                        <w:rFonts w:ascii="宋体" w:hAnsi="宋体"/>
                        <w:sz w:val="28"/>
                        <w:szCs w:val="28"/>
                      </w:rPr>
                    </w:pPr>
                    <w:r>
                      <w:rPr>
                        <w:rStyle w:val="26"/>
                        <w:rFonts w:ascii="宋体" w:hAnsi="宋体"/>
                        <w:sz w:val="28"/>
                        <w:szCs w:val="28"/>
                      </w:rPr>
                      <w:t xml:space="preserve">— </w:t>
                    </w:r>
                    <w:r>
                      <w:rPr>
                        <w:rStyle w:val="26"/>
                        <w:rFonts w:ascii="宋体" w:hAnsi="宋体"/>
                        <w:sz w:val="28"/>
                        <w:szCs w:val="28"/>
                      </w:rPr>
                      <w:fldChar w:fldCharType="begin"/>
                    </w:r>
                    <w:r>
                      <w:rPr>
                        <w:rStyle w:val="26"/>
                        <w:rFonts w:ascii="宋体" w:hAnsi="宋体"/>
                        <w:sz w:val="28"/>
                        <w:szCs w:val="28"/>
                      </w:rPr>
                      <w:instrText xml:space="preserve"> PAGE  \* MERGEFORMAT </w:instrText>
                    </w:r>
                    <w:r>
                      <w:rPr>
                        <w:rStyle w:val="26"/>
                        <w:rFonts w:ascii="宋体" w:hAnsi="宋体"/>
                        <w:sz w:val="28"/>
                        <w:szCs w:val="28"/>
                      </w:rPr>
                      <w:fldChar w:fldCharType="separate"/>
                    </w:r>
                    <w:r>
                      <w:rPr>
                        <w:rStyle w:val="26"/>
                        <w:rFonts w:ascii="宋体" w:hAnsi="宋体"/>
                        <w:sz w:val="28"/>
                        <w:szCs w:val="28"/>
                      </w:rPr>
                      <w:t>LXXXI</w:t>
                    </w:r>
                    <w:r>
                      <w:rPr>
                        <w:rStyle w:val="26"/>
                        <w:rFonts w:ascii="宋体" w:hAnsi="宋体"/>
                        <w:sz w:val="28"/>
                        <w:szCs w:val="28"/>
                      </w:rPr>
                      <w:fldChar w:fldCharType="end"/>
                    </w:r>
                    <w:r>
                      <w:rPr>
                        <w:rStyle w:val="26"/>
                        <w:rFonts w:ascii="宋体" w:hAnsi="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5F068">
    <w:pPr>
      <w:pStyle w:val="16"/>
      <w:pBdr>
        <w:bottom w:val="none" w:color="auto" w:sz="0" w:space="1"/>
      </w:pBdr>
      <w:tabs>
        <w:tab w:val="left" w:pos="1337"/>
        <w:tab w:val="clear" w:pos="4153"/>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4C4811"/>
    <w:multiLevelType w:val="singleLevel"/>
    <w:tmpl w:val="A44C4811"/>
    <w:lvl w:ilvl="0" w:tentative="0">
      <w:start w:val="5"/>
      <w:numFmt w:val="chineseCounting"/>
      <w:suff w:val="nothing"/>
      <w:lvlText w:val="%1、"/>
      <w:lvlJc w:val="left"/>
      <w:rPr>
        <w:rFonts w:hint="eastAsia"/>
      </w:rPr>
    </w:lvl>
  </w:abstractNum>
  <w:abstractNum w:abstractNumId="1">
    <w:nsid w:val="AA7F3A6B"/>
    <w:multiLevelType w:val="singleLevel"/>
    <w:tmpl w:val="AA7F3A6B"/>
    <w:lvl w:ilvl="0" w:tentative="0">
      <w:start w:val="9"/>
      <w:numFmt w:val="decimal"/>
      <w:suff w:val="nothing"/>
      <w:lvlText w:val="%1、"/>
      <w:lvlJc w:val="left"/>
    </w:lvl>
  </w:abstractNum>
  <w:abstractNum w:abstractNumId="2">
    <w:nsid w:val="E6E0A863"/>
    <w:multiLevelType w:val="singleLevel"/>
    <w:tmpl w:val="E6E0A863"/>
    <w:lvl w:ilvl="0" w:tentative="0">
      <w:start w:val="1"/>
      <w:numFmt w:val="decimal"/>
      <w:suff w:val="nothing"/>
      <w:lvlText w:val="%1、"/>
      <w:lvlJc w:val="left"/>
    </w:lvl>
  </w:abstractNum>
  <w:abstractNum w:abstractNumId="3">
    <w:nsid w:val="F35E5FF0"/>
    <w:multiLevelType w:val="singleLevel"/>
    <w:tmpl w:val="F35E5FF0"/>
    <w:lvl w:ilvl="0" w:tentative="0">
      <w:start w:val="1"/>
      <w:numFmt w:val="decimal"/>
      <w:lvlText w:val="%1."/>
      <w:lvlJc w:val="left"/>
      <w:pPr>
        <w:tabs>
          <w:tab w:val="left" w:pos="312"/>
        </w:tabs>
      </w:pPr>
    </w:lvl>
  </w:abstractNum>
  <w:abstractNum w:abstractNumId="4">
    <w:nsid w:val="3B94E3AB"/>
    <w:multiLevelType w:val="singleLevel"/>
    <w:tmpl w:val="3B94E3AB"/>
    <w:lvl w:ilvl="0" w:tentative="0">
      <w:start w:val="20"/>
      <w:numFmt w:val="decimal"/>
      <w:suff w:val="nothing"/>
      <w:lvlText w:val="%1-"/>
      <w:lvlJc w:val="left"/>
    </w:lvl>
  </w:abstractNum>
  <w:abstractNum w:abstractNumId="5">
    <w:nsid w:val="55C04977"/>
    <w:multiLevelType w:val="singleLevel"/>
    <w:tmpl w:val="55C04977"/>
    <w:lvl w:ilvl="0" w:tentative="0">
      <w:start w:val="2"/>
      <w:numFmt w:val="chineseCounting"/>
      <w:suff w:val="nothing"/>
      <w:lvlText w:val="%1、"/>
      <w:lvlJc w:val="left"/>
      <w:rPr>
        <w:rFonts w:hint="eastAsia"/>
      </w:rPr>
    </w:lvl>
  </w:abstractNum>
  <w:abstractNum w:abstractNumId="6">
    <w:nsid w:val="5C7BDEF8"/>
    <w:multiLevelType w:val="singleLevel"/>
    <w:tmpl w:val="5C7BDEF8"/>
    <w:lvl w:ilvl="0" w:tentative="0">
      <w:start w:val="1"/>
      <w:numFmt w:val="bullet"/>
      <w:pStyle w:val="13"/>
      <w:lvlText w:val=""/>
      <w:lvlJc w:val="left"/>
      <w:pPr>
        <w:tabs>
          <w:tab w:val="left" w:pos="2040"/>
        </w:tabs>
        <w:ind w:left="2040" w:hanging="360"/>
      </w:pPr>
      <w:rPr>
        <w:rFonts w:hint="default" w:ascii="Wingdings" w:hAnsi="Wingdings"/>
      </w:rPr>
    </w:lvl>
  </w:abstractNum>
  <w:abstractNum w:abstractNumId="7">
    <w:nsid w:val="708F47EE"/>
    <w:multiLevelType w:val="singleLevel"/>
    <w:tmpl w:val="708F47EE"/>
    <w:lvl w:ilvl="0" w:tentative="0">
      <w:start w:val="4"/>
      <w:numFmt w:val="decimal"/>
      <w:suff w:val="nothing"/>
      <w:lvlText w:val="（%1）"/>
      <w:lvlJc w:val="left"/>
    </w:lvl>
  </w:abstractNum>
  <w:abstractNum w:abstractNumId="8">
    <w:nsid w:val="73F644F4"/>
    <w:multiLevelType w:val="singleLevel"/>
    <w:tmpl w:val="73F644F4"/>
    <w:lvl w:ilvl="0" w:tentative="0">
      <w:start w:val="3"/>
      <w:numFmt w:val="upperLetter"/>
      <w:lvlText w:val="%1."/>
      <w:lvlJc w:val="left"/>
      <w:pPr>
        <w:tabs>
          <w:tab w:val="left" w:pos="312"/>
        </w:tabs>
      </w:pPr>
    </w:lvl>
  </w:abstractNum>
  <w:num w:numId="1">
    <w:abstractNumId w:val="6"/>
  </w:num>
  <w:num w:numId="2">
    <w:abstractNumId w:val="2"/>
  </w:num>
  <w:num w:numId="3">
    <w:abstractNumId w:val="1"/>
  </w:num>
  <w:num w:numId="4">
    <w:abstractNumId w:val="5"/>
  </w:num>
  <w:num w:numId="5">
    <w:abstractNumId w:val="4"/>
  </w:num>
  <w:num w:numId="6">
    <w:abstractNumId w:val="3"/>
  </w:num>
  <w:num w:numId="7">
    <w:abstractNumId w:val="7"/>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xYWVjZjFkYTJkNzI5ZDNmMjNjYTE4YTEwNTQ2OTUifQ=="/>
  </w:docVars>
  <w:rsids>
    <w:rsidRoot w:val="5B194521"/>
    <w:rsid w:val="01195B29"/>
    <w:rsid w:val="01687609"/>
    <w:rsid w:val="01D81334"/>
    <w:rsid w:val="023E0FE9"/>
    <w:rsid w:val="02B70A6A"/>
    <w:rsid w:val="03101E00"/>
    <w:rsid w:val="0388396B"/>
    <w:rsid w:val="03BD3D36"/>
    <w:rsid w:val="04812FB5"/>
    <w:rsid w:val="06CA5CAD"/>
    <w:rsid w:val="06F26B21"/>
    <w:rsid w:val="083245C7"/>
    <w:rsid w:val="08DF5C89"/>
    <w:rsid w:val="0902091F"/>
    <w:rsid w:val="0A070B08"/>
    <w:rsid w:val="0A122902"/>
    <w:rsid w:val="0A285467"/>
    <w:rsid w:val="0AB07B68"/>
    <w:rsid w:val="0B61769D"/>
    <w:rsid w:val="0BB70F4B"/>
    <w:rsid w:val="0C16357E"/>
    <w:rsid w:val="0C3306B7"/>
    <w:rsid w:val="0C6C224C"/>
    <w:rsid w:val="0C774C9E"/>
    <w:rsid w:val="0DCF786E"/>
    <w:rsid w:val="0E62059E"/>
    <w:rsid w:val="0EC35F79"/>
    <w:rsid w:val="0EE70C5D"/>
    <w:rsid w:val="105D1AC2"/>
    <w:rsid w:val="10A22C3A"/>
    <w:rsid w:val="10BF1887"/>
    <w:rsid w:val="11561326"/>
    <w:rsid w:val="11BF6ECB"/>
    <w:rsid w:val="12EE717D"/>
    <w:rsid w:val="12F029B2"/>
    <w:rsid w:val="12FC395E"/>
    <w:rsid w:val="13556AB7"/>
    <w:rsid w:val="135D699C"/>
    <w:rsid w:val="13CC3663"/>
    <w:rsid w:val="14490353"/>
    <w:rsid w:val="14BB6070"/>
    <w:rsid w:val="14EB1487"/>
    <w:rsid w:val="153C179D"/>
    <w:rsid w:val="159D5F06"/>
    <w:rsid w:val="15A84FF5"/>
    <w:rsid w:val="16262FA7"/>
    <w:rsid w:val="17EE22CD"/>
    <w:rsid w:val="18ED431E"/>
    <w:rsid w:val="1A175ABF"/>
    <w:rsid w:val="1A3C455E"/>
    <w:rsid w:val="1AE8498F"/>
    <w:rsid w:val="1BF260EF"/>
    <w:rsid w:val="1C1442B7"/>
    <w:rsid w:val="1CB6536F"/>
    <w:rsid w:val="1D8A49BF"/>
    <w:rsid w:val="1E004AF3"/>
    <w:rsid w:val="1E29229C"/>
    <w:rsid w:val="1E5B79C4"/>
    <w:rsid w:val="1E796654"/>
    <w:rsid w:val="1F7A63FD"/>
    <w:rsid w:val="1FCF0894"/>
    <w:rsid w:val="1FD76791"/>
    <w:rsid w:val="200C25DC"/>
    <w:rsid w:val="20DA2DD7"/>
    <w:rsid w:val="212D74DE"/>
    <w:rsid w:val="213A47C0"/>
    <w:rsid w:val="223F2B55"/>
    <w:rsid w:val="23DF164F"/>
    <w:rsid w:val="25290DD3"/>
    <w:rsid w:val="25A51CDE"/>
    <w:rsid w:val="25CB3C39"/>
    <w:rsid w:val="271B3561"/>
    <w:rsid w:val="271D6716"/>
    <w:rsid w:val="27820C6F"/>
    <w:rsid w:val="28D37C20"/>
    <w:rsid w:val="29325F06"/>
    <w:rsid w:val="29C966E1"/>
    <w:rsid w:val="2B382728"/>
    <w:rsid w:val="2BCF3D57"/>
    <w:rsid w:val="2C0E2AD1"/>
    <w:rsid w:val="2C387B4E"/>
    <w:rsid w:val="2D1321ED"/>
    <w:rsid w:val="2DDE64D3"/>
    <w:rsid w:val="2E8B1A35"/>
    <w:rsid w:val="2EA245EF"/>
    <w:rsid w:val="2EBA3CFB"/>
    <w:rsid w:val="2EC43AF2"/>
    <w:rsid w:val="2F3857BD"/>
    <w:rsid w:val="2F662A91"/>
    <w:rsid w:val="2F767DAA"/>
    <w:rsid w:val="2F77273B"/>
    <w:rsid w:val="2FD6576D"/>
    <w:rsid w:val="300953CB"/>
    <w:rsid w:val="302414EB"/>
    <w:rsid w:val="303164B3"/>
    <w:rsid w:val="30460630"/>
    <w:rsid w:val="307F2C63"/>
    <w:rsid w:val="309A3C0D"/>
    <w:rsid w:val="31006040"/>
    <w:rsid w:val="319E0453"/>
    <w:rsid w:val="31A0241D"/>
    <w:rsid w:val="31E2124A"/>
    <w:rsid w:val="32A25D21"/>
    <w:rsid w:val="3353635E"/>
    <w:rsid w:val="33896EE1"/>
    <w:rsid w:val="34F34E1D"/>
    <w:rsid w:val="35102DD8"/>
    <w:rsid w:val="35496928"/>
    <w:rsid w:val="356C59B4"/>
    <w:rsid w:val="35D8423E"/>
    <w:rsid w:val="36BA5F23"/>
    <w:rsid w:val="37020363"/>
    <w:rsid w:val="370945C1"/>
    <w:rsid w:val="371511B8"/>
    <w:rsid w:val="37F469A3"/>
    <w:rsid w:val="38AF2F46"/>
    <w:rsid w:val="38CA7D80"/>
    <w:rsid w:val="399D36E6"/>
    <w:rsid w:val="3A0C25C8"/>
    <w:rsid w:val="3A1626F7"/>
    <w:rsid w:val="3B561D9F"/>
    <w:rsid w:val="3C52746D"/>
    <w:rsid w:val="3CCD6091"/>
    <w:rsid w:val="3D1E68EC"/>
    <w:rsid w:val="3D575DFC"/>
    <w:rsid w:val="3F47212A"/>
    <w:rsid w:val="3F514D57"/>
    <w:rsid w:val="404C7CEC"/>
    <w:rsid w:val="413B3343"/>
    <w:rsid w:val="42090218"/>
    <w:rsid w:val="42B267E6"/>
    <w:rsid w:val="42B77A4D"/>
    <w:rsid w:val="42F64D58"/>
    <w:rsid w:val="431D6B97"/>
    <w:rsid w:val="43742840"/>
    <w:rsid w:val="43C22952"/>
    <w:rsid w:val="43FA6FBA"/>
    <w:rsid w:val="447F4114"/>
    <w:rsid w:val="44CD44ED"/>
    <w:rsid w:val="44E123F4"/>
    <w:rsid w:val="456E40D4"/>
    <w:rsid w:val="45C75845"/>
    <w:rsid w:val="45FC693F"/>
    <w:rsid w:val="46035E4B"/>
    <w:rsid w:val="4622306A"/>
    <w:rsid w:val="46B02CAB"/>
    <w:rsid w:val="46B605B6"/>
    <w:rsid w:val="46E64526"/>
    <w:rsid w:val="46F21E59"/>
    <w:rsid w:val="480C6AF1"/>
    <w:rsid w:val="489363E0"/>
    <w:rsid w:val="496F5092"/>
    <w:rsid w:val="4A765ECC"/>
    <w:rsid w:val="4A7E7D2A"/>
    <w:rsid w:val="4AA11ADC"/>
    <w:rsid w:val="4AD8793F"/>
    <w:rsid w:val="4B2C6678"/>
    <w:rsid w:val="4BB24DCF"/>
    <w:rsid w:val="4BD002E3"/>
    <w:rsid w:val="4C5E00D6"/>
    <w:rsid w:val="4C75558C"/>
    <w:rsid w:val="4D6C4BE5"/>
    <w:rsid w:val="4DAB261C"/>
    <w:rsid w:val="4DCE4B4D"/>
    <w:rsid w:val="4DE62814"/>
    <w:rsid w:val="4EDB39CB"/>
    <w:rsid w:val="4EDF37DA"/>
    <w:rsid w:val="4F0F1629"/>
    <w:rsid w:val="4F1F277C"/>
    <w:rsid w:val="4F4915A7"/>
    <w:rsid w:val="52045FA7"/>
    <w:rsid w:val="52143C1E"/>
    <w:rsid w:val="52FC4B82"/>
    <w:rsid w:val="535914C6"/>
    <w:rsid w:val="535D3873"/>
    <w:rsid w:val="535E2E2F"/>
    <w:rsid w:val="53BB3C51"/>
    <w:rsid w:val="53F570AB"/>
    <w:rsid w:val="53FD5056"/>
    <w:rsid w:val="54014B46"/>
    <w:rsid w:val="55933216"/>
    <w:rsid w:val="55A25EB5"/>
    <w:rsid w:val="55A46EBE"/>
    <w:rsid w:val="562763BA"/>
    <w:rsid w:val="56EA5AB8"/>
    <w:rsid w:val="571C09B6"/>
    <w:rsid w:val="576D0622"/>
    <w:rsid w:val="57E34740"/>
    <w:rsid w:val="57E75E01"/>
    <w:rsid w:val="58030CC0"/>
    <w:rsid w:val="580360AC"/>
    <w:rsid w:val="587425F9"/>
    <w:rsid w:val="587C29ED"/>
    <w:rsid w:val="598D6E97"/>
    <w:rsid w:val="59A14C5F"/>
    <w:rsid w:val="5A865DA5"/>
    <w:rsid w:val="5AE55A3B"/>
    <w:rsid w:val="5B194521"/>
    <w:rsid w:val="5B4C11AD"/>
    <w:rsid w:val="5B8205F9"/>
    <w:rsid w:val="5C3102F7"/>
    <w:rsid w:val="5C317F92"/>
    <w:rsid w:val="5CA31D78"/>
    <w:rsid w:val="5CDA0B38"/>
    <w:rsid w:val="5D734027"/>
    <w:rsid w:val="5D890A34"/>
    <w:rsid w:val="5ED71496"/>
    <w:rsid w:val="5FF217E7"/>
    <w:rsid w:val="60865FCD"/>
    <w:rsid w:val="60883EF9"/>
    <w:rsid w:val="60D35A3F"/>
    <w:rsid w:val="614362B2"/>
    <w:rsid w:val="62280D41"/>
    <w:rsid w:val="62B12CDD"/>
    <w:rsid w:val="62EE4B17"/>
    <w:rsid w:val="63740259"/>
    <w:rsid w:val="638E5BFC"/>
    <w:rsid w:val="639E4553"/>
    <w:rsid w:val="63BA5C2F"/>
    <w:rsid w:val="63F41FD1"/>
    <w:rsid w:val="6488096B"/>
    <w:rsid w:val="64891600"/>
    <w:rsid w:val="650F7488"/>
    <w:rsid w:val="65DF2B50"/>
    <w:rsid w:val="66840446"/>
    <w:rsid w:val="678E2862"/>
    <w:rsid w:val="67B0620F"/>
    <w:rsid w:val="68437083"/>
    <w:rsid w:val="6956729D"/>
    <w:rsid w:val="699F5234"/>
    <w:rsid w:val="69D5305A"/>
    <w:rsid w:val="69F35EC9"/>
    <w:rsid w:val="6A5512F0"/>
    <w:rsid w:val="6A7A48B2"/>
    <w:rsid w:val="6B8F4F2E"/>
    <w:rsid w:val="6CA421A9"/>
    <w:rsid w:val="6CED41BB"/>
    <w:rsid w:val="6D232D74"/>
    <w:rsid w:val="6D655CEE"/>
    <w:rsid w:val="6E5378F4"/>
    <w:rsid w:val="6E674E3C"/>
    <w:rsid w:val="6E7811D2"/>
    <w:rsid w:val="6F3D665F"/>
    <w:rsid w:val="6F6656B2"/>
    <w:rsid w:val="6FC45AF8"/>
    <w:rsid w:val="6FF11155"/>
    <w:rsid w:val="719721EE"/>
    <w:rsid w:val="723B6EE1"/>
    <w:rsid w:val="7243196D"/>
    <w:rsid w:val="72B204F6"/>
    <w:rsid w:val="72C867C3"/>
    <w:rsid w:val="72E72D01"/>
    <w:rsid w:val="73AF458D"/>
    <w:rsid w:val="741212E2"/>
    <w:rsid w:val="74634B3D"/>
    <w:rsid w:val="74B55EA7"/>
    <w:rsid w:val="74D34D8B"/>
    <w:rsid w:val="75201F3C"/>
    <w:rsid w:val="771951E0"/>
    <w:rsid w:val="7754218B"/>
    <w:rsid w:val="77D93C70"/>
    <w:rsid w:val="78350E7C"/>
    <w:rsid w:val="79313734"/>
    <w:rsid w:val="79894B12"/>
    <w:rsid w:val="79D516CE"/>
    <w:rsid w:val="79EE2BC7"/>
    <w:rsid w:val="7AD1051F"/>
    <w:rsid w:val="7ADB1467"/>
    <w:rsid w:val="7AE961A8"/>
    <w:rsid w:val="7B15281B"/>
    <w:rsid w:val="7C556F2D"/>
    <w:rsid w:val="7D9A5540"/>
    <w:rsid w:val="7DBD1142"/>
    <w:rsid w:val="7EA77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1"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qFormat="1"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qFormat="1" w:uiPriority="99"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paragraph" w:styleId="4">
    <w:name w:val="heading 3"/>
    <w:basedOn w:val="1"/>
    <w:next w:val="1"/>
    <w:link w:val="32"/>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33"/>
    <w:qFormat/>
    <w:uiPriority w:val="1"/>
    <w:pPr>
      <w:ind w:left="1533" w:hanging="181"/>
      <w:outlineLvl w:val="3"/>
    </w:pPr>
    <w:rPr>
      <w:rFonts w:ascii="宋体" w:hAnsi="宋体" w:eastAsia="宋体" w:cs="宋体"/>
      <w:b/>
      <w:bCs/>
      <w:sz w:val="24"/>
      <w:szCs w:val="24"/>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7">
    <w:name w:val="List 3"/>
    <w:basedOn w:val="1"/>
    <w:qFormat/>
    <w:uiPriority w:val="0"/>
    <w:pPr>
      <w:ind w:left="100" w:leftChars="400" w:hanging="200" w:hangingChars="200"/>
    </w:pPr>
  </w:style>
  <w:style w:type="paragraph" w:styleId="8">
    <w:name w:val="Normal Indent"/>
    <w:basedOn w:val="1"/>
    <w:next w:val="1"/>
    <w:qFormat/>
    <w:uiPriority w:val="0"/>
    <w:pPr>
      <w:ind w:firstLine="420"/>
    </w:pPr>
    <w:rPr>
      <w:szCs w:val="24"/>
    </w:rPr>
  </w:style>
  <w:style w:type="paragraph" w:styleId="9">
    <w:name w:val="caption"/>
    <w:basedOn w:val="1"/>
    <w:next w:val="1"/>
    <w:semiHidden/>
    <w:unhideWhenUsed/>
    <w:qFormat/>
    <w:uiPriority w:val="0"/>
    <w:rPr>
      <w:rFonts w:ascii="Arial" w:hAnsi="Arial" w:eastAsia="黑体"/>
      <w:sz w:val="20"/>
    </w:rPr>
  </w:style>
  <w:style w:type="paragraph" w:styleId="10">
    <w:name w:val="annotation text"/>
    <w:basedOn w:val="1"/>
    <w:semiHidden/>
    <w:qFormat/>
    <w:uiPriority w:val="0"/>
    <w:pPr>
      <w:jc w:val="left"/>
    </w:pPr>
    <w:rPr>
      <w:kern w:val="0"/>
      <w:sz w:val="24"/>
      <w:szCs w:val="20"/>
    </w:rPr>
  </w:style>
  <w:style w:type="paragraph" w:styleId="11">
    <w:name w:val="Body Text"/>
    <w:basedOn w:val="1"/>
    <w:link w:val="56"/>
    <w:qFormat/>
    <w:uiPriority w:val="0"/>
    <w:pPr>
      <w:widowControl/>
      <w:snapToGrid w:val="0"/>
      <w:spacing w:before="60" w:after="160" w:line="259" w:lineRule="auto"/>
      <w:ind w:right="113"/>
    </w:pPr>
    <w:rPr>
      <w:kern w:val="0"/>
      <w:sz w:val="18"/>
      <w:szCs w:val="20"/>
    </w:rPr>
  </w:style>
  <w:style w:type="paragraph" w:styleId="12">
    <w:name w:val="Plain Text"/>
    <w:basedOn w:val="1"/>
    <w:qFormat/>
    <w:uiPriority w:val="99"/>
    <w:pPr>
      <w:spacing w:line="240" w:lineRule="atLeast"/>
    </w:pPr>
    <w:rPr>
      <w:rFonts w:ascii="宋体" w:hAnsi="Courier New"/>
      <w:sz w:val="28"/>
      <w:szCs w:val="20"/>
    </w:rPr>
  </w:style>
  <w:style w:type="paragraph" w:styleId="13">
    <w:name w:val="List Bullet 5"/>
    <w:basedOn w:val="1"/>
    <w:qFormat/>
    <w:uiPriority w:val="0"/>
    <w:pPr>
      <w:numPr>
        <w:ilvl w:val="0"/>
        <w:numId w:val="1"/>
      </w:numPr>
    </w:pPr>
  </w:style>
  <w:style w:type="paragraph" w:styleId="14">
    <w:name w:val="Body Text Indent 2"/>
    <w:basedOn w:val="1"/>
    <w:next w:val="1"/>
    <w:unhideWhenUsed/>
    <w:qFormat/>
    <w:uiPriority w:val="99"/>
    <w:pPr>
      <w:tabs>
        <w:tab w:val="left" w:pos="0"/>
      </w:tabs>
      <w:ind w:firstLine="480"/>
    </w:pPr>
    <w:rPr>
      <w:sz w:val="24"/>
    </w:rPr>
  </w:style>
  <w:style w:type="paragraph" w:styleId="15">
    <w:name w:val="footer"/>
    <w:basedOn w:val="1"/>
    <w:qFormat/>
    <w:uiPriority w:val="99"/>
    <w:pPr>
      <w:tabs>
        <w:tab w:val="center" w:pos="4153"/>
        <w:tab w:val="right" w:pos="8306"/>
      </w:tabs>
      <w:snapToGrid w:val="0"/>
      <w:jc w:val="left"/>
    </w:pPr>
    <w:rPr>
      <w:kern w:val="0"/>
      <w:sz w:val="18"/>
      <w:szCs w:val="20"/>
    </w:rPr>
  </w:style>
  <w:style w:type="paragraph" w:styleId="16">
    <w:name w:val="header"/>
    <w:basedOn w:val="1"/>
    <w:next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index heading"/>
    <w:basedOn w:val="1"/>
    <w:next w:val="18"/>
    <w:unhideWhenUsed/>
    <w:qFormat/>
    <w:uiPriority w:val="99"/>
    <w:rPr>
      <w:szCs w:val="21"/>
    </w:rPr>
  </w:style>
  <w:style w:type="paragraph" w:styleId="18">
    <w:name w:val="index 1"/>
    <w:basedOn w:val="1"/>
    <w:next w:val="1"/>
    <w:unhideWhenUsed/>
    <w:qFormat/>
    <w:uiPriority w:val="0"/>
    <w:pPr>
      <w:spacing w:line="240" w:lineRule="auto"/>
      <w:ind w:firstLine="0" w:firstLineChars="0"/>
    </w:pPr>
    <w:rPr>
      <w:rFonts w:ascii="Calibri" w:hAnsi="Calibri" w:eastAsia="宋体" w:cs="Times New Roman"/>
      <w:sz w:val="21"/>
      <w:szCs w:val="22"/>
    </w:rPr>
  </w:style>
  <w:style w:type="paragraph" w:styleId="19">
    <w:name w:val="toc 1"/>
    <w:basedOn w:val="1"/>
    <w:next w:val="1"/>
    <w:qFormat/>
    <w:uiPriority w:val="0"/>
  </w:style>
  <w:style w:type="paragraph" w:styleId="20">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1">
    <w:name w:val="Body Text First Indent"/>
    <w:basedOn w:val="11"/>
    <w:next w:val="1"/>
    <w:unhideWhenUsed/>
    <w:qFormat/>
    <w:uiPriority w:val="0"/>
    <w:pPr>
      <w:ind w:firstLine="420" w:firstLineChars="100"/>
    </w:pPr>
    <w:rPr>
      <w:sz w:val="21"/>
      <w:szCs w:val="24"/>
    </w:rPr>
  </w:style>
  <w:style w:type="paragraph" w:styleId="22">
    <w:name w:val="Body Text First Indent 2"/>
    <w:basedOn w:val="1"/>
    <w:next w:val="1"/>
    <w:qFormat/>
    <w:uiPriority w:val="0"/>
    <w:pPr>
      <w:spacing w:after="120" w:afterLines="0"/>
      <w:ind w:left="420" w:leftChars="200" w:firstLine="420"/>
    </w:pPr>
    <w:rPr>
      <w:sz w:val="21"/>
      <w:szCs w:val="24"/>
    </w:rPr>
  </w:style>
  <w:style w:type="table" w:styleId="24">
    <w:name w:val="Table Grid"/>
    <w:basedOn w:val="2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qFormat/>
    <w:uiPriority w:val="0"/>
  </w:style>
  <w:style w:type="character" w:styleId="27">
    <w:name w:val="Hyperlink"/>
    <w:basedOn w:val="25"/>
    <w:qFormat/>
    <w:uiPriority w:val="0"/>
    <w:rPr>
      <w:color w:val="0000FF"/>
      <w:u w:val="single"/>
    </w:rPr>
  </w:style>
  <w:style w:type="paragraph" w:customStyle="1" w:styleId="28">
    <w:name w:val="样式1"/>
    <w:basedOn w:val="1"/>
    <w:next w:val="1"/>
    <w:qFormat/>
    <w:uiPriority w:val="0"/>
    <w:pPr>
      <w:keepNext/>
      <w:keepLines/>
      <w:spacing w:before="260" w:beforeLines="0" w:after="260" w:afterLines="0" w:line="413" w:lineRule="auto"/>
      <w:jc w:val="left"/>
      <w:outlineLvl w:val="2"/>
    </w:pPr>
    <w:rPr>
      <w:rFonts w:hint="eastAsia" w:ascii="Times New Roman" w:hAnsi="Times New Roman"/>
      <w:b/>
      <w:sz w:val="24"/>
    </w:rPr>
  </w:style>
  <w:style w:type="paragraph" w:customStyle="1" w:styleId="29">
    <w:name w:val="明显引用1"/>
    <w:basedOn w:val="1"/>
    <w:next w:val="1"/>
    <w:qFormat/>
    <w:uiPriority w:val="30"/>
    <w:pPr>
      <w:pBdr>
        <w:bottom w:val="single" w:color="4F81BD" w:sz="4" w:space="4"/>
      </w:pBdr>
      <w:ind w:left="936" w:right="936" w:firstLine="200" w:firstLineChars="200"/>
    </w:pPr>
    <w:rPr>
      <w:rFonts w:ascii="Times New Roman" w:hAnsi="Times New Roman" w:eastAsia="宋体" w:cs="Times New Roman"/>
      <w:b/>
      <w:bCs/>
      <w:iCs/>
      <w:sz w:val="24"/>
      <w:lang w:val="zh-CN"/>
    </w:rPr>
  </w:style>
  <w:style w:type="paragraph" w:customStyle="1" w:styleId="30">
    <w:name w:val="S报告正文"/>
    <w:basedOn w:val="1"/>
    <w:qFormat/>
    <w:uiPriority w:val="0"/>
    <w:pPr>
      <w:adjustRightInd w:val="0"/>
      <w:snapToGrid w:val="0"/>
      <w:spacing w:line="480" w:lineRule="exact"/>
      <w:ind w:firstLine="510"/>
      <w:jc w:val="left"/>
    </w:pPr>
    <w:rPr>
      <w:sz w:val="24"/>
    </w:rPr>
  </w:style>
  <w:style w:type="paragraph" w:customStyle="1" w:styleId="31">
    <w:name w:val="报告正文"/>
    <w:basedOn w:val="1"/>
    <w:next w:val="1"/>
    <w:qFormat/>
    <w:uiPriority w:val="0"/>
    <w:pPr>
      <w:spacing w:line="360" w:lineRule="auto"/>
      <w:ind w:firstLine="200" w:firstLineChars="200"/>
      <w:jc w:val="left"/>
    </w:pPr>
    <w:rPr>
      <w:sz w:val="24"/>
    </w:rPr>
  </w:style>
  <w:style w:type="character" w:customStyle="1" w:styleId="32">
    <w:name w:val="标题 3 Char"/>
    <w:link w:val="4"/>
    <w:qFormat/>
    <w:uiPriority w:val="0"/>
    <w:rPr>
      <w:b/>
      <w:sz w:val="32"/>
    </w:rPr>
  </w:style>
  <w:style w:type="character" w:customStyle="1" w:styleId="33">
    <w:name w:val="标题 4 Char"/>
    <w:link w:val="5"/>
    <w:qFormat/>
    <w:uiPriority w:val="0"/>
    <w:rPr>
      <w:rFonts w:ascii="宋体" w:hAnsi="宋体" w:eastAsia="宋体" w:cs="宋体"/>
      <w:b/>
      <w:bCs/>
      <w:sz w:val="24"/>
      <w:szCs w:val="24"/>
    </w:rPr>
  </w:style>
  <w:style w:type="paragraph" w:customStyle="1" w:styleId="34">
    <w:name w:val="中文报告书"/>
    <w:basedOn w:val="1"/>
    <w:qFormat/>
    <w:uiPriority w:val="0"/>
    <w:pPr>
      <w:adjustRightInd w:val="0"/>
      <w:spacing w:after="80" w:afterLines="0" w:line="420" w:lineRule="atLeast"/>
      <w:jc w:val="left"/>
      <w:textAlignment w:val="baseline"/>
    </w:pPr>
    <w:rPr>
      <w:kern w:val="0"/>
      <w:sz w:val="24"/>
      <w:szCs w:val="20"/>
    </w:rPr>
  </w:style>
  <w:style w:type="character" w:customStyle="1" w:styleId="35">
    <w:name w:val="font01"/>
    <w:qFormat/>
    <w:uiPriority w:val="0"/>
    <w:rPr>
      <w:rFonts w:hint="default" w:ascii="Arial" w:hAnsi="Arial" w:cs="Arial"/>
      <w:color w:val="000000"/>
      <w:sz w:val="22"/>
      <w:szCs w:val="22"/>
      <w:u w:val="none"/>
    </w:rPr>
  </w:style>
  <w:style w:type="character" w:customStyle="1" w:styleId="36">
    <w:name w:val="font11"/>
    <w:basedOn w:val="25"/>
    <w:qFormat/>
    <w:uiPriority w:val="0"/>
    <w:rPr>
      <w:rFonts w:hint="eastAsia" w:ascii="宋体" w:hAnsi="宋体" w:eastAsia="宋体" w:cs="宋体"/>
      <w:color w:val="000000"/>
      <w:sz w:val="24"/>
      <w:szCs w:val="24"/>
      <w:u w:val="none"/>
    </w:rPr>
  </w:style>
  <w:style w:type="character" w:customStyle="1" w:styleId="37">
    <w:name w:val="font21"/>
    <w:basedOn w:val="25"/>
    <w:qFormat/>
    <w:uiPriority w:val="0"/>
    <w:rPr>
      <w:rFonts w:hint="default" w:ascii="Arial" w:hAnsi="Arial" w:cs="Arial"/>
      <w:color w:val="000000"/>
      <w:sz w:val="24"/>
      <w:szCs w:val="24"/>
      <w:u w:val="none"/>
    </w:rPr>
  </w:style>
  <w:style w:type="character" w:customStyle="1" w:styleId="38">
    <w:name w:val="font41"/>
    <w:basedOn w:val="25"/>
    <w:qFormat/>
    <w:uiPriority w:val="0"/>
    <w:rPr>
      <w:rFonts w:hint="eastAsia" w:ascii="宋体" w:hAnsi="宋体" w:eastAsia="宋体" w:cs="宋体"/>
      <w:color w:val="000000"/>
      <w:sz w:val="18"/>
      <w:szCs w:val="18"/>
      <w:u w:val="none"/>
    </w:rPr>
  </w:style>
  <w:style w:type="character" w:customStyle="1" w:styleId="39">
    <w:name w:val="font51"/>
    <w:basedOn w:val="25"/>
    <w:qFormat/>
    <w:uiPriority w:val="0"/>
    <w:rPr>
      <w:rFonts w:hint="eastAsia" w:ascii="宋体" w:hAnsi="宋体" w:eastAsia="宋体" w:cs="宋体"/>
      <w:color w:val="000000"/>
      <w:sz w:val="18"/>
      <w:szCs w:val="18"/>
      <w:u w:val="none"/>
    </w:rPr>
  </w:style>
  <w:style w:type="paragraph" w:customStyle="1" w:styleId="40">
    <w:name w:val="Default"/>
    <w:basedOn w:val="41"/>
    <w:next w:val="7"/>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41">
    <w:name w:val="！正文 Alt+0"/>
    <w:basedOn w:val="1"/>
    <w:qFormat/>
    <w:uiPriority w:val="0"/>
    <w:pPr>
      <w:spacing w:line="360" w:lineRule="auto"/>
      <w:ind w:firstLine="200" w:firstLineChars="200"/>
    </w:pPr>
    <w:rPr>
      <w:rFonts w:ascii="Times New Roman" w:hAnsi="Times New Roman"/>
      <w:sz w:val="28"/>
      <w:szCs w:val="28"/>
    </w:rPr>
  </w:style>
  <w:style w:type="paragraph" w:customStyle="1" w:styleId="42">
    <w:name w:val="1111"/>
    <w:basedOn w:val="1"/>
    <w:next w:val="1"/>
    <w:qFormat/>
    <w:uiPriority w:val="0"/>
    <w:pPr>
      <w:keepNext/>
      <w:keepLines/>
      <w:spacing w:before="260" w:beforeLines="0" w:after="260" w:afterLines="0" w:line="413" w:lineRule="auto"/>
      <w:outlineLvl w:val="2"/>
    </w:pPr>
    <w:rPr>
      <w:rFonts w:hint="eastAsia" w:ascii="Times New Roman" w:hAnsi="Times New Roman"/>
      <w:b/>
      <w:sz w:val="32"/>
    </w:rPr>
  </w:style>
  <w:style w:type="paragraph" w:customStyle="1" w:styleId="43">
    <w:name w:val="Table Paragraph"/>
    <w:basedOn w:val="1"/>
    <w:qFormat/>
    <w:uiPriority w:val="1"/>
    <w:rPr>
      <w:rFonts w:ascii="宋体" w:hAnsi="宋体" w:eastAsia="宋体" w:cs="宋体"/>
      <w:lang w:val="en-US" w:eastAsia="zh-CN" w:bidi="ar-SA"/>
    </w:rPr>
  </w:style>
  <w:style w:type="paragraph" w:customStyle="1" w:styleId="44">
    <w:name w:val="正文 New New New"/>
    <w:qFormat/>
    <w:uiPriority w:val="0"/>
    <w:pPr>
      <w:widowControl w:val="0"/>
      <w:jc w:val="both"/>
    </w:pPr>
    <w:rPr>
      <w:rFonts w:ascii="Calibri" w:hAnsi="Calibri" w:eastAsia="宋体" w:cs="Times New Roman"/>
      <w:kern w:val="2"/>
      <w:sz w:val="21"/>
      <w:lang w:val="en-US" w:eastAsia="zh-CN" w:bidi="ar-SA"/>
    </w:rPr>
  </w:style>
  <w:style w:type="paragraph" w:customStyle="1" w:styleId="45">
    <w:name w:val="魏秀珍   正文"/>
    <w:basedOn w:val="8"/>
    <w:qFormat/>
    <w:uiPriority w:val="0"/>
    <w:pPr>
      <w:tabs>
        <w:tab w:val="left" w:pos="574"/>
      </w:tabs>
      <w:spacing w:line="360" w:lineRule="auto"/>
      <w:ind w:firstLine="480"/>
    </w:pPr>
    <w:rPr>
      <w:rFonts w:hAnsi="宋体"/>
      <w:snapToGrid w:val="0"/>
      <w:color w:val="800080"/>
      <w:kern w:val="0"/>
      <w:lang w:val="en-GB" w:bidi="he-IL"/>
    </w:rPr>
  </w:style>
  <w:style w:type="paragraph" w:customStyle="1" w:styleId="46">
    <w:name w:val="引用1"/>
    <w:basedOn w:val="1"/>
    <w:next w:val="1"/>
    <w:qFormat/>
    <w:uiPriority w:val="29"/>
    <w:pPr>
      <w:jc w:val="left"/>
    </w:pPr>
    <w:rPr>
      <w:b/>
      <w:color w:val="000000"/>
    </w:rPr>
  </w:style>
  <w:style w:type="paragraph" w:customStyle="1" w:styleId="47">
    <w:name w:val="正文缩进1"/>
    <w:basedOn w:val="1"/>
    <w:qFormat/>
    <w:uiPriority w:val="0"/>
    <w:pPr>
      <w:spacing w:before="120" w:line="312" w:lineRule="auto"/>
      <w:ind w:firstLine="420" w:firstLineChars="200"/>
    </w:pPr>
    <w:rPr>
      <w:rFonts w:ascii="Calibri" w:hAnsi="Calibri" w:cs="Times New Roman"/>
      <w:kern w:val="24"/>
      <w:sz w:val="28"/>
      <w:szCs w:val="20"/>
    </w:rPr>
  </w:style>
  <w:style w:type="paragraph" w:customStyle="1" w:styleId="48">
    <w:name w:val="大风丫口正文"/>
    <w:basedOn w:val="1"/>
    <w:qFormat/>
    <w:uiPriority w:val="0"/>
    <w:pPr>
      <w:spacing w:line="360" w:lineRule="auto"/>
      <w:ind w:firstLine="200" w:firstLineChars="200"/>
    </w:pPr>
    <w:rPr>
      <w:spacing w:val="10"/>
      <w:sz w:val="24"/>
      <w:szCs w:val="24"/>
    </w:rPr>
  </w:style>
  <w:style w:type="paragraph" w:customStyle="1" w:styleId="49">
    <w:name w:val="报告表格"/>
    <w:basedOn w:val="1"/>
    <w:next w:val="1"/>
    <w:qFormat/>
    <w:uiPriority w:val="0"/>
    <w:pPr>
      <w:autoSpaceDE w:val="0"/>
      <w:autoSpaceDN w:val="0"/>
      <w:adjustRightInd w:val="0"/>
      <w:spacing w:line="318" w:lineRule="atLeast"/>
      <w:jc w:val="center"/>
      <w:textAlignment w:val="bottom"/>
    </w:pPr>
    <w:rPr>
      <w:kern w:val="0"/>
      <w:szCs w:val="20"/>
    </w:rPr>
  </w:style>
  <w:style w:type="paragraph" w:customStyle="1" w:styleId="50">
    <w:name w:val="表格内容"/>
    <w:basedOn w:val="1"/>
    <w:next w:val="2"/>
    <w:qFormat/>
    <w:uiPriority w:val="0"/>
    <w:pPr>
      <w:jc w:val="center"/>
    </w:pPr>
    <w:rPr>
      <w:szCs w:val="22"/>
    </w:rPr>
  </w:style>
  <w:style w:type="paragraph" w:customStyle="1" w:styleId="51">
    <w:name w:val="表头"/>
    <w:basedOn w:val="4"/>
    <w:qFormat/>
    <w:uiPriority w:val="0"/>
    <w:pPr>
      <w:spacing w:before="0" w:beforeLines="0" w:after="0" w:afterLines="0" w:line="240" w:lineRule="auto"/>
      <w:jc w:val="center"/>
      <w:outlineLvl w:val="9"/>
    </w:pPr>
    <w:rPr>
      <w:rFonts w:ascii="黑体"/>
      <w:b w:val="0"/>
      <w:spacing w:val="4"/>
      <w:sz w:val="24"/>
      <w:szCs w:val="24"/>
    </w:rPr>
  </w:style>
  <w:style w:type="paragraph" w:customStyle="1" w:styleId="52">
    <w:name w:val="2倍行距"/>
    <w:basedOn w:val="53"/>
    <w:qFormat/>
    <w:uiPriority w:val="0"/>
    <w:pPr>
      <w:spacing w:line="480" w:lineRule="auto"/>
      <w:ind w:firstLine="0" w:firstLineChars="0"/>
    </w:pPr>
    <w:rPr>
      <w:rFonts w:eastAsia="宋体"/>
      <w:b/>
      <w:kern w:val="2"/>
      <w:sz w:val="24"/>
      <w:lang w:val="en-US" w:eastAsia="zh-CN" w:bidi="ar-SA"/>
    </w:rPr>
  </w:style>
  <w:style w:type="paragraph" w:customStyle="1" w:styleId="53">
    <w:name w:val="1.5倍行距"/>
    <w:basedOn w:val="1"/>
    <w:next w:val="1"/>
    <w:qFormat/>
    <w:uiPriority w:val="0"/>
    <w:pPr>
      <w:spacing w:line="360" w:lineRule="auto"/>
      <w:ind w:firstLine="200" w:firstLineChars="200"/>
      <w:jc w:val="left"/>
    </w:pPr>
  </w:style>
  <w:style w:type="paragraph" w:customStyle="1" w:styleId="54">
    <w:name w:val="Table Text"/>
    <w:basedOn w:val="1"/>
    <w:semiHidden/>
    <w:qFormat/>
    <w:uiPriority w:val="0"/>
    <w:rPr>
      <w:rFonts w:ascii="宋体" w:hAnsi="宋体" w:eastAsia="宋体" w:cs="宋体"/>
      <w:sz w:val="22"/>
      <w:szCs w:val="22"/>
      <w:lang w:val="en-US" w:eastAsia="en-US" w:bidi="ar-SA"/>
    </w:rPr>
  </w:style>
  <w:style w:type="paragraph" w:customStyle="1" w:styleId="55">
    <w:name w:val="正文文本 2112"/>
    <w:basedOn w:val="1"/>
    <w:qFormat/>
    <w:uiPriority w:val="0"/>
    <w:pPr>
      <w:adjustRightInd w:val="0"/>
      <w:snapToGrid w:val="0"/>
      <w:jc w:val="left"/>
    </w:pPr>
  </w:style>
  <w:style w:type="character" w:customStyle="1" w:styleId="56">
    <w:name w:val="正文文本 字符"/>
    <w:link w:val="11"/>
    <w:qFormat/>
    <w:locked/>
    <w:uiPriority w:val="0"/>
    <w:rPr>
      <w:kern w:val="0"/>
      <w:sz w:val="18"/>
      <w:szCs w:val="20"/>
    </w:rPr>
  </w:style>
  <w:style w:type="paragraph" w:customStyle="1" w:styleId="57">
    <w:name w:val="123456"/>
    <w:basedOn w:val="1"/>
    <w:qFormat/>
    <w:uiPriority w:val="0"/>
    <w:pPr>
      <w:spacing w:line="360" w:lineRule="auto"/>
      <w:ind w:firstLine="200" w:firstLineChars="200"/>
    </w:pPr>
    <w:rPr>
      <w:sz w:val="24"/>
      <w:szCs w:val="24"/>
    </w:rPr>
  </w:style>
  <w:style w:type="paragraph" w:customStyle="1" w:styleId="58">
    <w:name w:val="0"/>
    <w:basedOn w:val="1"/>
    <w:qFormat/>
    <w:uiPriority w:val="0"/>
    <w:pPr>
      <w:widowControl/>
      <w:snapToGrid w:val="0"/>
    </w:pPr>
    <w:rPr>
      <w:kern w:val="0"/>
    </w:rPr>
  </w:style>
  <w:style w:type="paragraph" w:customStyle="1" w:styleId="59">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60">
    <w:name w:val="表内字"/>
    <w:basedOn w:val="1"/>
    <w:qFormat/>
    <w:uiPriority w:val="0"/>
    <w:pPr>
      <w:spacing w:line="360" w:lineRule="exact"/>
      <w:ind w:firstLine="0" w:firstLineChars="0"/>
      <w:jc w:val="center"/>
    </w:pPr>
    <w:rPr>
      <w:sz w:val="21"/>
    </w:rPr>
  </w:style>
  <w:style w:type="paragraph" w:customStyle="1" w:styleId="61">
    <w:name w:val="表名"/>
    <w:basedOn w:val="1"/>
    <w:qFormat/>
    <w:uiPriority w:val="0"/>
    <w:pPr>
      <w:widowControl/>
      <w:spacing w:before="240" w:after="240" w:line="360" w:lineRule="auto"/>
      <w:ind w:firstLine="640" w:firstLineChars="200"/>
      <w:jc w:val="center"/>
    </w:pPr>
    <w:rPr>
      <w:rFonts w:ascii="黑体" w:eastAsia="黑体"/>
      <w:sz w:val="24"/>
      <w:lang w:eastAsia="en-US"/>
    </w:rPr>
  </w:style>
  <w:style w:type="paragraph" w:customStyle="1" w:styleId="62">
    <w:name w:val="表格式"/>
    <w:basedOn w:val="1"/>
    <w:qFormat/>
    <w:uiPriority w:val="0"/>
    <w:pPr>
      <w:spacing w:line="360" w:lineRule="auto"/>
      <w:ind w:firstLine="600" w:firstLineChars="200"/>
      <w:jc w:val="left"/>
    </w:pPr>
    <w:rPr>
      <w:color w:val="000000"/>
      <w:sz w:val="24"/>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jpeg"/><Relationship Id="rId24" Type="http://schemas.openxmlformats.org/officeDocument/2006/relationships/image" Target="media/image16.pn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794</Words>
  <Characters>874</Characters>
  <Lines>0</Lines>
  <Paragraphs>0</Paragraphs>
  <TotalTime>14</TotalTime>
  <ScaleCrop>false</ScaleCrop>
  <LinksUpToDate>false</LinksUpToDate>
  <CharactersWithSpaces>897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2024-09-13T01:13:00Z</dcterms:created>
  <dc:creator>dhmk</dc:creator>
  <cp:lastModifiedBy>刘变香</cp:lastModifiedBy>
  <dcterms:modified xsi:type="dcterms:W3CDTF">2025-05-28T01:32:28Z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A6694E8936EF4C71896AB85C1D37F181_13</vt:lpwstr>
  </property>
</Properties>
</file>